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CDD7E" w14:textId="77777777" w:rsidR="00984176" w:rsidRDefault="00000000">
      <w:pPr>
        <w:spacing w:after="204" w:line="356" w:lineRule="auto"/>
        <w:ind w:left="-5"/>
      </w:pPr>
      <w:r>
        <w:rPr>
          <w:rFonts w:cs="Trebuchet MS"/>
          <w:b/>
          <w:sz w:val="28"/>
        </w:rPr>
        <w:t xml:space="preserve">The Impact of Retail Electricity Price Rises and Inflation on Energy Poverty in NSW. </w:t>
      </w:r>
    </w:p>
    <w:p w14:paraId="79FA24C1" w14:textId="77777777" w:rsidR="00984176" w:rsidRDefault="00000000">
      <w:pPr>
        <w:spacing w:after="114" w:line="259" w:lineRule="auto"/>
        <w:ind w:left="0" w:firstLine="0"/>
      </w:pPr>
      <w:r>
        <w:t xml:space="preserve"> </w:t>
      </w:r>
    </w:p>
    <w:p w14:paraId="0C60F53B" w14:textId="77777777" w:rsidR="00984176" w:rsidRDefault="00000000">
      <w:pPr>
        <w:spacing w:after="114" w:line="259" w:lineRule="auto"/>
        <w:ind w:left="0" w:firstLine="0"/>
      </w:pPr>
      <w:r>
        <w:t xml:space="preserve"> </w:t>
      </w:r>
    </w:p>
    <w:p w14:paraId="7EAC884F" w14:textId="77777777" w:rsidR="00984176" w:rsidRDefault="00000000">
      <w:pPr>
        <w:spacing w:after="153" w:line="259" w:lineRule="auto"/>
        <w:ind w:left="0" w:firstLine="0"/>
      </w:pPr>
      <w:r>
        <w:t xml:space="preserve"> </w:t>
      </w:r>
    </w:p>
    <w:p w14:paraId="3B9BB529" w14:textId="60398101" w:rsidR="00984176" w:rsidRDefault="00000000" w:rsidP="00986A19">
      <w:pPr>
        <w:spacing w:after="334" w:line="259" w:lineRule="auto"/>
        <w:ind w:left="-5"/>
        <w:rPr>
          <w:rFonts w:cs="Trebuchet MS"/>
          <w:b/>
          <w:sz w:val="28"/>
        </w:rPr>
      </w:pPr>
      <w:r>
        <w:rPr>
          <w:rFonts w:cs="Trebuchet MS"/>
          <w:b/>
          <w:sz w:val="28"/>
        </w:rPr>
        <w:t xml:space="preserve">Paul Ward </w:t>
      </w:r>
    </w:p>
    <w:p w14:paraId="21E54F61" w14:textId="25054A43" w:rsidR="00986A19" w:rsidRDefault="00986A19" w:rsidP="00986A19">
      <w:r>
        <w:t>p</w:t>
      </w:r>
      <w:r w:rsidRPr="00986A19">
        <w:t>aul.ward@tueor.net</w:t>
      </w:r>
    </w:p>
    <w:p w14:paraId="7275C440" w14:textId="1113FD07" w:rsidR="00986A19" w:rsidRDefault="00986A19" w:rsidP="00986A19">
      <w:r>
        <w:t>+61 484 762 875</w:t>
      </w:r>
    </w:p>
    <w:p w14:paraId="0E71EC77" w14:textId="77777777" w:rsidR="00986A19" w:rsidRDefault="00986A19">
      <w:pPr>
        <w:spacing w:after="0" w:line="238" w:lineRule="auto"/>
        <w:ind w:left="0" w:right="18" w:firstLine="0"/>
        <w:rPr>
          <w:sz w:val="18"/>
        </w:rPr>
      </w:pPr>
    </w:p>
    <w:p w14:paraId="07428138" w14:textId="77777777" w:rsidR="00986A19" w:rsidRDefault="00986A19">
      <w:pPr>
        <w:spacing w:after="0" w:line="238" w:lineRule="auto"/>
        <w:ind w:left="0" w:right="18" w:firstLine="0"/>
        <w:rPr>
          <w:sz w:val="18"/>
        </w:rPr>
      </w:pPr>
    </w:p>
    <w:p w14:paraId="16E5D5CF" w14:textId="77777777" w:rsidR="00986A19" w:rsidRDefault="00986A19">
      <w:pPr>
        <w:spacing w:after="0" w:line="238" w:lineRule="auto"/>
        <w:ind w:left="0" w:right="18" w:firstLine="0"/>
        <w:rPr>
          <w:sz w:val="18"/>
        </w:rPr>
        <w:sectPr w:rsidR="00986A19">
          <w:footerReference w:type="even" r:id="rId7"/>
          <w:footerReference w:type="default" r:id="rId8"/>
          <w:footerReference w:type="first" r:id="rId9"/>
          <w:pgSz w:w="11906" w:h="16838"/>
          <w:pgMar w:top="1711" w:right="1627" w:bottom="567" w:left="1702" w:header="720" w:footer="720" w:gutter="0"/>
          <w:pgNumType w:start="0"/>
          <w:cols w:space="720"/>
          <w:titlePg/>
        </w:sectPr>
      </w:pPr>
    </w:p>
    <w:bookmarkStart w:id="0" w:name="_Toc148132144" w:displacedByCustomXml="next"/>
    <w:sdt>
      <w:sdtPr>
        <w:rPr>
          <w:rFonts w:cs="Times New Roman"/>
          <w:b w:val="0"/>
          <w:color w:val="000000"/>
          <w:sz w:val="24"/>
          <w:lang w:val="en" w:eastAsia="en"/>
        </w:rPr>
        <w:id w:val="672611771"/>
        <w:docPartObj>
          <w:docPartGallery w:val="Table of Contents"/>
        </w:docPartObj>
      </w:sdtPr>
      <w:sdtContent>
        <w:p w14:paraId="0EA86C5A" w14:textId="77777777" w:rsidR="00984176" w:rsidRDefault="00000000">
          <w:pPr>
            <w:pStyle w:val="Heading1"/>
            <w:spacing w:after="372"/>
            <w:ind w:left="-5"/>
          </w:pPr>
          <w:r>
            <w:t>Table of Contents</w:t>
          </w:r>
          <w:bookmarkEnd w:id="0"/>
          <w:r>
            <w:t xml:space="preserve"> </w:t>
          </w:r>
        </w:p>
        <w:p w14:paraId="6E517D1A" w14:textId="77777777" w:rsidR="00984176" w:rsidRDefault="00000000">
          <w:pPr>
            <w:spacing w:after="353" w:line="259" w:lineRule="auto"/>
            <w:ind w:left="0" w:firstLine="0"/>
          </w:pPr>
          <w:r>
            <w:rPr>
              <w:rFonts w:cs="Trebuchet MS"/>
              <w:b/>
              <w:color w:val="002060"/>
              <w:sz w:val="28"/>
            </w:rPr>
            <w:t xml:space="preserve"> </w:t>
          </w:r>
        </w:p>
        <w:p w14:paraId="704A465E" w14:textId="06C58929"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48132144" w:history="1">
            <w:r w:rsidR="00986A19" w:rsidRPr="005E2AFC">
              <w:rPr>
                <w:rStyle w:val="Hyperlink"/>
                <w:noProof/>
              </w:rPr>
              <w:t>Table of Contents</w:t>
            </w:r>
            <w:r w:rsidR="00986A19">
              <w:rPr>
                <w:noProof/>
                <w:webHidden/>
              </w:rPr>
              <w:tab/>
            </w:r>
            <w:r w:rsidR="00986A19">
              <w:rPr>
                <w:noProof/>
                <w:webHidden/>
              </w:rPr>
              <w:fldChar w:fldCharType="begin"/>
            </w:r>
            <w:r w:rsidR="00986A19">
              <w:rPr>
                <w:noProof/>
                <w:webHidden/>
              </w:rPr>
              <w:instrText xml:space="preserve"> PAGEREF _Toc148132144 \h </w:instrText>
            </w:r>
            <w:r w:rsidR="00986A19">
              <w:rPr>
                <w:noProof/>
                <w:webHidden/>
              </w:rPr>
            </w:r>
            <w:r w:rsidR="00986A19">
              <w:rPr>
                <w:noProof/>
                <w:webHidden/>
              </w:rPr>
              <w:fldChar w:fldCharType="separate"/>
            </w:r>
            <w:r w:rsidR="00986A19">
              <w:rPr>
                <w:noProof/>
                <w:webHidden/>
              </w:rPr>
              <w:t>0</w:t>
            </w:r>
            <w:r w:rsidR="00986A19">
              <w:rPr>
                <w:noProof/>
                <w:webHidden/>
              </w:rPr>
              <w:fldChar w:fldCharType="end"/>
            </w:r>
          </w:hyperlink>
        </w:p>
        <w:p w14:paraId="6C7A88D8" w14:textId="0D45A255"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45" w:history="1">
            <w:r w:rsidR="00986A19" w:rsidRPr="005E2AFC">
              <w:rPr>
                <w:rStyle w:val="Hyperlink"/>
                <w:noProof/>
              </w:rPr>
              <w:t>Abbreviations, Acronyms, Initialisms, or Terms</w:t>
            </w:r>
            <w:r w:rsidR="00986A19">
              <w:rPr>
                <w:noProof/>
                <w:webHidden/>
              </w:rPr>
              <w:tab/>
            </w:r>
            <w:r w:rsidR="00986A19">
              <w:rPr>
                <w:noProof/>
                <w:webHidden/>
              </w:rPr>
              <w:fldChar w:fldCharType="begin"/>
            </w:r>
            <w:r w:rsidR="00986A19">
              <w:rPr>
                <w:noProof/>
                <w:webHidden/>
              </w:rPr>
              <w:instrText xml:space="preserve"> PAGEREF _Toc148132145 \h </w:instrText>
            </w:r>
            <w:r w:rsidR="00986A19">
              <w:rPr>
                <w:noProof/>
                <w:webHidden/>
              </w:rPr>
            </w:r>
            <w:r w:rsidR="00986A19">
              <w:rPr>
                <w:noProof/>
                <w:webHidden/>
              </w:rPr>
              <w:fldChar w:fldCharType="separate"/>
            </w:r>
            <w:r w:rsidR="00986A19">
              <w:rPr>
                <w:noProof/>
                <w:webHidden/>
              </w:rPr>
              <w:t>1</w:t>
            </w:r>
            <w:r w:rsidR="00986A19">
              <w:rPr>
                <w:noProof/>
                <w:webHidden/>
              </w:rPr>
              <w:fldChar w:fldCharType="end"/>
            </w:r>
          </w:hyperlink>
        </w:p>
        <w:p w14:paraId="33E0BAAF" w14:textId="47C82695"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46" w:history="1">
            <w:r w:rsidR="00986A19" w:rsidRPr="005E2AFC">
              <w:rPr>
                <w:rStyle w:val="Hyperlink"/>
                <w:noProof/>
              </w:rPr>
              <w:t>Introduction</w:t>
            </w:r>
            <w:r w:rsidR="00986A19">
              <w:rPr>
                <w:noProof/>
                <w:webHidden/>
              </w:rPr>
              <w:tab/>
            </w:r>
            <w:r w:rsidR="00986A19">
              <w:rPr>
                <w:noProof/>
                <w:webHidden/>
              </w:rPr>
              <w:fldChar w:fldCharType="begin"/>
            </w:r>
            <w:r w:rsidR="00986A19">
              <w:rPr>
                <w:noProof/>
                <w:webHidden/>
              </w:rPr>
              <w:instrText xml:space="preserve"> PAGEREF _Toc148132146 \h </w:instrText>
            </w:r>
            <w:r w:rsidR="00986A19">
              <w:rPr>
                <w:noProof/>
                <w:webHidden/>
              </w:rPr>
            </w:r>
            <w:r w:rsidR="00986A19">
              <w:rPr>
                <w:noProof/>
                <w:webHidden/>
              </w:rPr>
              <w:fldChar w:fldCharType="separate"/>
            </w:r>
            <w:r w:rsidR="00986A19">
              <w:rPr>
                <w:noProof/>
                <w:webHidden/>
              </w:rPr>
              <w:t>2</w:t>
            </w:r>
            <w:r w:rsidR="00986A19">
              <w:rPr>
                <w:noProof/>
                <w:webHidden/>
              </w:rPr>
              <w:fldChar w:fldCharType="end"/>
            </w:r>
          </w:hyperlink>
        </w:p>
        <w:p w14:paraId="4F669AEC" w14:textId="660F65AE"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47" w:history="1">
            <w:r w:rsidR="00986A19" w:rsidRPr="005E2AFC">
              <w:rPr>
                <w:rStyle w:val="Hyperlink"/>
                <w:noProof/>
              </w:rPr>
              <w:t>1.0</w:t>
            </w:r>
            <w:r w:rsidR="00986A19" w:rsidRPr="005E2AFC">
              <w:rPr>
                <w:rStyle w:val="Hyperlink"/>
                <w:rFonts w:ascii="Arial" w:eastAsia="Arial" w:hAnsi="Arial" w:cs="Arial"/>
                <w:noProof/>
              </w:rPr>
              <w:t xml:space="preserve"> </w:t>
            </w:r>
            <w:r w:rsidR="00986A19" w:rsidRPr="005E2AFC">
              <w:rPr>
                <w:rStyle w:val="Hyperlink"/>
                <w:noProof/>
              </w:rPr>
              <w:t>Background</w:t>
            </w:r>
            <w:r w:rsidR="00986A19">
              <w:rPr>
                <w:noProof/>
                <w:webHidden/>
              </w:rPr>
              <w:tab/>
            </w:r>
            <w:r w:rsidR="00986A19">
              <w:rPr>
                <w:noProof/>
                <w:webHidden/>
              </w:rPr>
              <w:fldChar w:fldCharType="begin"/>
            </w:r>
            <w:r w:rsidR="00986A19">
              <w:rPr>
                <w:noProof/>
                <w:webHidden/>
              </w:rPr>
              <w:instrText xml:space="preserve"> PAGEREF _Toc148132147 \h </w:instrText>
            </w:r>
            <w:r w:rsidR="00986A19">
              <w:rPr>
                <w:noProof/>
                <w:webHidden/>
              </w:rPr>
            </w:r>
            <w:r w:rsidR="00986A19">
              <w:rPr>
                <w:noProof/>
                <w:webHidden/>
              </w:rPr>
              <w:fldChar w:fldCharType="separate"/>
            </w:r>
            <w:r w:rsidR="00986A19">
              <w:rPr>
                <w:noProof/>
                <w:webHidden/>
              </w:rPr>
              <w:t>3</w:t>
            </w:r>
            <w:r w:rsidR="00986A19">
              <w:rPr>
                <w:noProof/>
                <w:webHidden/>
              </w:rPr>
              <w:fldChar w:fldCharType="end"/>
            </w:r>
          </w:hyperlink>
        </w:p>
        <w:p w14:paraId="2E523749" w14:textId="618B4895"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48" w:history="1">
            <w:r w:rsidR="00986A19" w:rsidRPr="005E2AFC">
              <w:rPr>
                <w:rStyle w:val="Hyperlink"/>
                <w:noProof/>
              </w:rPr>
              <w:t>2.0 Literature Review</w:t>
            </w:r>
            <w:r w:rsidR="00986A19">
              <w:rPr>
                <w:noProof/>
                <w:webHidden/>
              </w:rPr>
              <w:tab/>
            </w:r>
            <w:r w:rsidR="00986A19">
              <w:rPr>
                <w:noProof/>
                <w:webHidden/>
              </w:rPr>
              <w:fldChar w:fldCharType="begin"/>
            </w:r>
            <w:r w:rsidR="00986A19">
              <w:rPr>
                <w:noProof/>
                <w:webHidden/>
              </w:rPr>
              <w:instrText xml:space="preserve"> PAGEREF _Toc148132148 \h </w:instrText>
            </w:r>
            <w:r w:rsidR="00986A19">
              <w:rPr>
                <w:noProof/>
                <w:webHidden/>
              </w:rPr>
            </w:r>
            <w:r w:rsidR="00986A19">
              <w:rPr>
                <w:noProof/>
                <w:webHidden/>
              </w:rPr>
              <w:fldChar w:fldCharType="separate"/>
            </w:r>
            <w:r w:rsidR="00986A19">
              <w:rPr>
                <w:noProof/>
                <w:webHidden/>
              </w:rPr>
              <w:t>5</w:t>
            </w:r>
            <w:r w:rsidR="00986A19">
              <w:rPr>
                <w:noProof/>
                <w:webHidden/>
              </w:rPr>
              <w:fldChar w:fldCharType="end"/>
            </w:r>
          </w:hyperlink>
        </w:p>
        <w:p w14:paraId="231FC669" w14:textId="17AEEB80" w:rsidR="00986A19" w:rsidRDefault="00000000">
          <w:pPr>
            <w:pStyle w:val="TOC3"/>
            <w:tabs>
              <w:tab w:val="right" w:pos="8567"/>
            </w:tabs>
            <w:rPr>
              <w:rFonts w:asciiTheme="minorHAnsi" w:eastAsiaTheme="minorEastAsia" w:hAnsiTheme="minorHAnsi" w:cstheme="minorBidi"/>
              <w:noProof/>
              <w:color w:val="auto"/>
              <w:sz w:val="22"/>
              <w:szCs w:val="22"/>
              <w:lang w:val="en-GB" w:eastAsia="en-GB"/>
            </w:rPr>
          </w:pPr>
          <w:hyperlink w:anchor="_Toc148132149" w:history="1">
            <w:r w:rsidR="00986A19" w:rsidRPr="005E2AFC">
              <w:rPr>
                <w:rStyle w:val="Hyperlink"/>
                <w:noProof/>
              </w:rPr>
              <w:t>2.1 Energy Poverty</w:t>
            </w:r>
            <w:r w:rsidR="00986A19">
              <w:rPr>
                <w:noProof/>
                <w:webHidden/>
              </w:rPr>
              <w:tab/>
            </w:r>
            <w:r w:rsidR="00986A19">
              <w:rPr>
                <w:noProof/>
                <w:webHidden/>
              </w:rPr>
              <w:fldChar w:fldCharType="begin"/>
            </w:r>
            <w:r w:rsidR="00986A19">
              <w:rPr>
                <w:noProof/>
                <w:webHidden/>
              </w:rPr>
              <w:instrText xml:space="preserve"> PAGEREF _Toc148132149 \h </w:instrText>
            </w:r>
            <w:r w:rsidR="00986A19">
              <w:rPr>
                <w:noProof/>
                <w:webHidden/>
              </w:rPr>
            </w:r>
            <w:r w:rsidR="00986A19">
              <w:rPr>
                <w:noProof/>
                <w:webHidden/>
              </w:rPr>
              <w:fldChar w:fldCharType="separate"/>
            </w:r>
            <w:r w:rsidR="00986A19">
              <w:rPr>
                <w:noProof/>
                <w:webHidden/>
              </w:rPr>
              <w:t>5</w:t>
            </w:r>
            <w:r w:rsidR="00986A19">
              <w:rPr>
                <w:noProof/>
                <w:webHidden/>
              </w:rPr>
              <w:fldChar w:fldCharType="end"/>
            </w:r>
          </w:hyperlink>
        </w:p>
        <w:p w14:paraId="150B6A49" w14:textId="6A939090" w:rsidR="00986A19" w:rsidRDefault="00000000">
          <w:pPr>
            <w:pStyle w:val="TOC3"/>
            <w:tabs>
              <w:tab w:val="right" w:pos="8567"/>
            </w:tabs>
            <w:rPr>
              <w:rFonts w:asciiTheme="minorHAnsi" w:eastAsiaTheme="minorEastAsia" w:hAnsiTheme="minorHAnsi" w:cstheme="minorBidi"/>
              <w:noProof/>
              <w:color w:val="auto"/>
              <w:sz w:val="22"/>
              <w:szCs w:val="22"/>
              <w:lang w:val="en-GB" w:eastAsia="en-GB"/>
            </w:rPr>
          </w:pPr>
          <w:hyperlink w:anchor="_Toc148132150" w:history="1">
            <w:r w:rsidR="00986A19" w:rsidRPr="005E2AFC">
              <w:rPr>
                <w:rStyle w:val="Hyperlink"/>
                <w:noProof/>
              </w:rPr>
              <w:t>2.2 Price Elasticity and Demand</w:t>
            </w:r>
            <w:r w:rsidR="00986A19">
              <w:rPr>
                <w:noProof/>
                <w:webHidden/>
              </w:rPr>
              <w:tab/>
            </w:r>
            <w:r w:rsidR="00986A19">
              <w:rPr>
                <w:noProof/>
                <w:webHidden/>
              </w:rPr>
              <w:fldChar w:fldCharType="begin"/>
            </w:r>
            <w:r w:rsidR="00986A19">
              <w:rPr>
                <w:noProof/>
                <w:webHidden/>
              </w:rPr>
              <w:instrText xml:space="preserve"> PAGEREF _Toc148132150 \h </w:instrText>
            </w:r>
            <w:r w:rsidR="00986A19">
              <w:rPr>
                <w:noProof/>
                <w:webHidden/>
              </w:rPr>
            </w:r>
            <w:r w:rsidR="00986A19">
              <w:rPr>
                <w:noProof/>
                <w:webHidden/>
              </w:rPr>
              <w:fldChar w:fldCharType="separate"/>
            </w:r>
            <w:r w:rsidR="00986A19">
              <w:rPr>
                <w:noProof/>
                <w:webHidden/>
              </w:rPr>
              <w:t>5</w:t>
            </w:r>
            <w:r w:rsidR="00986A19">
              <w:rPr>
                <w:noProof/>
                <w:webHidden/>
              </w:rPr>
              <w:fldChar w:fldCharType="end"/>
            </w:r>
          </w:hyperlink>
        </w:p>
        <w:p w14:paraId="71F93893" w14:textId="296A3A7F" w:rsidR="00986A19" w:rsidRDefault="00000000">
          <w:pPr>
            <w:pStyle w:val="TOC3"/>
            <w:tabs>
              <w:tab w:val="right" w:pos="8567"/>
            </w:tabs>
            <w:rPr>
              <w:rFonts w:asciiTheme="minorHAnsi" w:eastAsiaTheme="minorEastAsia" w:hAnsiTheme="minorHAnsi" w:cstheme="minorBidi"/>
              <w:noProof/>
              <w:color w:val="auto"/>
              <w:sz w:val="22"/>
              <w:szCs w:val="22"/>
              <w:lang w:val="en-GB" w:eastAsia="en-GB"/>
            </w:rPr>
          </w:pPr>
          <w:hyperlink w:anchor="_Toc148132151" w:history="1">
            <w:r w:rsidR="00986A19" w:rsidRPr="005E2AFC">
              <w:rPr>
                <w:rStyle w:val="Hyperlink"/>
                <w:noProof/>
              </w:rPr>
              <w:t>2.3 Hardship Programs and Government Assistance</w:t>
            </w:r>
            <w:r w:rsidR="00986A19">
              <w:rPr>
                <w:noProof/>
                <w:webHidden/>
              </w:rPr>
              <w:tab/>
            </w:r>
            <w:r w:rsidR="00986A19">
              <w:rPr>
                <w:noProof/>
                <w:webHidden/>
              </w:rPr>
              <w:fldChar w:fldCharType="begin"/>
            </w:r>
            <w:r w:rsidR="00986A19">
              <w:rPr>
                <w:noProof/>
                <w:webHidden/>
              </w:rPr>
              <w:instrText xml:space="preserve"> PAGEREF _Toc148132151 \h </w:instrText>
            </w:r>
            <w:r w:rsidR="00986A19">
              <w:rPr>
                <w:noProof/>
                <w:webHidden/>
              </w:rPr>
            </w:r>
            <w:r w:rsidR="00986A19">
              <w:rPr>
                <w:noProof/>
                <w:webHidden/>
              </w:rPr>
              <w:fldChar w:fldCharType="separate"/>
            </w:r>
            <w:r w:rsidR="00986A19">
              <w:rPr>
                <w:noProof/>
                <w:webHidden/>
              </w:rPr>
              <w:t>6</w:t>
            </w:r>
            <w:r w:rsidR="00986A19">
              <w:rPr>
                <w:noProof/>
                <w:webHidden/>
              </w:rPr>
              <w:fldChar w:fldCharType="end"/>
            </w:r>
          </w:hyperlink>
        </w:p>
        <w:p w14:paraId="00FC593D" w14:textId="4F685F30"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2" w:history="1">
            <w:r w:rsidR="00986A19" w:rsidRPr="005E2AFC">
              <w:rPr>
                <w:rStyle w:val="Hyperlink"/>
                <w:noProof/>
              </w:rPr>
              <w:t>3.0 The Research Problem</w:t>
            </w:r>
            <w:r w:rsidR="00986A19">
              <w:rPr>
                <w:noProof/>
                <w:webHidden/>
              </w:rPr>
              <w:tab/>
            </w:r>
            <w:r w:rsidR="00986A19">
              <w:rPr>
                <w:noProof/>
                <w:webHidden/>
              </w:rPr>
              <w:fldChar w:fldCharType="begin"/>
            </w:r>
            <w:r w:rsidR="00986A19">
              <w:rPr>
                <w:noProof/>
                <w:webHidden/>
              </w:rPr>
              <w:instrText xml:space="preserve"> PAGEREF _Toc148132152 \h </w:instrText>
            </w:r>
            <w:r w:rsidR="00986A19">
              <w:rPr>
                <w:noProof/>
                <w:webHidden/>
              </w:rPr>
            </w:r>
            <w:r w:rsidR="00986A19">
              <w:rPr>
                <w:noProof/>
                <w:webHidden/>
              </w:rPr>
              <w:fldChar w:fldCharType="separate"/>
            </w:r>
            <w:r w:rsidR="00986A19">
              <w:rPr>
                <w:noProof/>
                <w:webHidden/>
              </w:rPr>
              <w:t>8</w:t>
            </w:r>
            <w:r w:rsidR="00986A19">
              <w:rPr>
                <w:noProof/>
                <w:webHidden/>
              </w:rPr>
              <w:fldChar w:fldCharType="end"/>
            </w:r>
          </w:hyperlink>
        </w:p>
        <w:p w14:paraId="6BF83A1F" w14:textId="35A5F4AE"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3" w:history="1">
            <w:r w:rsidR="00986A19" w:rsidRPr="005E2AFC">
              <w:rPr>
                <w:rStyle w:val="Hyperlink"/>
                <w:noProof/>
              </w:rPr>
              <w:t>4.0 The Research Question</w:t>
            </w:r>
            <w:r w:rsidR="00986A19">
              <w:rPr>
                <w:noProof/>
                <w:webHidden/>
              </w:rPr>
              <w:tab/>
            </w:r>
            <w:r w:rsidR="00986A19">
              <w:rPr>
                <w:noProof/>
                <w:webHidden/>
              </w:rPr>
              <w:fldChar w:fldCharType="begin"/>
            </w:r>
            <w:r w:rsidR="00986A19">
              <w:rPr>
                <w:noProof/>
                <w:webHidden/>
              </w:rPr>
              <w:instrText xml:space="preserve"> PAGEREF _Toc148132153 \h </w:instrText>
            </w:r>
            <w:r w:rsidR="00986A19">
              <w:rPr>
                <w:noProof/>
                <w:webHidden/>
              </w:rPr>
            </w:r>
            <w:r w:rsidR="00986A19">
              <w:rPr>
                <w:noProof/>
                <w:webHidden/>
              </w:rPr>
              <w:fldChar w:fldCharType="separate"/>
            </w:r>
            <w:r w:rsidR="00986A19">
              <w:rPr>
                <w:noProof/>
                <w:webHidden/>
              </w:rPr>
              <w:t>10</w:t>
            </w:r>
            <w:r w:rsidR="00986A19">
              <w:rPr>
                <w:noProof/>
                <w:webHidden/>
              </w:rPr>
              <w:fldChar w:fldCharType="end"/>
            </w:r>
          </w:hyperlink>
        </w:p>
        <w:p w14:paraId="2CDAA39C" w14:textId="3989C6C8"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4" w:history="1">
            <w:r w:rsidR="00986A19" w:rsidRPr="005E2AFC">
              <w:rPr>
                <w:rStyle w:val="Hyperlink"/>
                <w:noProof/>
              </w:rPr>
              <w:t>5.0 Theoretical Framework</w:t>
            </w:r>
            <w:r w:rsidR="00986A19">
              <w:rPr>
                <w:noProof/>
                <w:webHidden/>
              </w:rPr>
              <w:tab/>
            </w:r>
            <w:r w:rsidR="00986A19">
              <w:rPr>
                <w:noProof/>
                <w:webHidden/>
              </w:rPr>
              <w:fldChar w:fldCharType="begin"/>
            </w:r>
            <w:r w:rsidR="00986A19">
              <w:rPr>
                <w:noProof/>
                <w:webHidden/>
              </w:rPr>
              <w:instrText xml:space="preserve"> PAGEREF _Toc148132154 \h </w:instrText>
            </w:r>
            <w:r w:rsidR="00986A19">
              <w:rPr>
                <w:noProof/>
                <w:webHidden/>
              </w:rPr>
            </w:r>
            <w:r w:rsidR="00986A19">
              <w:rPr>
                <w:noProof/>
                <w:webHidden/>
              </w:rPr>
              <w:fldChar w:fldCharType="separate"/>
            </w:r>
            <w:r w:rsidR="00986A19">
              <w:rPr>
                <w:noProof/>
                <w:webHidden/>
              </w:rPr>
              <w:t>11</w:t>
            </w:r>
            <w:r w:rsidR="00986A19">
              <w:rPr>
                <w:noProof/>
                <w:webHidden/>
              </w:rPr>
              <w:fldChar w:fldCharType="end"/>
            </w:r>
          </w:hyperlink>
        </w:p>
        <w:p w14:paraId="5AC36FB6" w14:textId="7394A6FB"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5" w:history="1">
            <w:r w:rsidR="00986A19" w:rsidRPr="005E2AFC">
              <w:rPr>
                <w:rStyle w:val="Hyperlink"/>
                <w:noProof/>
              </w:rPr>
              <w:t>6.0 Method</w:t>
            </w:r>
            <w:r w:rsidR="00986A19">
              <w:rPr>
                <w:noProof/>
                <w:webHidden/>
              </w:rPr>
              <w:tab/>
            </w:r>
            <w:r w:rsidR="00986A19">
              <w:rPr>
                <w:noProof/>
                <w:webHidden/>
              </w:rPr>
              <w:fldChar w:fldCharType="begin"/>
            </w:r>
            <w:r w:rsidR="00986A19">
              <w:rPr>
                <w:noProof/>
                <w:webHidden/>
              </w:rPr>
              <w:instrText xml:space="preserve"> PAGEREF _Toc148132155 \h </w:instrText>
            </w:r>
            <w:r w:rsidR="00986A19">
              <w:rPr>
                <w:noProof/>
                <w:webHidden/>
              </w:rPr>
            </w:r>
            <w:r w:rsidR="00986A19">
              <w:rPr>
                <w:noProof/>
                <w:webHidden/>
              </w:rPr>
              <w:fldChar w:fldCharType="separate"/>
            </w:r>
            <w:r w:rsidR="00986A19">
              <w:rPr>
                <w:noProof/>
                <w:webHidden/>
              </w:rPr>
              <w:t>12</w:t>
            </w:r>
            <w:r w:rsidR="00986A19">
              <w:rPr>
                <w:noProof/>
                <w:webHidden/>
              </w:rPr>
              <w:fldChar w:fldCharType="end"/>
            </w:r>
          </w:hyperlink>
        </w:p>
        <w:p w14:paraId="16A1835E" w14:textId="63D05936" w:rsidR="00986A19" w:rsidRDefault="00000000">
          <w:pPr>
            <w:pStyle w:val="TOC3"/>
            <w:tabs>
              <w:tab w:val="right" w:pos="8567"/>
            </w:tabs>
            <w:rPr>
              <w:rFonts w:asciiTheme="minorHAnsi" w:eastAsiaTheme="minorEastAsia" w:hAnsiTheme="minorHAnsi" w:cstheme="minorBidi"/>
              <w:noProof/>
              <w:color w:val="auto"/>
              <w:sz w:val="22"/>
              <w:szCs w:val="22"/>
              <w:lang w:val="en-GB" w:eastAsia="en-GB"/>
            </w:rPr>
          </w:pPr>
          <w:hyperlink w:anchor="_Toc148132156" w:history="1">
            <w:r w:rsidR="00986A19" w:rsidRPr="005E2AFC">
              <w:rPr>
                <w:rStyle w:val="Hyperlink"/>
                <w:noProof/>
              </w:rPr>
              <w:t>6.1 Data</w:t>
            </w:r>
            <w:r w:rsidR="00986A19">
              <w:rPr>
                <w:noProof/>
                <w:webHidden/>
              </w:rPr>
              <w:tab/>
            </w:r>
            <w:r w:rsidR="00986A19">
              <w:rPr>
                <w:noProof/>
                <w:webHidden/>
              </w:rPr>
              <w:fldChar w:fldCharType="begin"/>
            </w:r>
            <w:r w:rsidR="00986A19">
              <w:rPr>
                <w:noProof/>
                <w:webHidden/>
              </w:rPr>
              <w:instrText xml:space="preserve"> PAGEREF _Toc148132156 \h </w:instrText>
            </w:r>
            <w:r w:rsidR="00986A19">
              <w:rPr>
                <w:noProof/>
                <w:webHidden/>
              </w:rPr>
            </w:r>
            <w:r w:rsidR="00986A19">
              <w:rPr>
                <w:noProof/>
                <w:webHidden/>
              </w:rPr>
              <w:fldChar w:fldCharType="separate"/>
            </w:r>
            <w:r w:rsidR="00986A19">
              <w:rPr>
                <w:noProof/>
                <w:webHidden/>
              </w:rPr>
              <w:t>12</w:t>
            </w:r>
            <w:r w:rsidR="00986A19">
              <w:rPr>
                <w:noProof/>
                <w:webHidden/>
              </w:rPr>
              <w:fldChar w:fldCharType="end"/>
            </w:r>
          </w:hyperlink>
        </w:p>
        <w:p w14:paraId="4D39765A" w14:textId="21E39A77" w:rsidR="00986A19" w:rsidRDefault="00000000">
          <w:pPr>
            <w:pStyle w:val="TOC3"/>
            <w:tabs>
              <w:tab w:val="right" w:pos="8567"/>
            </w:tabs>
            <w:rPr>
              <w:rFonts w:asciiTheme="minorHAnsi" w:eastAsiaTheme="minorEastAsia" w:hAnsiTheme="minorHAnsi" w:cstheme="minorBidi"/>
              <w:noProof/>
              <w:color w:val="auto"/>
              <w:sz w:val="22"/>
              <w:szCs w:val="22"/>
              <w:lang w:val="en-GB" w:eastAsia="en-GB"/>
            </w:rPr>
          </w:pPr>
          <w:hyperlink w:anchor="_Toc148132157" w:history="1">
            <w:r w:rsidR="00986A19" w:rsidRPr="005E2AFC">
              <w:rPr>
                <w:rStyle w:val="Hyperlink"/>
                <w:noProof/>
              </w:rPr>
              <w:t>6.2 Model</w:t>
            </w:r>
            <w:r w:rsidR="00986A19">
              <w:rPr>
                <w:noProof/>
                <w:webHidden/>
              </w:rPr>
              <w:tab/>
            </w:r>
            <w:r w:rsidR="00986A19">
              <w:rPr>
                <w:noProof/>
                <w:webHidden/>
              </w:rPr>
              <w:fldChar w:fldCharType="begin"/>
            </w:r>
            <w:r w:rsidR="00986A19">
              <w:rPr>
                <w:noProof/>
                <w:webHidden/>
              </w:rPr>
              <w:instrText xml:space="preserve"> PAGEREF _Toc148132157 \h </w:instrText>
            </w:r>
            <w:r w:rsidR="00986A19">
              <w:rPr>
                <w:noProof/>
                <w:webHidden/>
              </w:rPr>
            </w:r>
            <w:r w:rsidR="00986A19">
              <w:rPr>
                <w:noProof/>
                <w:webHidden/>
              </w:rPr>
              <w:fldChar w:fldCharType="separate"/>
            </w:r>
            <w:r w:rsidR="00986A19">
              <w:rPr>
                <w:noProof/>
                <w:webHidden/>
              </w:rPr>
              <w:t>13</w:t>
            </w:r>
            <w:r w:rsidR="00986A19">
              <w:rPr>
                <w:noProof/>
                <w:webHidden/>
              </w:rPr>
              <w:fldChar w:fldCharType="end"/>
            </w:r>
          </w:hyperlink>
        </w:p>
        <w:p w14:paraId="307E464B" w14:textId="175D668B"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8" w:history="1">
            <w:r w:rsidR="00986A19" w:rsidRPr="005E2AFC">
              <w:rPr>
                <w:rStyle w:val="Hyperlink"/>
                <w:noProof/>
              </w:rPr>
              <w:t>7.0 Envisaged Contribution</w:t>
            </w:r>
            <w:r w:rsidR="00986A19">
              <w:rPr>
                <w:noProof/>
                <w:webHidden/>
              </w:rPr>
              <w:tab/>
            </w:r>
            <w:r w:rsidR="00986A19">
              <w:rPr>
                <w:noProof/>
                <w:webHidden/>
              </w:rPr>
              <w:fldChar w:fldCharType="begin"/>
            </w:r>
            <w:r w:rsidR="00986A19">
              <w:rPr>
                <w:noProof/>
                <w:webHidden/>
              </w:rPr>
              <w:instrText xml:space="preserve"> PAGEREF _Toc148132158 \h </w:instrText>
            </w:r>
            <w:r w:rsidR="00986A19">
              <w:rPr>
                <w:noProof/>
                <w:webHidden/>
              </w:rPr>
            </w:r>
            <w:r w:rsidR="00986A19">
              <w:rPr>
                <w:noProof/>
                <w:webHidden/>
              </w:rPr>
              <w:fldChar w:fldCharType="separate"/>
            </w:r>
            <w:r w:rsidR="00986A19">
              <w:rPr>
                <w:noProof/>
                <w:webHidden/>
              </w:rPr>
              <w:t>14</w:t>
            </w:r>
            <w:r w:rsidR="00986A19">
              <w:rPr>
                <w:noProof/>
                <w:webHidden/>
              </w:rPr>
              <w:fldChar w:fldCharType="end"/>
            </w:r>
          </w:hyperlink>
        </w:p>
        <w:p w14:paraId="775B7ECA" w14:textId="4C87A036"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59" w:history="1">
            <w:r w:rsidR="00986A19" w:rsidRPr="005E2AFC">
              <w:rPr>
                <w:rStyle w:val="Hyperlink"/>
                <w:noProof/>
              </w:rPr>
              <w:t>8.0 Anticipated Issues</w:t>
            </w:r>
            <w:r w:rsidR="00986A19">
              <w:rPr>
                <w:noProof/>
                <w:webHidden/>
              </w:rPr>
              <w:tab/>
            </w:r>
            <w:r w:rsidR="00986A19">
              <w:rPr>
                <w:noProof/>
                <w:webHidden/>
              </w:rPr>
              <w:fldChar w:fldCharType="begin"/>
            </w:r>
            <w:r w:rsidR="00986A19">
              <w:rPr>
                <w:noProof/>
                <w:webHidden/>
              </w:rPr>
              <w:instrText xml:space="preserve"> PAGEREF _Toc148132159 \h </w:instrText>
            </w:r>
            <w:r w:rsidR="00986A19">
              <w:rPr>
                <w:noProof/>
                <w:webHidden/>
              </w:rPr>
            </w:r>
            <w:r w:rsidR="00986A19">
              <w:rPr>
                <w:noProof/>
                <w:webHidden/>
              </w:rPr>
              <w:fldChar w:fldCharType="separate"/>
            </w:r>
            <w:r w:rsidR="00986A19">
              <w:rPr>
                <w:noProof/>
                <w:webHidden/>
              </w:rPr>
              <w:t>15</w:t>
            </w:r>
            <w:r w:rsidR="00986A19">
              <w:rPr>
                <w:noProof/>
                <w:webHidden/>
              </w:rPr>
              <w:fldChar w:fldCharType="end"/>
            </w:r>
          </w:hyperlink>
        </w:p>
        <w:p w14:paraId="0C1BF988" w14:textId="3A51B1CC"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60" w:history="1">
            <w:r w:rsidR="00986A19" w:rsidRPr="005E2AFC">
              <w:rPr>
                <w:rStyle w:val="Hyperlink"/>
                <w:noProof/>
              </w:rPr>
              <w:t>9.0 Timelines</w:t>
            </w:r>
            <w:r w:rsidR="00986A19">
              <w:rPr>
                <w:noProof/>
                <w:webHidden/>
              </w:rPr>
              <w:tab/>
            </w:r>
            <w:r w:rsidR="00986A19">
              <w:rPr>
                <w:noProof/>
                <w:webHidden/>
              </w:rPr>
              <w:fldChar w:fldCharType="begin"/>
            </w:r>
            <w:r w:rsidR="00986A19">
              <w:rPr>
                <w:noProof/>
                <w:webHidden/>
              </w:rPr>
              <w:instrText xml:space="preserve"> PAGEREF _Toc148132160 \h </w:instrText>
            </w:r>
            <w:r w:rsidR="00986A19">
              <w:rPr>
                <w:noProof/>
                <w:webHidden/>
              </w:rPr>
            </w:r>
            <w:r w:rsidR="00986A19">
              <w:rPr>
                <w:noProof/>
                <w:webHidden/>
              </w:rPr>
              <w:fldChar w:fldCharType="separate"/>
            </w:r>
            <w:r w:rsidR="00986A19">
              <w:rPr>
                <w:noProof/>
                <w:webHidden/>
              </w:rPr>
              <w:t>16</w:t>
            </w:r>
            <w:r w:rsidR="00986A19">
              <w:rPr>
                <w:noProof/>
                <w:webHidden/>
              </w:rPr>
              <w:fldChar w:fldCharType="end"/>
            </w:r>
          </w:hyperlink>
        </w:p>
        <w:p w14:paraId="28408A7C" w14:textId="77E200FE" w:rsidR="00986A19" w:rsidRDefault="00000000">
          <w:pPr>
            <w:pStyle w:val="TOC1"/>
            <w:tabs>
              <w:tab w:val="right" w:pos="8567"/>
            </w:tabs>
            <w:rPr>
              <w:rFonts w:asciiTheme="minorHAnsi" w:eastAsiaTheme="minorEastAsia" w:hAnsiTheme="minorHAnsi" w:cstheme="minorBidi"/>
              <w:noProof/>
              <w:color w:val="auto"/>
              <w:sz w:val="22"/>
              <w:szCs w:val="22"/>
              <w:lang w:val="en-GB" w:eastAsia="en-GB"/>
            </w:rPr>
          </w:pPr>
          <w:hyperlink w:anchor="_Toc148132161" w:history="1">
            <w:r w:rsidR="00986A19" w:rsidRPr="005E2AFC">
              <w:rPr>
                <w:rStyle w:val="Hyperlink"/>
                <w:noProof/>
              </w:rPr>
              <w:t>10.0 References</w:t>
            </w:r>
            <w:r w:rsidR="00986A19">
              <w:rPr>
                <w:noProof/>
                <w:webHidden/>
              </w:rPr>
              <w:tab/>
            </w:r>
            <w:r w:rsidR="00986A19">
              <w:rPr>
                <w:noProof/>
                <w:webHidden/>
              </w:rPr>
              <w:fldChar w:fldCharType="begin"/>
            </w:r>
            <w:r w:rsidR="00986A19">
              <w:rPr>
                <w:noProof/>
                <w:webHidden/>
              </w:rPr>
              <w:instrText xml:space="preserve"> PAGEREF _Toc148132161 \h </w:instrText>
            </w:r>
            <w:r w:rsidR="00986A19">
              <w:rPr>
                <w:noProof/>
                <w:webHidden/>
              </w:rPr>
            </w:r>
            <w:r w:rsidR="00986A19">
              <w:rPr>
                <w:noProof/>
                <w:webHidden/>
              </w:rPr>
              <w:fldChar w:fldCharType="separate"/>
            </w:r>
            <w:r w:rsidR="00986A19">
              <w:rPr>
                <w:noProof/>
                <w:webHidden/>
              </w:rPr>
              <w:t>17</w:t>
            </w:r>
            <w:r w:rsidR="00986A19">
              <w:rPr>
                <w:noProof/>
                <w:webHidden/>
              </w:rPr>
              <w:fldChar w:fldCharType="end"/>
            </w:r>
          </w:hyperlink>
        </w:p>
        <w:p w14:paraId="233326E3" w14:textId="4F0D73BD" w:rsidR="00984176" w:rsidRDefault="00000000">
          <w:r>
            <w:fldChar w:fldCharType="end"/>
          </w:r>
        </w:p>
      </w:sdtContent>
    </w:sdt>
    <w:p w14:paraId="428AC72B" w14:textId="6372EE21" w:rsidR="00984176" w:rsidRDefault="00984176" w:rsidP="00986A19">
      <w:pPr>
        <w:spacing w:after="114" w:line="259" w:lineRule="auto"/>
        <w:ind w:left="0" w:firstLine="0"/>
      </w:pPr>
    </w:p>
    <w:p w14:paraId="1AF0D78E" w14:textId="77777777" w:rsidR="00986A19" w:rsidRDefault="00986A19">
      <w:pPr>
        <w:spacing w:after="0" w:line="240" w:lineRule="auto"/>
        <w:ind w:left="0" w:firstLine="0"/>
        <w:rPr>
          <w:rFonts w:cs="Trebuchet MS"/>
          <w:b/>
          <w:color w:val="002060"/>
          <w:sz w:val="28"/>
          <w:lang w:val="en-AU" w:eastAsia="zh-CN"/>
        </w:rPr>
      </w:pPr>
      <w:r>
        <w:br w:type="page"/>
      </w:r>
    </w:p>
    <w:p w14:paraId="61079C9A" w14:textId="4B2664AB" w:rsidR="00984176" w:rsidRDefault="00000000">
      <w:pPr>
        <w:pStyle w:val="Heading1"/>
        <w:spacing w:after="52"/>
        <w:ind w:left="-5"/>
      </w:pPr>
      <w:bookmarkStart w:id="1" w:name="_Toc148132145"/>
      <w:r>
        <w:lastRenderedPageBreak/>
        <w:t>Abbreviations, Acronyms, Initialisms, or Terms</w:t>
      </w:r>
      <w:bookmarkEnd w:id="1"/>
      <w:r>
        <w:t xml:space="preserve"> </w:t>
      </w:r>
    </w:p>
    <w:p w14:paraId="07D7B42D" w14:textId="77777777" w:rsidR="00986A19" w:rsidRPr="00986A19" w:rsidRDefault="00986A19" w:rsidP="00986A19">
      <w:pPr>
        <w:rPr>
          <w:lang w:val="en-AU" w:eastAsia="zh-CN"/>
        </w:rPr>
      </w:pPr>
    </w:p>
    <w:tbl>
      <w:tblPr>
        <w:tblStyle w:val="TableGrid"/>
        <w:tblW w:w="8502" w:type="dxa"/>
        <w:tblInd w:w="1" w:type="dxa"/>
        <w:tblCellMar>
          <w:left w:w="107" w:type="dxa"/>
          <w:right w:w="115" w:type="dxa"/>
        </w:tblCellMar>
        <w:tblLook w:val="04A0" w:firstRow="1" w:lastRow="0" w:firstColumn="1" w:lastColumn="0" w:noHBand="0" w:noVBand="1"/>
      </w:tblPr>
      <w:tblGrid>
        <w:gridCol w:w="2970"/>
        <w:gridCol w:w="5532"/>
      </w:tblGrid>
      <w:tr w:rsidR="00984176" w14:paraId="42930C9B" w14:textId="77777777">
        <w:trPr>
          <w:trHeight w:val="857"/>
        </w:trPr>
        <w:tc>
          <w:tcPr>
            <w:tcW w:w="2970" w:type="dxa"/>
            <w:tcBorders>
              <w:top w:val="single" w:sz="4" w:space="0" w:color="002060"/>
              <w:left w:val="single" w:sz="4" w:space="0" w:color="002060"/>
              <w:bottom w:val="single" w:sz="4" w:space="0" w:color="002060"/>
              <w:right w:val="single" w:sz="4" w:space="0" w:color="002060"/>
            </w:tcBorders>
            <w:shd w:val="clear" w:color="auto" w:fill="D9D9D9"/>
            <w:vAlign w:val="center"/>
          </w:tcPr>
          <w:p w14:paraId="7C0FB3EE" w14:textId="7927DFF0" w:rsidR="00984176" w:rsidRDefault="00000000">
            <w:pPr>
              <w:spacing w:after="0" w:line="259" w:lineRule="auto"/>
              <w:ind w:left="0" w:firstLine="0"/>
            </w:pPr>
            <w:r>
              <w:rPr>
                <w:b/>
                <w:sz w:val="22"/>
              </w:rPr>
              <w:t xml:space="preserve">Term </w:t>
            </w:r>
          </w:p>
        </w:tc>
        <w:tc>
          <w:tcPr>
            <w:tcW w:w="5532" w:type="dxa"/>
            <w:tcBorders>
              <w:top w:val="single" w:sz="4" w:space="0" w:color="002060"/>
              <w:left w:val="single" w:sz="4" w:space="0" w:color="002060"/>
              <w:bottom w:val="single" w:sz="4" w:space="0" w:color="002060"/>
              <w:right w:val="single" w:sz="4" w:space="0" w:color="002060"/>
            </w:tcBorders>
            <w:shd w:val="clear" w:color="auto" w:fill="D9D9D9"/>
            <w:vAlign w:val="center"/>
          </w:tcPr>
          <w:p w14:paraId="0176B890" w14:textId="77777777" w:rsidR="00984176" w:rsidRDefault="00000000">
            <w:pPr>
              <w:spacing w:after="0" w:line="259" w:lineRule="auto"/>
              <w:ind w:left="1" w:firstLine="0"/>
            </w:pPr>
            <w:r>
              <w:rPr>
                <w:b/>
                <w:sz w:val="22"/>
              </w:rPr>
              <w:t xml:space="preserve">Definition </w:t>
            </w:r>
          </w:p>
        </w:tc>
      </w:tr>
      <w:tr w:rsidR="00984176" w14:paraId="74C842D9" w14:textId="77777777">
        <w:trPr>
          <w:trHeight w:val="580"/>
        </w:trPr>
        <w:tc>
          <w:tcPr>
            <w:tcW w:w="2970" w:type="dxa"/>
            <w:tcBorders>
              <w:top w:val="single" w:sz="4" w:space="0" w:color="002060"/>
              <w:left w:val="single" w:sz="4" w:space="0" w:color="002060"/>
              <w:bottom w:val="single" w:sz="4" w:space="0" w:color="002060"/>
              <w:right w:val="single" w:sz="4" w:space="0" w:color="002060"/>
            </w:tcBorders>
            <w:vAlign w:val="center"/>
          </w:tcPr>
          <w:p w14:paraId="1E577B2A" w14:textId="77777777" w:rsidR="00984176" w:rsidRDefault="00000000">
            <w:pPr>
              <w:spacing w:after="0" w:line="259" w:lineRule="auto"/>
              <w:ind w:left="0" w:firstLine="0"/>
            </w:pPr>
            <w:r>
              <w:rPr>
                <w:sz w:val="22"/>
              </w:rPr>
              <w:t xml:space="preserve">#/100k </w:t>
            </w:r>
          </w:p>
        </w:tc>
        <w:tc>
          <w:tcPr>
            <w:tcW w:w="5532" w:type="dxa"/>
            <w:tcBorders>
              <w:top w:val="single" w:sz="4" w:space="0" w:color="002060"/>
              <w:left w:val="single" w:sz="4" w:space="0" w:color="002060"/>
              <w:bottom w:val="single" w:sz="4" w:space="0" w:color="002060"/>
              <w:right w:val="single" w:sz="4" w:space="0" w:color="002060"/>
            </w:tcBorders>
            <w:vAlign w:val="center"/>
          </w:tcPr>
          <w:p w14:paraId="1D1CCBEF" w14:textId="77777777" w:rsidR="00984176" w:rsidRDefault="00000000">
            <w:pPr>
              <w:spacing w:after="0" w:line="259" w:lineRule="auto"/>
              <w:ind w:left="1" w:firstLine="0"/>
            </w:pPr>
            <w:r>
              <w:rPr>
                <w:sz w:val="22"/>
              </w:rPr>
              <w:t xml:space="preserve">number per 100,000 </w:t>
            </w:r>
          </w:p>
        </w:tc>
      </w:tr>
      <w:tr w:rsidR="00984176" w14:paraId="1357D2E4"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41B9736C" w14:textId="77777777" w:rsidR="00984176" w:rsidRDefault="00000000">
            <w:pPr>
              <w:spacing w:after="0" w:line="259" w:lineRule="auto"/>
              <w:ind w:left="0" w:firstLine="0"/>
            </w:pPr>
            <w:r>
              <w:rPr>
                <w:sz w:val="22"/>
              </w:rPr>
              <w:t xml:space="preserve">ABS </w:t>
            </w:r>
          </w:p>
        </w:tc>
        <w:tc>
          <w:tcPr>
            <w:tcW w:w="5532" w:type="dxa"/>
            <w:tcBorders>
              <w:top w:val="single" w:sz="4" w:space="0" w:color="002060"/>
              <w:left w:val="single" w:sz="4" w:space="0" w:color="002060"/>
              <w:bottom w:val="single" w:sz="4" w:space="0" w:color="002060"/>
              <w:right w:val="single" w:sz="4" w:space="0" w:color="002060"/>
            </w:tcBorders>
            <w:vAlign w:val="center"/>
          </w:tcPr>
          <w:p w14:paraId="028DC1FE" w14:textId="77777777" w:rsidR="00984176" w:rsidRDefault="00000000">
            <w:pPr>
              <w:spacing w:after="0" w:line="259" w:lineRule="auto"/>
              <w:ind w:left="1" w:firstLine="0"/>
            </w:pPr>
            <w:r>
              <w:rPr>
                <w:sz w:val="22"/>
              </w:rPr>
              <w:t xml:space="preserve">Australian Bureau of Statistics </w:t>
            </w:r>
          </w:p>
        </w:tc>
      </w:tr>
      <w:tr w:rsidR="00984176" w14:paraId="3E072223" w14:textId="77777777">
        <w:trPr>
          <w:trHeight w:val="578"/>
        </w:trPr>
        <w:tc>
          <w:tcPr>
            <w:tcW w:w="2970" w:type="dxa"/>
            <w:tcBorders>
              <w:top w:val="single" w:sz="4" w:space="0" w:color="002060"/>
              <w:left w:val="single" w:sz="4" w:space="0" w:color="002060"/>
              <w:bottom w:val="single" w:sz="4" w:space="0" w:color="002060"/>
              <w:right w:val="single" w:sz="4" w:space="0" w:color="002060"/>
            </w:tcBorders>
            <w:vAlign w:val="center"/>
          </w:tcPr>
          <w:p w14:paraId="2B422F5A" w14:textId="77777777" w:rsidR="00984176" w:rsidRDefault="00000000">
            <w:pPr>
              <w:spacing w:after="0" w:line="259" w:lineRule="auto"/>
              <w:ind w:left="0" w:firstLine="0"/>
            </w:pPr>
            <w:r>
              <w:rPr>
                <w:sz w:val="22"/>
              </w:rPr>
              <w:t xml:space="preserve">AC </w:t>
            </w:r>
          </w:p>
        </w:tc>
        <w:tc>
          <w:tcPr>
            <w:tcW w:w="5532" w:type="dxa"/>
            <w:tcBorders>
              <w:top w:val="single" w:sz="4" w:space="0" w:color="002060"/>
              <w:left w:val="single" w:sz="4" w:space="0" w:color="002060"/>
              <w:bottom w:val="single" w:sz="4" w:space="0" w:color="002060"/>
              <w:right w:val="single" w:sz="4" w:space="0" w:color="002060"/>
            </w:tcBorders>
            <w:vAlign w:val="center"/>
          </w:tcPr>
          <w:p w14:paraId="251F54DB" w14:textId="77777777" w:rsidR="00984176" w:rsidRDefault="00000000">
            <w:pPr>
              <w:spacing w:after="0" w:line="259" w:lineRule="auto"/>
              <w:ind w:left="1" w:firstLine="0"/>
            </w:pPr>
            <w:r>
              <w:rPr>
                <w:sz w:val="22"/>
              </w:rPr>
              <w:t xml:space="preserve">Autocorrelation </w:t>
            </w:r>
          </w:p>
        </w:tc>
      </w:tr>
      <w:tr w:rsidR="00984176" w14:paraId="3AA764B4" w14:textId="77777777">
        <w:trPr>
          <w:trHeight w:val="577"/>
        </w:trPr>
        <w:tc>
          <w:tcPr>
            <w:tcW w:w="2970" w:type="dxa"/>
            <w:tcBorders>
              <w:top w:val="single" w:sz="4" w:space="0" w:color="002060"/>
              <w:left w:val="single" w:sz="4" w:space="0" w:color="002060"/>
              <w:bottom w:val="single" w:sz="4" w:space="0" w:color="002060"/>
              <w:right w:val="single" w:sz="4" w:space="0" w:color="002060"/>
            </w:tcBorders>
            <w:vAlign w:val="center"/>
          </w:tcPr>
          <w:p w14:paraId="32B5649E" w14:textId="77777777" w:rsidR="00984176" w:rsidRDefault="00000000">
            <w:pPr>
              <w:spacing w:after="0" w:line="259" w:lineRule="auto"/>
              <w:ind w:left="0" w:firstLine="0"/>
            </w:pPr>
            <w:r>
              <w:rPr>
                <w:sz w:val="22"/>
              </w:rPr>
              <w:t xml:space="preserve">ACF </w:t>
            </w:r>
          </w:p>
        </w:tc>
        <w:tc>
          <w:tcPr>
            <w:tcW w:w="5532" w:type="dxa"/>
            <w:tcBorders>
              <w:top w:val="single" w:sz="4" w:space="0" w:color="002060"/>
              <w:left w:val="single" w:sz="4" w:space="0" w:color="002060"/>
              <w:bottom w:val="single" w:sz="4" w:space="0" w:color="002060"/>
              <w:right w:val="single" w:sz="4" w:space="0" w:color="002060"/>
            </w:tcBorders>
            <w:vAlign w:val="center"/>
          </w:tcPr>
          <w:p w14:paraId="73E1DB4F" w14:textId="77777777" w:rsidR="00984176" w:rsidRDefault="00000000">
            <w:pPr>
              <w:spacing w:after="0" w:line="259" w:lineRule="auto"/>
              <w:ind w:left="1" w:firstLine="0"/>
            </w:pPr>
            <w:proofErr w:type="spellStart"/>
            <w:r>
              <w:rPr>
                <w:sz w:val="22"/>
              </w:rPr>
              <w:t>AutoRegressive</w:t>
            </w:r>
            <w:proofErr w:type="spellEnd"/>
            <w:r>
              <w:rPr>
                <w:sz w:val="22"/>
              </w:rPr>
              <w:t xml:space="preserve"> Function </w:t>
            </w:r>
          </w:p>
        </w:tc>
      </w:tr>
      <w:tr w:rsidR="00984176" w14:paraId="4DF517C2"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42CF22BC" w14:textId="77777777" w:rsidR="00984176" w:rsidRDefault="00000000">
            <w:pPr>
              <w:spacing w:after="0" w:line="259" w:lineRule="auto"/>
              <w:ind w:left="0" w:firstLine="0"/>
            </w:pPr>
            <w:r>
              <w:rPr>
                <w:sz w:val="22"/>
              </w:rPr>
              <w:t xml:space="preserve">AER </w:t>
            </w:r>
          </w:p>
        </w:tc>
        <w:tc>
          <w:tcPr>
            <w:tcW w:w="5532" w:type="dxa"/>
            <w:tcBorders>
              <w:top w:val="single" w:sz="4" w:space="0" w:color="002060"/>
              <w:left w:val="single" w:sz="4" w:space="0" w:color="002060"/>
              <w:bottom w:val="single" w:sz="4" w:space="0" w:color="002060"/>
              <w:right w:val="single" w:sz="4" w:space="0" w:color="002060"/>
            </w:tcBorders>
            <w:vAlign w:val="center"/>
          </w:tcPr>
          <w:p w14:paraId="1F745BDE" w14:textId="77777777" w:rsidR="00984176" w:rsidRDefault="00000000">
            <w:pPr>
              <w:spacing w:after="0" w:line="259" w:lineRule="auto"/>
              <w:ind w:left="1" w:firstLine="0"/>
            </w:pPr>
            <w:r>
              <w:rPr>
                <w:sz w:val="22"/>
              </w:rPr>
              <w:t xml:space="preserve">Australian Energy Regulator </w:t>
            </w:r>
          </w:p>
        </w:tc>
      </w:tr>
      <w:tr w:rsidR="00984176" w14:paraId="4E295CA9"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0EB7C3BE" w14:textId="77777777" w:rsidR="00984176" w:rsidRDefault="00000000">
            <w:pPr>
              <w:spacing w:after="0" w:line="259" w:lineRule="auto"/>
              <w:ind w:left="0" w:firstLine="0"/>
            </w:pPr>
            <w:r>
              <w:rPr>
                <w:sz w:val="22"/>
              </w:rPr>
              <w:t xml:space="preserve">CPI </w:t>
            </w:r>
          </w:p>
        </w:tc>
        <w:tc>
          <w:tcPr>
            <w:tcW w:w="5532" w:type="dxa"/>
            <w:tcBorders>
              <w:top w:val="single" w:sz="4" w:space="0" w:color="002060"/>
              <w:left w:val="single" w:sz="4" w:space="0" w:color="002060"/>
              <w:bottom w:val="single" w:sz="4" w:space="0" w:color="002060"/>
              <w:right w:val="single" w:sz="4" w:space="0" w:color="002060"/>
            </w:tcBorders>
            <w:vAlign w:val="center"/>
          </w:tcPr>
          <w:p w14:paraId="3ADD12DC" w14:textId="77777777" w:rsidR="00984176" w:rsidRDefault="00000000">
            <w:pPr>
              <w:spacing w:after="0" w:line="259" w:lineRule="auto"/>
              <w:ind w:left="1" w:firstLine="0"/>
            </w:pPr>
            <w:r>
              <w:rPr>
                <w:sz w:val="22"/>
              </w:rPr>
              <w:t xml:space="preserve">Consumer Price Index </w:t>
            </w:r>
          </w:p>
        </w:tc>
      </w:tr>
      <w:tr w:rsidR="00984176" w14:paraId="19F920D8" w14:textId="77777777">
        <w:trPr>
          <w:trHeight w:val="578"/>
        </w:trPr>
        <w:tc>
          <w:tcPr>
            <w:tcW w:w="2970" w:type="dxa"/>
            <w:tcBorders>
              <w:top w:val="single" w:sz="4" w:space="0" w:color="002060"/>
              <w:left w:val="single" w:sz="4" w:space="0" w:color="002060"/>
              <w:bottom w:val="single" w:sz="4" w:space="0" w:color="002060"/>
              <w:right w:val="single" w:sz="4" w:space="0" w:color="002060"/>
            </w:tcBorders>
            <w:vAlign w:val="center"/>
          </w:tcPr>
          <w:p w14:paraId="23D497F6" w14:textId="77777777" w:rsidR="00984176" w:rsidRDefault="00000000">
            <w:pPr>
              <w:spacing w:after="0" w:line="259" w:lineRule="auto"/>
              <w:ind w:left="0" w:firstLine="0"/>
            </w:pPr>
            <w:r>
              <w:rPr>
                <w:sz w:val="22"/>
              </w:rPr>
              <w:t xml:space="preserve">CPI </w:t>
            </w:r>
          </w:p>
        </w:tc>
        <w:tc>
          <w:tcPr>
            <w:tcW w:w="5532" w:type="dxa"/>
            <w:tcBorders>
              <w:top w:val="single" w:sz="4" w:space="0" w:color="002060"/>
              <w:left w:val="single" w:sz="4" w:space="0" w:color="002060"/>
              <w:bottom w:val="single" w:sz="4" w:space="0" w:color="002060"/>
              <w:right w:val="single" w:sz="4" w:space="0" w:color="002060"/>
            </w:tcBorders>
            <w:vAlign w:val="center"/>
          </w:tcPr>
          <w:p w14:paraId="2DD686AB" w14:textId="77777777" w:rsidR="00984176" w:rsidRDefault="00000000">
            <w:pPr>
              <w:spacing w:after="0" w:line="259" w:lineRule="auto"/>
              <w:ind w:left="1" w:firstLine="0"/>
            </w:pPr>
            <w:r>
              <w:rPr>
                <w:sz w:val="22"/>
              </w:rPr>
              <w:t xml:space="preserve">Consumer Price Index </w:t>
            </w:r>
          </w:p>
        </w:tc>
      </w:tr>
      <w:tr w:rsidR="00984176" w14:paraId="3DB37024"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056DC654" w14:textId="77777777" w:rsidR="00984176" w:rsidRDefault="00000000">
            <w:pPr>
              <w:spacing w:after="0" w:line="259" w:lineRule="auto"/>
              <w:ind w:left="0" w:firstLine="0"/>
            </w:pPr>
            <w:r>
              <w:rPr>
                <w:sz w:val="22"/>
              </w:rPr>
              <w:t xml:space="preserve">EP </w:t>
            </w:r>
          </w:p>
        </w:tc>
        <w:tc>
          <w:tcPr>
            <w:tcW w:w="5532" w:type="dxa"/>
            <w:tcBorders>
              <w:top w:val="single" w:sz="4" w:space="0" w:color="002060"/>
              <w:left w:val="single" w:sz="4" w:space="0" w:color="002060"/>
              <w:bottom w:val="single" w:sz="4" w:space="0" w:color="002060"/>
              <w:right w:val="single" w:sz="4" w:space="0" w:color="002060"/>
            </w:tcBorders>
            <w:vAlign w:val="center"/>
          </w:tcPr>
          <w:p w14:paraId="5F5E3F68" w14:textId="77777777" w:rsidR="00984176" w:rsidRDefault="00000000">
            <w:pPr>
              <w:spacing w:after="0" w:line="259" w:lineRule="auto"/>
              <w:ind w:left="1" w:firstLine="0"/>
            </w:pPr>
            <w:r>
              <w:rPr>
                <w:sz w:val="22"/>
              </w:rPr>
              <w:t xml:space="preserve">Energy Poverty </w:t>
            </w:r>
          </w:p>
        </w:tc>
      </w:tr>
      <w:tr w:rsidR="00984176" w14:paraId="43BA8098"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27E1FC7B" w14:textId="77777777" w:rsidR="00984176" w:rsidRDefault="00000000">
            <w:pPr>
              <w:spacing w:after="0" w:line="259" w:lineRule="auto"/>
              <w:ind w:left="0" w:firstLine="0"/>
            </w:pPr>
            <w:r>
              <w:rPr>
                <w:sz w:val="22"/>
              </w:rPr>
              <w:t xml:space="preserve">EPI </w:t>
            </w:r>
          </w:p>
        </w:tc>
        <w:tc>
          <w:tcPr>
            <w:tcW w:w="5532" w:type="dxa"/>
            <w:tcBorders>
              <w:top w:val="single" w:sz="4" w:space="0" w:color="002060"/>
              <w:left w:val="single" w:sz="4" w:space="0" w:color="002060"/>
              <w:bottom w:val="single" w:sz="4" w:space="0" w:color="002060"/>
              <w:right w:val="single" w:sz="4" w:space="0" w:color="002060"/>
            </w:tcBorders>
            <w:vAlign w:val="center"/>
          </w:tcPr>
          <w:p w14:paraId="239FC7A3" w14:textId="77777777" w:rsidR="00984176" w:rsidRDefault="00000000">
            <w:pPr>
              <w:spacing w:after="0" w:line="259" w:lineRule="auto"/>
              <w:ind w:left="1" w:firstLine="0"/>
            </w:pPr>
            <w:r>
              <w:rPr>
                <w:sz w:val="22"/>
              </w:rPr>
              <w:t xml:space="preserve">Electrical Price Index </w:t>
            </w:r>
          </w:p>
        </w:tc>
      </w:tr>
      <w:tr w:rsidR="00984176" w14:paraId="740206A0" w14:textId="77777777">
        <w:trPr>
          <w:trHeight w:val="578"/>
        </w:trPr>
        <w:tc>
          <w:tcPr>
            <w:tcW w:w="2970" w:type="dxa"/>
            <w:tcBorders>
              <w:top w:val="single" w:sz="4" w:space="0" w:color="002060"/>
              <w:left w:val="single" w:sz="4" w:space="0" w:color="002060"/>
              <w:bottom w:val="single" w:sz="4" w:space="0" w:color="002060"/>
              <w:right w:val="single" w:sz="4" w:space="0" w:color="002060"/>
            </w:tcBorders>
            <w:vAlign w:val="center"/>
          </w:tcPr>
          <w:p w14:paraId="64E432E4" w14:textId="77777777" w:rsidR="00984176" w:rsidRDefault="00000000">
            <w:pPr>
              <w:spacing w:after="0" w:line="259" w:lineRule="auto"/>
              <w:ind w:left="0" w:firstLine="0"/>
            </w:pPr>
            <w:r>
              <w:rPr>
                <w:sz w:val="22"/>
              </w:rPr>
              <w:t xml:space="preserve">HIH </w:t>
            </w:r>
          </w:p>
        </w:tc>
        <w:tc>
          <w:tcPr>
            <w:tcW w:w="5532" w:type="dxa"/>
            <w:tcBorders>
              <w:top w:val="single" w:sz="4" w:space="0" w:color="002060"/>
              <w:left w:val="single" w:sz="4" w:space="0" w:color="002060"/>
              <w:bottom w:val="single" w:sz="4" w:space="0" w:color="002060"/>
              <w:right w:val="single" w:sz="4" w:space="0" w:color="002060"/>
            </w:tcBorders>
            <w:vAlign w:val="center"/>
          </w:tcPr>
          <w:p w14:paraId="21812F58" w14:textId="77777777" w:rsidR="00984176" w:rsidRDefault="00000000">
            <w:pPr>
              <w:spacing w:after="0" w:line="259" w:lineRule="auto"/>
              <w:ind w:left="1" w:firstLine="0"/>
            </w:pPr>
            <w:r>
              <w:rPr>
                <w:sz w:val="22"/>
              </w:rPr>
              <w:t xml:space="preserve">High-income households </w:t>
            </w:r>
          </w:p>
        </w:tc>
      </w:tr>
      <w:tr w:rsidR="00984176" w14:paraId="631F875D"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0CC52928" w14:textId="77777777" w:rsidR="00984176" w:rsidRDefault="00000000">
            <w:pPr>
              <w:spacing w:after="0" w:line="259" w:lineRule="auto"/>
              <w:ind w:left="0" w:firstLine="0"/>
            </w:pPr>
            <w:r>
              <w:rPr>
                <w:sz w:val="22"/>
              </w:rPr>
              <w:t>LIH</w:t>
            </w:r>
            <w:r>
              <w:rPr>
                <w:sz w:val="22"/>
                <w:vertAlign w:val="superscript"/>
              </w:rPr>
              <w:t xml:space="preserve"> </w:t>
            </w:r>
          </w:p>
        </w:tc>
        <w:tc>
          <w:tcPr>
            <w:tcW w:w="5532" w:type="dxa"/>
            <w:tcBorders>
              <w:top w:val="single" w:sz="4" w:space="0" w:color="002060"/>
              <w:left w:val="single" w:sz="4" w:space="0" w:color="002060"/>
              <w:bottom w:val="single" w:sz="4" w:space="0" w:color="002060"/>
              <w:right w:val="single" w:sz="4" w:space="0" w:color="002060"/>
            </w:tcBorders>
            <w:vAlign w:val="center"/>
          </w:tcPr>
          <w:p w14:paraId="02C88EEB" w14:textId="77777777" w:rsidR="00984176" w:rsidRDefault="00000000">
            <w:pPr>
              <w:spacing w:after="0" w:line="259" w:lineRule="auto"/>
              <w:ind w:left="1" w:firstLine="0"/>
            </w:pPr>
            <w:r>
              <w:rPr>
                <w:sz w:val="22"/>
              </w:rPr>
              <w:t xml:space="preserve">low-income households </w:t>
            </w:r>
          </w:p>
        </w:tc>
      </w:tr>
      <w:tr w:rsidR="00984176" w14:paraId="63B101C6" w14:textId="77777777">
        <w:trPr>
          <w:trHeight w:val="578"/>
        </w:trPr>
        <w:tc>
          <w:tcPr>
            <w:tcW w:w="2970" w:type="dxa"/>
            <w:tcBorders>
              <w:top w:val="single" w:sz="4" w:space="0" w:color="002060"/>
              <w:left w:val="single" w:sz="4" w:space="0" w:color="002060"/>
              <w:bottom w:val="single" w:sz="4" w:space="0" w:color="002060"/>
              <w:right w:val="single" w:sz="4" w:space="0" w:color="002060"/>
            </w:tcBorders>
            <w:vAlign w:val="center"/>
          </w:tcPr>
          <w:p w14:paraId="4B98EB41" w14:textId="77777777" w:rsidR="00984176" w:rsidRDefault="00000000">
            <w:pPr>
              <w:spacing w:after="0" w:line="259" w:lineRule="auto"/>
              <w:ind w:left="0" w:firstLine="0"/>
            </w:pPr>
            <w:r>
              <w:rPr>
                <w:sz w:val="22"/>
              </w:rPr>
              <w:t xml:space="preserve">NEM </w:t>
            </w:r>
          </w:p>
        </w:tc>
        <w:tc>
          <w:tcPr>
            <w:tcW w:w="5532" w:type="dxa"/>
            <w:tcBorders>
              <w:top w:val="single" w:sz="4" w:space="0" w:color="002060"/>
              <w:left w:val="single" w:sz="4" w:space="0" w:color="002060"/>
              <w:bottom w:val="single" w:sz="4" w:space="0" w:color="002060"/>
              <w:right w:val="single" w:sz="4" w:space="0" w:color="002060"/>
            </w:tcBorders>
            <w:vAlign w:val="center"/>
          </w:tcPr>
          <w:p w14:paraId="4485FFBE" w14:textId="77777777" w:rsidR="00984176" w:rsidRDefault="00000000">
            <w:pPr>
              <w:spacing w:after="0" w:line="259" w:lineRule="auto"/>
              <w:ind w:left="1" w:firstLine="0"/>
            </w:pPr>
            <w:r>
              <w:rPr>
                <w:sz w:val="22"/>
              </w:rPr>
              <w:t xml:space="preserve">National Energy Market </w:t>
            </w:r>
          </w:p>
        </w:tc>
      </w:tr>
      <w:tr w:rsidR="00984176" w14:paraId="16438129" w14:textId="77777777">
        <w:trPr>
          <w:trHeight w:val="576"/>
        </w:trPr>
        <w:tc>
          <w:tcPr>
            <w:tcW w:w="2970" w:type="dxa"/>
            <w:tcBorders>
              <w:top w:val="single" w:sz="4" w:space="0" w:color="002060"/>
              <w:left w:val="single" w:sz="4" w:space="0" w:color="002060"/>
              <w:bottom w:val="single" w:sz="4" w:space="0" w:color="002060"/>
              <w:right w:val="single" w:sz="4" w:space="0" w:color="002060"/>
            </w:tcBorders>
            <w:vAlign w:val="center"/>
          </w:tcPr>
          <w:p w14:paraId="189DFC66" w14:textId="77777777" w:rsidR="00984176" w:rsidRDefault="00000000">
            <w:pPr>
              <w:spacing w:after="0" w:line="259" w:lineRule="auto"/>
              <w:ind w:left="0" w:firstLine="0"/>
            </w:pPr>
            <w:r>
              <w:rPr>
                <w:sz w:val="22"/>
              </w:rPr>
              <w:t xml:space="preserve">NSW </w:t>
            </w:r>
          </w:p>
        </w:tc>
        <w:tc>
          <w:tcPr>
            <w:tcW w:w="5532" w:type="dxa"/>
            <w:tcBorders>
              <w:top w:val="single" w:sz="4" w:space="0" w:color="002060"/>
              <w:left w:val="single" w:sz="4" w:space="0" w:color="002060"/>
              <w:bottom w:val="single" w:sz="4" w:space="0" w:color="002060"/>
              <w:right w:val="single" w:sz="4" w:space="0" w:color="002060"/>
            </w:tcBorders>
            <w:vAlign w:val="center"/>
          </w:tcPr>
          <w:p w14:paraId="7FE88501" w14:textId="77777777" w:rsidR="00984176" w:rsidRDefault="00000000">
            <w:pPr>
              <w:spacing w:after="0" w:line="259" w:lineRule="auto"/>
              <w:ind w:left="1" w:firstLine="0"/>
            </w:pPr>
            <w:r>
              <w:rPr>
                <w:sz w:val="22"/>
              </w:rPr>
              <w:t>New South Wales</w:t>
            </w:r>
            <w:r>
              <w:rPr>
                <w:sz w:val="22"/>
                <w:vertAlign w:val="subscript"/>
              </w:rPr>
              <w:t xml:space="preserve"> </w:t>
            </w:r>
          </w:p>
        </w:tc>
      </w:tr>
      <w:tr w:rsidR="00984176" w14:paraId="67D95D46" w14:textId="77777777">
        <w:trPr>
          <w:trHeight w:val="578"/>
        </w:trPr>
        <w:tc>
          <w:tcPr>
            <w:tcW w:w="2970" w:type="dxa"/>
            <w:tcBorders>
              <w:top w:val="single" w:sz="4" w:space="0" w:color="002060"/>
              <w:left w:val="single" w:sz="4" w:space="0" w:color="002060"/>
              <w:bottom w:val="single" w:sz="4" w:space="0" w:color="002060"/>
              <w:right w:val="single" w:sz="4" w:space="0" w:color="002060"/>
            </w:tcBorders>
            <w:vAlign w:val="center"/>
          </w:tcPr>
          <w:p w14:paraId="36BEB6DF" w14:textId="77777777" w:rsidR="00984176" w:rsidRDefault="00000000">
            <w:pPr>
              <w:spacing w:after="0" w:line="259" w:lineRule="auto"/>
              <w:ind w:left="0" w:firstLine="0"/>
            </w:pPr>
            <w:r>
              <w:rPr>
                <w:sz w:val="22"/>
              </w:rPr>
              <w:t xml:space="preserve">RBA </w:t>
            </w:r>
          </w:p>
        </w:tc>
        <w:tc>
          <w:tcPr>
            <w:tcW w:w="5532" w:type="dxa"/>
            <w:tcBorders>
              <w:top w:val="single" w:sz="4" w:space="0" w:color="002060"/>
              <w:left w:val="single" w:sz="4" w:space="0" w:color="002060"/>
              <w:bottom w:val="single" w:sz="4" w:space="0" w:color="002060"/>
              <w:right w:val="single" w:sz="4" w:space="0" w:color="002060"/>
            </w:tcBorders>
            <w:vAlign w:val="center"/>
          </w:tcPr>
          <w:p w14:paraId="4D7A4C99" w14:textId="77777777" w:rsidR="00984176" w:rsidRDefault="00000000">
            <w:pPr>
              <w:spacing w:after="0" w:line="259" w:lineRule="auto"/>
              <w:ind w:left="1" w:firstLine="0"/>
            </w:pPr>
            <w:r>
              <w:rPr>
                <w:sz w:val="22"/>
              </w:rPr>
              <w:t xml:space="preserve">Reserve Bank of Australia </w:t>
            </w:r>
          </w:p>
        </w:tc>
      </w:tr>
    </w:tbl>
    <w:p w14:paraId="18DC4283" w14:textId="77777777" w:rsidR="00984176" w:rsidRDefault="00000000">
      <w:pPr>
        <w:spacing w:after="136" w:line="259" w:lineRule="auto"/>
        <w:ind w:left="0" w:firstLine="0"/>
      </w:pPr>
      <w:r>
        <w:t xml:space="preserve"> </w:t>
      </w:r>
    </w:p>
    <w:p w14:paraId="54F06DA3" w14:textId="77777777" w:rsidR="00984176"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3B9A737C" w14:textId="77777777" w:rsidR="00986A19" w:rsidRDefault="00986A19">
      <w:pPr>
        <w:spacing w:after="0" w:line="240" w:lineRule="auto"/>
        <w:ind w:left="0" w:firstLine="0"/>
        <w:rPr>
          <w:rFonts w:cs="Trebuchet MS"/>
          <w:b/>
          <w:color w:val="002060"/>
          <w:sz w:val="28"/>
          <w:lang w:val="en-AU" w:eastAsia="zh-CN"/>
        </w:rPr>
      </w:pPr>
      <w:r>
        <w:br w:type="page"/>
      </w:r>
    </w:p>
    <w:p w14:paraId="26AADC16" w14:textId="7D72E3CF" w:rsidR="00984176" w:rsidRDefault="00000000">
      <w:pPr>
        <w:pStyle w:val="Heading1"/>
        <w:ind w:left="-5"/>
      </w:pPr>
      <w:bookmarkStart w:id="2" w:name="_Toc148132146"/>
      <w:r>
        <w:lastRenderedPageBreak/>
        <w:t>Introduction</w:t>
      </w:r>
      <w:bookmarkEnd w:id="2"/>
      <w:r>
        <w:t xml:space="preserve"> </w:t>
      </w:r>
    </w:p>
    <w:p w14:paraId="03C9F19E" w14:textId="617916F7" w:rsidR="00984176" w:rsidRDefault="00000000">
      <w:pPr>
        <w:ind w:left="-5" w:right="71"/>
      </w:pPr>
      <w:r>
        <w:t xml:space="preserve">This paper proposes a </w:t>
      </w:r>
      <w:r w:rsidR="00986A19">
        <w:t>study</w:t>
      </w:r>
      <w:r>
        <w:t xml:space="preserve"> involving rising electricity prices and their impact on New South Wales (NSW) energy poverty (EP). The </w:t>
      </w:r>
      <w:r w:rsidR="00986A19">
        <w:t>study</w:t>
      </w:r>
      <w:r>
        <w:t xml:space="preserve"> will use open-source data from the Australian Energy Regulator (AER) and the Australian Bureau of Statistics (ABS) to model the effects of consumer goods inflation</w:t>
      </w:r>
      <w:r w:rsidR="00986A19">
        <w:t xml:space="preserve"> </w:t>
      </w:r>
      <w:r>
        <w:t xml:space="preserve">and electrical price inflation on NSW households experiencing energy-related financial stress. </w:t>
      </w:r>
    </w:p>
    <w:p w14:paraId="7546E1A8" w14:textId="77777777" w:rsidR="00984176" w:rsidRDefault="00000000">
      <w:pPr>
        <w:spacing w:after="115" w:line="259" w:lineRule="auto"/>
        <w:ind w:left="0" w:firstLine="0"/>
      </w:pPr>
      <w:r>
        <w:t xml:space="preserve"> </w:t>
      </w:r>
    </w:p>
    <w:p w14:paraId="3B4BF121" w14:textId="2ED43E56" w:rsidR="00984176" w:rsidRDefault="00000000">
      <w:pPr>
        <w:ind w:left="-5" w:right="71"/>
      </w:pPr>
      <w:r>
        <w:t xml:space="preserve">It is anticipated that the article will be between </w:t>
      </w:r>
      <w:r w:rsidR="00986A19">
        <w:t>5</w:t>
      </w:r>
      <w:r>
        <w:t xml:space="preserve">000 and </w:t>
      </w:r>
      <w:r w:rsidR="00986A19">
        <w:t>8</w:t>
      </w:r>
      <w:r>
        <w:t>000 words. The submitted article will be written in R Markdown. All R code</w:t>
      </w:r>
      <w:r>
        <w:rPr>
          <w:vertAlign w:val="superscript"/>
        </w:rPr>
        <w:footnoteReference w:id="1"/>
      </w:r>
      <w:r>
        <w:t xml:space="preserve"> will be submitted for review and replication. </w:t>
      </w:r>
    </w:p>
    <w:p w14:paraId="6B6E45A5" w14:textId="77777777" w:rsidR="00984176" w:rsidRDefault="00000000">
      <w:pPr>
        <w:spacing w:after="114" w:line="259" w:lineRule="auto"/>
        <w:ind w:left="0" w:firstLine="0"/>
      </w:pPr>
      <w:r>
        <w:t xml:space="preserve"> </w:t>
      </w:r>
    </w:p>
    <w:p w14:paraId="0072AFCD" w14:textId="7C94DD4D" w:rsidR="00984176" w:rsidRDefault="00000000">
      <w:pPr>
        <w:ind w:left="-5" w:right="71"/>
      </w:pPr>
      <w:r>
        <w:t xml:space="preserve">The </w:t>
      </w:r>
      <w:r w:rsidR="00986A19">
        <w:t>study</w:t>
      </w:r>
      <w:r>
        <w:t xml:space="preserve"> will first assess the current state of knowledge regarding energy poverty in Australia and its impacts by reviewing the current literature. This is followed by </w:t>
      </w:r>
      <w:r w:rsidR="00986A19">
        <w:t xml:space="preserve">a </w:t>
      </w:r>
      <w:r>
        <w:t>discussion of the data acquisition strategy and the model(s) used. Then</w:t>
      </w:r>
      <w:r w:rsidR="00986A19">
        <w:t>,</w:t>
      </w:r>
      <w:r>
        <w:t xml:space="preserve"> an analysis of the results and their broader policy implications. </w:t>
      </w:r>
    </w:p>
    <w:p w14:paraId="4ACEEB77" w14:textId="77777777" w:rsidR="00984176" w:rsidRDefault="00000000">
      <w:pPr>
        <w:spacing w:after="114" w:line="259" w:lineRule="auto"/>
        <w:ind w:left="0" w:firstLine="0"/>
      </w:pPr>
      <w:r>
        <w:t xml:space="preserve"> </w:t>
      </w:r>
    </w:p>
    <w:p w14:paraId="7F2C2392" w14:textId="77777777" w:rsidR="00984176" w:rsidRDefault="00000000">
      <w:pPr>
        <w:spacing w:after="198" w:line="259" w:lineRule="auto"/>
        <w:ind w:left="0" w:firstLine="0"/>
      </w:pPr>
      <w:r>
        <w:t xml:space="preserve"> </w:t>
      </w:r>
    </w:p>
    <w:p w14:paraId="60B3D307" w14:textId="77777777" w:rsidR="00986A19" w:rsidRDefault="00986A19">
      <w:pPr>
        <w:spacing w:after="0" w:line="240" w:lineRule="auto"/>
        <w:ind w:left="0" w:firstLine="0"/>
        <w:rPr>
          <w:rFonts w:cs="Trebuchet MS"/>
          <w:b/>
          <w:color w:val="002060"/>
          <w:sz w:val="28"/>
          <w:lang w:val="en-AU" w:eastAsia="zh-CN"/>
        </w:rPr>
      </w:pPr>
      <w:r>
        <w:br w:type="page"/>
      </w:r>
    </w:p>
    <w:p w14:paraId="5B5DA08F" w14:textId="248A177D" w:rsidR="00984176" w:rsidRDefault="00000000">
      <w:pPr>
        <w:pStyle w:val="Heading1"/>
        <w:ind w:left="-5"/>
      </w:pPr>
      <w:bookmarkStart w:id="3" w:name="_Toc148132147"/>
      <w:r>
        <w:lastRenderedPageBreak/>
        <w:t>1.0</w:t>
      </w:r>
      <w:r>
        <w:rPr>
          <w:rFonts w:ascii="Arial" w:eastAsia="Arial" w:hAnsi="Arial" w:cs="Arial"/>
        </w:rPr>
        <w:t xml:space="preserve"> </w:t>
      </w:r>
      <w:r>
        <w:t>Background</w:t>
      </w:r>
      <w:bookmarkEnd w:id="3"/>
      <w:r>
        <w:t xml:space="preserve"> </w:t>
      </w:r>
    </w:p>
    <w:p w14:paraId="31E565FE" w14:textId="2FA4DEDD" w:rsidR="00984176" w:rsidRDefault="00000000">
      <w:pPr>
        <w:ind w:left="-5" w:right="71"/>
      </w:pPr>
      <w:r>
        <w:t xml:space="preserve">In 2017, the Australian Financial Review reported that Australian households pay the highest electricity prices in the world. NSW retail electricity prices were also reported as the fourth highest globally (Potter and Tillett 2017). </w:t>
      </w:r>
      <w:r w:rsidR="00986A19">
        <w:t>As Figure 1 illustrates</w:t>
      </w:r>
      <w:r>
        <w:t xml:space="preserve">, in the decade leading up to this article, retail electricity prices increased at a faster rate than the Consumer Price Index (CPI) or wages growth: approximately 8% per annum, compared to CPI at 2.4% and wages growth at 3.1% (ABS 2023a; 2023b). </w:t>
      </w:r>
    </w:p>
    <w:p w14:paraId="1BF61DC5" w14:textId="77777777" w:rsidR="00986A19" w:rsidRDefault="00986A19">
      <w:pPr>
        <w:ind w:left="-5" w:right="71"/>
      </w:pPr>
    </w:p>
    <w:p w14:paraId="48868529" w14:textId="77777777" w:rsidR="00984176" w:rsidRDefault="00000000">
      <w:pPr>
        <w:spacing w:after="129" w:line="259" w:lineRule="auto"/>
        <w:ind w:left="52" w:firstLine="0"/>
      </w:pPr>
      <w:r>
        <w:rPr>
          <w:noProof/>
        </w:rPr>
        <w:drawing>
          <wp:inline distT="0" distB="0" distL="0" distR="0" wp14:anchorId="21599C84" wp14:editId="05D633B9">
            <wp:extent cx="5309616" cy="3057144"/>
            <wp:effectExtent l="0" t="0" r="0" b="0"/>
            <wp:docPr id="43704" name="Picture 43704"/>
            <wp:cNvGraphicFramePr/>
            <a:graphic xmlns:a="http://schemas.openxmlformats.org/drawingml/2006/main">
              <a:graphicData uri="http://schemas.openxmlformats.org/drawingml/2006/picture">
                <pic:pic xmlns:pic="http://schemas.openxmlformats.org/drawingml/2006/picture">
                  <pic:nvPicPr>
                    <pic:cNvPr id="43704" name="Picture 43704"/>
                    <pic:cNvPicPr/>
                  </pic:nvPicPr>
                  <pic:blipFill>
                    <a:blip r:embed="rId10"/>
                    <a:stretch>
                      <a:fillRect/>
                    </a:stretch>
                  </pic:blipFill>
                  <pic:spPr>
                    <a:xfrm>
                      <a:off x="0" y="0"/>
                      <a:ext cx="5309616" cy="3057144"/>
                    </a:xfrm>
                    <a:prstGeom prst="rect">
                      <a:avLst/>
                    </a:prstGeom>
                  </pic:spPr>
                </pic:pic>
              </a:graphicData>
            </a:graphic>
          </wp:inline>
        </w:drawing>
      </w:r>
    </w:p>
    <w:p w14:paraId="6BAF3F19" w14:textId="77777777" w:rsidR="00984176" w:rsidRDefault="00000000">
      <w:pPr>
        <w:spacing w:after="1" w:line="259" w:lineRule="auto"/>
        <w:ind w:left="0" w:firstLine="0"/>
        <w:jc w:val="right"/>
      </w:pPr>
      <w:r>
        <w:t xml:space="preserve"> </w:t>
      </w:r>
    </w:p>
    <w:p w14:paraId="3D148DAE" w14:textId="77777777" w:rsidR="00984176" w:rsidRDefault="00000000">
      <w:pPr>
        <w:spacing w:after="192" w:line="265" w:lineRule="auto"/>
        <w:ind w:left="-5"/>
      </w:pPr>
      <w:r>
        <w:rPr>
          <w:rFonts w:cs="Trebuchet MS"/>
          <w:i/>
          <w:color w:val="44546A"/>
          <w:sz w:val="18"/>
        </w:rPr>
        <w:t xml:space="preserve">Figure 1: Retail Electrical Price Index versus Consumer Price Index and Wage Index: NSW 2010 – 2023 </w:t>
      </w:r>
    </w:p>
    <w:p w14:paraId="588C1FC1" w14:textId="77777777" w:rsidR="00984176" w:rsidRDefault="00000000">
      <w:pPr>
        <w:tabs>
          <w:tab w:val="center" w:pos="2216"/>
        </w:tabs>
        <w:spacing w:after="144" w:line="265" w:lineRule="auto"/>
        <w:ind w:left="-15" w:firstLine="0"/>
      </w:pPr>
      <w:r>
        <w:rPr>
          <w:rFonts w:cs="Trebuchet MS"/>
          <w:i/>
          <w:color w:val="44546A"/>
          <w:sz w:val="18"/>
        </w:rPr>
        <w:t xml:space="preserve">Data source: </w:t>
      </w:r>
      <w:r>
        <w:rPr>
          <w:rFonts w:cs="Trebuchet MS"/>
          <w:i/>
          <w:color w:val="44546A"/>
          <w:sz w:val="18"/>
        </w:rPr>
        <w:tab/>
        <w:t xml:space="preserve">(ABS 2023a; 2023b) </w:t>
      </w:r>
    </w:p>
    <w:p w14:paraId="12AB1D43" w14:textId="77777777" w:rsidR="00984176" w:rsidRDefault="00000000">
      <w:pPr>
        <w:spacing w:after="114" w:line="259" w:lineRule="auto"/>
        <w:ind w:left="0" w:firstLine="0"/>
      </w:pPr>
      <w:r>
        <w:t xml:space="preserve"> </w:t>
      </w:r>
    </w:p>
    <w:p w14:paraId="498E4744" w14:textId="77777777" w:rsidR="00984176" w:rsidRDefault="00000000">
      <w:pPr>
        <w:ind w:left="-5" w:right="71"/>
      </w:pPr>
      <w:r>
        <w:t xml:space="preserve">Since July 2022, Australian retail electricity prices have increased by 14.8% (ABS 2023b). Furthermore, in May 2023, the AER determined that NSW electricity prices would rise by 19.6 to 24.9% for the 2023-24 financial year (AER 2023b, 5). This was followed by AGL and Origin Energy announcing price increases for NSW of 21.1% and 29.7%, respectively, starting in July 2023 (ABC News 2023). </w:t>
      </w:r>
    </w:p>
    <w:p w14:paraId="7250D0D2" w14:textId="77777777" w:rsidR="00984176" w:rsidRDefault="00000000">
      <w:pPr>
        <w:spacing w:after="114" w:line="259" w:lineRule="auto"/>
        <w:ind w:left="0" w:firstLine="0"/>
      </w:pPr>
      <w:r>
        <w:t xml:space="preserve"> </w:t>
      </w:r>
    </w:p>
    <w:p w14:paraId="2167EF51" w14:textId="77777777" w:rsidR="00984176" w:rsidRDefault="00000000">
      <w:pPr>
        <w:ind w:left="-5" w:right="71"/>
      </w:pPr>
      <w:r>
        <w:lastRenderedPageBreak/>
        <w:t xml:space="preserve">Against this background of rising electricity prices, households experiencing energy-related financial stress have also been increasing. In 2022, the number of households on energy retailer hardship programs increased by 21.5% (AER 2023a). </w:t>
      </w:r>
    </w:p>
    <w:p w14:paraId="2B54C6FA" w14:textId="77777777" w:rsidR="00984176" w:rsidRDefault="00000000">
      <w:pPr>
        <w:spacing w:after="114" w:line="259" w:lineRule="auto"/>
        <w:ind w:left="0" w:firstLine="0"/>
      </w:pPr>
      <w:r>
        <w:t xml:space="preserve"> </w:t>
      </w:r>
    </w:p>
    <w:p w14:paraId="6E622269" w14:textId="77777777" w:rsidR="00984176" w:rsidRDefault="00000000">
      <w:pPr>
        <w:ind w:left="-5" w:right="71"/>
      </w:pPr>
      <w:r>
        <w:t xml:space="preserve">The research would quantify the relationship between electricity prices, inflation, and EP for NSW households. Furthermore, it is anticipated that it could gauge the effectiveness of new alleviation programs by comparing actual rates of EP against the model-estimated rates that do not account for the new policy interventions. </w:t>
      </w:r>
    </w:p>
    <w:p w14:paraId="45CEFBD2" w14:textId="77777777" w:rsidR="00984176" w:rsidRDefault="00000000">
      <w:pPr>
        <w:spacing w:after="114" w:line="259" w:lineRule="auto"/>
        <w:ind w:left="0" w:firstLine="0"/>
      </w:pPr>
      <w:r>
        <w:t xml:space="preserve"> </w:t>
      </w:r>
    </w:p>
    <w:p w14:paraId="309F93DD" w14:textId="77777777" w:rsidR="00984176" w:rsidRDefault="00000000">
      <w:pPr>
        <w:spacing w:after="153" w:line="259" w:lineRule="auto"/>
        <w:ind w:left="0" w:firstLine="0"/>
      </w:pPr>
      <w:r>
        <w:t xml:space="preserve"> </w:t>
      </w:r>
    </w:p>
    <w:p w14:paraId="07DFF8EA" w14:textId="77777777" w:rsidR="00986A19" w:rsidRDefault="00986A19">
      <w:pPr>
        <w:spacing w:after="0" w:line="240" w:lineRule="auto"/>
        <w:ind w:left="0" w:firstLine="0"/>
        <w:rPr>
          <w:rFonts w:cs="Trebuchet MS"/>
          <w:b/>
          <w:color w:val="002060"/>
          <w:sz w:val="28"/>
          <w:lang w:val="en-AU" w:eastAsia="zh-CN"/>
        </w:rPr>
      </w:pPr>
      <w:r>
        <w:br w:type="page"/>
      </w:r>
    </w:p>
    <w:p w14:paraId="74F84053" w14:textId="4BE0BDD9" w:rsidR="00984176" w:rsidRDefault="00000000">
      <w:pPr>
        <w:pStyle w:val="Heading1"/>
        <w:ind w:left="-5"/>
      </w:pPr>
      <w:bookmarkStart w:id="4" w:name="_Toc148132148"/>
      <w:r>
        <w:lastRenderedPageBreak/>
        <w:t>2.0 Literature Review</w:t>
      </w:r>
      <w:bookmarkEnd w:id="4"/>
      <w:r>
        <w:t xml:space="preserve"> </w:t>
      </w:r>
    </w:p>
    <w:p w14:paraId="72C8B572" w14:textId="77777777" w:rsidR="00984176" w:rsidRDefault="00000000">
      <w:pPr>
        <w:pStyle w:val="Heading3"/>
        <w:ind w:left="-5"/>
      </w:pPr>
      <w:bookmarkStart w:id="5" w:name="_Toc148132149"/>
      <w:r>
        <w:t>2.1 Energy Poverty</w:t>
      </w:r>
      <w:bookmarkEnd w:id="5"/>
      <w:r>
        <w:t xml:space="preserve"> </w:t>
      </w:r>
    </w:p>
    <w:p w14:paraId="18E5DC04" w14:textId="4972A65C" w:rsidR="00984176" w:rsidRDefault="00000000">
      <w:pPr>
        <w:ind w:left="-5" w:right="71"/>
      </w:pPr>
      <w:r>
        <w:t xml:space="preserve">Energy poverty differs from </w:t>
      </w:r>
      <w:proofErr w:type="spellStart"/>
      <w:r>
        <w:t>normalised</w:t>
      </w:r>
      <w:proofErr w:type="spellEnd"/>
      <w:r>
        <w:t xml:space="preserve"> definitions of poverty. Structural differences ensure that low-income households (LIH) pay more for the same energy outcomes as higher-income households (HIH). Boardman (1991) discussed how low-income housing stock was less energy efficient, which meant LIH had to buy more energy for heating. Nelson et al. (2019) noted that LIH in NSW consume</w:t>
      </w:r>
      <w:r w:rsidR="00986A19">
        <w:t>s</w:t>
      </w:r>
      <w:r>
        <w:t xml:space="preserve"> 58% more energy on average than the rest of the population (Nelson et al. 2019, 267)</w:t>
      </w:r>
      <w:r>
        <w:rPr>
          <w:rFonts w:cs="Trebuchet MS"/>
        </w:rPr>
        <w:t>, which confirms Boardman</w:t>
      </w:r>
      <w:r w:rsidR="00986A19">
        <w:rPr>
          <w:rFonts w:cs="Trebuchet MS"/>
        </w:rPr>
        <w:t>'</w:t>
      </w:r>
      <w:r>
        <w:rPr>
          <w:rFonts w:cs="Trebuchet MS"/>
        </w:rPr>
        <w:t xml:space="preserve">s original </w:t>
      </w:r>
      <w:r>
        <w:t xml:space="preserve">thesis regarding the structural differences between EP and </w:t>
      </w:r>
      <w:proofErr w:type="spellStart"/>
      <w:r>
        <w:t>normalised</w:t>
      </w:r>
      <w:proofErr w:type="spellEnd"/>
      <w:r>
        <w:t xml:space="preserve"> definitions of poverty. Additionally, because LIH were considered a greater credit risk, they were more likely to be forced to use higher-cost plans (Nelson et al. 2019, 268)</w:t>
      </w:r>
      <w:r w:rsidR="00986A19">
        <w:t xml:space="preserve"> </w:t>
      </w:r>
      <w:r>
        <w:t xml:space="preserve">or pre-paid electricity plans, which preclude cost smoothing between high and lower expenditure periods (Boardman 2015, 274). </w:t>
      </w:r>
    </w:p>
    <w:p w14:paraId="453633D5" w14:textId="77777777" w:rsidR="00984176" w:rsidRDefault="00000000">
      <w:pPr>
        <w:spacing w:after="114" w:line="259" w:lineRule="auto"/>
        <w:ind w:left="0" w:firstLine="0"/>
      </w:pPr>
      <w:r>
        <w:t xml:space="preserve"> </w:t>
      </w:r>
    </w:p>
    <w:p w14:paraId="4B6F5CED" w14:textId="77777777" w:rsidR="00984176" w:rsidRDefault="00000000">
      <w:pPr>
        <w:pStyle w:val="Heading3"/>
        <w:ind w:left="-5"/>
      </w:pPr>
      <w:bookmarkStart w:id="6" w:name="_Toc148132150"/>
      <w:r>
        <w:t>2.2 Price Elasticity and Demand</w:t>
      </w:r>
      <w:bookmarkEnd w:id="6"/>
      <w:r>
        <w:t xml:space="preserve"> </w:t>
      </w:r>
    </w:p>
    <w:p w14:paraId="0A4CD52E" w14:textId="3B1D9C14" w:rsidR="00984176" w:rsidRDefault="00000000">
      <w:pPr>
        <w:ind w:left="-5" w:right="71"/>
      </w:pPr>
      <w:r>
        <w:t xml:space="preserve">The problem with electricity is that it is not an easily substitutable good. For this reason, price elasticity, or a consumer's ability to reduce demand when prices increase, is very low. Chai, </w:t>
      </w:r>
      <w:proofErr w:type="spellStart"/>
      <w:r>
        <w:t>Ratnasiri</w:t>
      </w:r>
      <w:proofErr w:type="spellEnd"/>
      <w:r>
        <w:t>, and Wagner (2021, 64</w:t>
      </w:r>
      <w:r>
        <w:rPr>
          <w:rFonts w:cs="Trebuchet MS"/>
        </w:rPr>
        <w:t>–</w:t>
      </w:r>
      <w:r>
        <w:t xml:space="preserve">68) noted that </w:t>
      </w:r>
      <w:r w:rsidR="008A36FC">
        <w:t xml:space="preserve">the </w:t>
      </w:r>
      <w:r>
        <w:t>price elasticity for LIH was approximately 0.647</w:t>
      </w:r>
      <w:r>
        <w:rPr>
          <w:vertAlign w:val="superscript"/>
        </w:rPr>
        <w:footnoteReference w:id="2"/>
      </w:r>
      <w:r>
        <w:t xml:space="preserve">. They also noted that HIH had a greater ability to reduce demand through more energy-efficient appliances and housing, and the purchase of solar photovoltaic panels. </w:t>
      </w:r>
    </w:p>
    <w:p w14:paraId="409AFA76" w14:textId="77777777" w:rsidR="00984176" w:rsidRDefault="00000000">
      <w:pPr>
        <w:spacing w:after="114" w:line="259" w:lineRule="auto"/>
        <w:ind w:left="0" w:firstLine="0"/>
      </w:pPr>
      <w:r>
        <w:t xml:space="preserve"> </w:t>
      </w:r>
    </w:p>
    <w:p w14:paraId="0682ECFD" w14:textId="03358462" w:rsidR="00984176" w:rsidRDefault="00000000">
      <w:pPr>
        <w:ind w:left="-5" w:right="71"/>
      </w:pPr>
      <w:r>
        <w:t xml:space="preserve">Chester (2013) noted that LIH had already reduced demand as much as possible and responded to price increases through other means. This included not using appliances like water heaters, refrigerators, or space heating, or forgoing other purchases like food and medication. Chester also noted that </w:t>
      </w:r>
      <w:r>
        <w:lastRenderedPageBreak/>
        <w:t>these decisions often lead to further costs, especially regarding health and mental well-being (Chester 2013, 67</w:t>
      </w:r>
      <w:r>
        <w:rPr>
          <w:rFonts w:cs="Trebuchet MS"/>
        </w:rPr>
        <w:t>–</w:t>
      </w:r>
      <w:r>
        <w:t xml:space="preserve">101). </w:t>
      </w:r>
    </w:p>
    <w:p w14:paraId="67CA5C28" w14:textId="77777777" w:rsidR="00984176" w:rsidRDefault="00000000">
      <w:pPr>
        <w:spacing w:after="114" w:line="259" w:lineRule="auto"/>
        <w:ind w:left="0" w:firstLine="0"/>
      </w:pPr>
      <w:r>
        <w:t xml:space="preserve"> </w:t>
      </w:r>
    </w:p>
    <w:p w14:paraId="593E57DA" w14:textId="68971D61" w:rsidR="00984176" w:rsidRDefault="00986A19">
      <w:pPr>
        <w:ind w:left="-5" w:right="71"/>
      </w:pPr>
      <w:r>
        <w:t xml:space="preserve">As electricity is an essential service, and the inability of LIH to reduce demand further, increasing prices have a deleterious impact on household budgets and financial stress. </w:t>
      </w:r>
    </w:p>
    <w:p w14:paraId="47BD208F" w14:textId="77777777" w:rsidR="00984176" w:rsidRDefault="00000000">
      <w:pPr>
        <w:spacing w:after="114" w:line="259" w:lineRule="auto"/>
        <w:ind w:left="0" w:firstLine="0"/>
      </w:pPr>
      <w:r>
        <w:t xml:space="preserve"> </w:t>
      </w:r>
    </w:p>
    <w:p w14:paraId="3D96EA09" w14:textId="77777777" w:rsidR="00984176" w:rsidRDefault="00000000">
      <w:pPr>
        <w:pStyle w:val="Heading3"/>
        <w:ind w:left="-5"/>
      </w:pPr>
      <w:bookmarkStart w:id="7" w:name="_Toc148132151"/>
      <w:r>
        <w:t>2.3 Hardship Programs and Government Assistance</w:t>
      </w:r>
      <w:bookmarkEnd w:id="7"/>
      <w:r>
        <w:t xml:space="preserve"> </w:t>
      </w:r>
    </w:p>
    <w:p w14:paraId="619D3E2C" w14:textId="0A9C3F57" w:rsidR="00984176" w:rsidRDefault="00986A19">
      <w:pPr>
        <w:ind w:left="-5" w:right="71"/>
      </w:pPr>
      <w:r>
        <w:t xml:space="preserve">Electricity is an essential service, and all Australian energy retailers are mandated to maintain customer hardship policies and programs. They aim to prevent disconnection by providing flexible payment options for households experiencing financial stress (AER 2014). </w:t>
      </w:r>
    </w:p>
    <w:p w14:paraId="68671531" w14:textId="77777777" w:rsidR="00984176" w:rsidRDefault="00000000">
      <w:pPr>
        <w:spacing w:after="114" w:line="259" w:lineRule="auto"/>
        <w:ind w:left="0" w:firstLine="0"/>
      </w:pPr>
      <w:r>
        <w:t xml:space="preserve"> </w:t>
      </w:r>
    </w:p>
    <w:p w14:paraId="55A4F8A1" w14:textId="2736A853" w:rsidR="00984176" w:rsidRDefault="00000000">
      <w:pPr>
        <w:ind w:left="-5" w:right="71"/>
      </w:pPr>
      <w:r>
        <w:t>A study of households on hardship programs in 2019 found that 14% of hardship program consumers are on plans that pay for both ongoing energy use and accrued debt, whereas 20% are on plans that only cover the cost of ongoing consumption, but do not pay off any debt. Further, over 60% of hardship program consumers are on plans that account for neither consumption nor accrued debt, meaning these households continue to increase energy-related debt (Nelson et al. 2019, 266</w:t>
      </w:r>
      <w:r>
        <w:rPr>
          <w:rFonts w:cs="Trebuchet MS"/>
        </w:rPr>
        <w:t>–</w:t>
      </w:r>
      <w:r>
        <w:t xml:space="preserve">67). </w:t>
      </w:r>
    </w:p>
    <w:p w14:paraId="34E30DAF" w14:textId="77777777" w:rsidR="00984176" w:rsidRDefault="00000000">
      <w:pPr>
        <w:spacing w:after="114" w:line="259" w:lineRule="auto"/>
        <w:ind w:left="0" w:firstLine="0"/>
      </w:pPr>
      <w:r>
        <w:t xml:space="preserve"> </w:t>
      </w:r>
    </w:p>
    <w:p w14:paraId="0590BA36" w14:textId="77777777" w:rsidR="00984176" w:rsidRDefault="00000000">
      <w:pPr>
        <w:ind w:left="-5" w:right="71"/>
      </w:pPr>
      <w:r>
        <w:t xml:space="preserve">Direct government support through rebates and transfer payments is another way to assist LIH experiencing EP. As inclusion in these programs is usually income-based, inclusion and exclusion error </w:t>
      </w:r>
      <w:proofErr w:type="gramStart"/>
      <w:r>
        <w:t>is</w:t>
      </w:r>
      <w:proofErr w:type="gramEnd"/>
      <w:r>
        <w:t xml:space="preserve"> a problem. Nelson (2019) noted that only ~25% of hardship program customers were eligible for government assistance. They concluded that income might not be the only factor determining EP (Nelson et al. 2019, 266). Other studies supported this, concluding a range of determinants for EP, such as ethnicity, household size and type, residential mode</w:t>
      </w:r>
      <w:r>
        <w:rPr>
          <w:vertAlign w:val="superscript"/>
        </w:rPr>
        <w:footnoteReference w:id="3"/>
      </w:r>
      <w:r>
        <w:t xml:space="preserve">, and climate (Churchill and Smyth </w:t>
      </w:r>
      <w:proofErr w:type="gramStart"/>
      <w:r>
        <w:t>2020;</w:t>
      </w:r>
      <w:proofErr w:type="gramEnd"/>
      <w:r>
        <w:t xml:space="preserve"> Chester </w:t>
      </w:r>
    </w:p>
    <w:p w14:paraId="555D6892" w14:textId="5BE2A417" w:rsidR="00984176" w:rsidRDefault="00000000" w:rsidP="00B440C8">
      <w:pPr>
        <w:spacing w:after="390"/>
        <w:ind w:left="-5" w:right="71"/>
      </w:pPr>
      <w:r>
        <w:t>2013; Chester and Elliot 2019; Best and Burke 2019; Best et al. 2021; Nance 2017). Another study by Simshauser (2023) found that the government</w:t>
      </w:r>
      <w:r w:rsidR="00A47E16">
        <w:t xml:space="preserve"> </w:t>
      </w:r>
      <w:r>
        <w:lastRenderedPageBreak/>
        <w:t xml:space="preserve">assistance exclusion error for households experiencing EP was ~5.4% of all Queensland households (Simshauser 2023, 10). </w:t>
      </w:r>
    </w:p>
    <w:p w14:paraId="336CB911" w14:textId="0981CF19" w:rsidR="00984176" w:rsidRDefault="00000000" w:rsidP="00B440C8">
      <w:pPr>
        <w:ind w:left="-5" w:right="71"/>
      </w:pPr>
      <w:r>
        <w:t xml:space="preserve">Hardship programs and government assistance alleviate the impacts of EP. However, rapidly rising electricity prices result in a larger cohort of households experiencing EP, especially in households excluded from current policy settings. </w:t>
      </w:r>
    </w:p>
    <w:p w14:paraId="6D0483EF" w14:textId="77777777" w:rsidR="00984176" w:rsidRDefault="00000000">
      <w:pPr>
        <w:spacing w:after="153" w:line="259" w:lineRule="auto"/>
        <w:ind w:left="0" w:firstLine="0"/>
      </w:pPr>
      <w:r>
        <w:t xml:space="preserve"> </w:t>
      </w:r>
    </w:p>
    <w:p w14:paraId="23891276" w14:textId="77777777" w:rsidR="00986A19" w:rsidRDefault="00986A19">
      <w:pPr>
        <w:spacing w:after="0" w:line="240" w:lineRule="auto"/>
        <w:ind w:left="0" w:firstLine="0"/>
        <w:rPr>
          <w:rFonts w:cs="Trebuchet MS"/>
          <w:b/>
          <w:color w:val="002060"/>
          <w:sz w:val="28"/>
          <w:lang w:val="en-AU" w:eastAsia="zh-CN"/>
        </w:rPr>
      </w:pPr>
      <w:r>
        <w:br w:type="page"/>
      </w:r>
    </w:p>
    <w:p w14:paraId="614661F5" w14:textId="365CDCA2" w:rsidR="00984176" w:rsidRDefault="00000000">
      <w:pPr>
        <w:pStyle w:val="Heading1"/>
        <w:ind w:left="-5"/>
      </w:pPr>
      <w:bookmarkStart w:id="8" w:name="_Toc148132152"/>
      <w:r>
        <w:lastRenderedPageBreak/>
        <w:t>3.0 The Research Problem</w:t>
      </w:r>
      <w:bookmarkEnd w:id="8"/>
      <w:r>
        <w:t xml:space="preserve"> </w:t>
      </w:r>
    </w:p>
    <w:p w14:paraId="6428D0D7" w14:textId="77777777" w:rsidR="00984176" w:rsidRDefault="00000000">
      <w:pPr>
        <w:spacing w:after="114" w:line="259" w:lineRule="auto"/>
        <w:ind w:left="-5" w:right="71"/>
      </w:pPr>
      <w:r>
        <w:t xml:space="preserve">In most Australian EP research, four data sources are predominately </w:t>
      </w:r>
      <w:proofErr w:type="spellStart"/>
      <w:r>
        <w:t>utilised</w:t>
      </w:r>
      <w:proofErr w:type="spellEnd"/>
      <w:r>
        <w:t xml:space="preserve">. </w:t>
      </w:r>
    </w:p>
    <w:p w14:paraId="0CE0A3F9" w14:textId="77777777" w:rsidR="00984176" w:rsidRDefault="00000000">
      <w:pPr>
        <w:spacing w:after="114" w:line="259" w:lineRule="auto"/>
        <w:ind w:left="-5" w:right="71"/>
      </w:pPr>
      <w:r>
        <w:t xml:space="preserve">They </w:t>
      </w:r>
      <w:proofErr w:type="gramStart"/>
      <w:r>
        <w:t>are:</w:t>
      </w:r>
      <w:proofErr w:type="gramEnd"/>
      <w:r>
        <w:t xml:space="preserve"> the 2012 Household Energy Consumption Survey (ABS 2012), the </w:t>
      </w:r>
    </w:p>
    <w:p w14:paraId="20FF2F19" w14:textId="77777777" w:rsidR="00984176" w:rsidRDefault="00000000">
      <w:pPr>
        <w:ind w:left="-5" w:right="71"/>
      </w:pPr>
      <w:r>
        <w:t xml:space="preserve">2016 Household Expenditure Survey (ABS 2016), the Household, Income and </w:t>
      </w:r>
      <w:proofErr w:type="spellStart"/>
      <w:r>
        <w:t>Labour</w:t>
      </w:r>
      <w:proofErr w:type="spellEnd"/>
      <w:r>
        <w:t xml:space="preserve"> Dynamics in Australia (HILDA) Survey (The Melbourne Institute 2022), and ABS microdata (ABS 2021). </w:t>
      </w:r>
    </w:p>
    <w:p w14:paraId="78BE88ED" w14:textId="77777777" w:rsidR="00984176" w:rsidRDefault="00000000">
      <w:pPr>
        <w:spacing w:after="117" w:line="259" w:lineRule="auto"/>
        <w:ind w:left="0" w:firstLine="0"/>
      </w:pPr>
      <w:r>
        <w:t xml:space="preserve"> </w:t>
      </w:r>
    </w:p>
    <w:p w14:paraId="4097EACD" w14:textId="77777777" w:rsidR="00984176" w:rsidRDefault="00000000">
      <w:pPr>
        <w:ind w:left="-5" w:right="71"/>
      </w:pPr>
      <w:r>
        <w:t>The 2012 Household Energy Consumption Survey and the 2016 Household Expenditure Survey are both point-in-time surveys. In contrast, HILDA is an annual longitudinal survey. While they have been used extensively to map the determinant of energy poverty, they are insensitive to smaller time increments of price data (</w:t>
      </w:r>
      <w:proofErr w:type="spellStart"/>
      <w:r>
        <w:t>Azpitarte</w:t>
      </w:r>
      <w:proofErr w:type="spellEnd"/>
      <w:r>
        <w:t xml:space="preserve">, Johnson, and Sullivan 2015; Best and </w:t>
      </w:r>
      <w:r>
        <w:rPr>
          <w:rFonts w:cs="Trebuchet MS"/>
        </w:rPr>
        <w:t xml:space="preserve">Burke 2019; Churchill and Smyth 2020; 2021a; 2021b; 2022; Vera‐Toscano and </w:t>
      </w:r>
      <w:r>
        <w:t xml:space="preserve">Brown 2022). </w:t>
      </w:r>
    </w:p>
    <w:p w14:paraId="1F179A4F" w14:textId="77777777" w:rsidR="00984176" w:rsidRDefault="00000000">
      <w:pPr>
        <w:spacing w:after="115" w:line="259" w:lineRule="auto"/>
        <w:ind w:left="0" w:firstLine="0"/>
      </w:pPr>
      <w:r>
        <w:t xml:space="preserve"> </w:t>
      </w:r>
    </w:p>
    <w:p w14:paraId="67878863" w14:textId="77777777" w:rsidR="00984176" w:rsidRDefault="00000000">
      <w:pPr>
        <w:ind w:left="-5" w:right="71"/>
      </w:pPr>
      <w:r>
        <w:t xml:space="preserve">ABS microdata has been used to map EP, usually by combining household income and expenditure data with assumptions of the level of expenditure that constitutes EP (Simshauser 2023; Chai, </w:t>
      </w:r>
      <w:proofErr w:type="spellStart"/>
      <w:r>
        <w:t>Ratnasiri</w:t>
      </w:r>
      <w:proofErr w:type="spellEnd"/>
      <w:r>
        <w:t xml:space="preserve">, and Wagner 2021). </w:t>
      </w:r>
    </w:p>
    <w:p w14:paraId="558826F0" w14:textId="77777777" w:rsidR="00984176" w:rsidRDefault="00000000">
      <w:pPr>
        <w:spacing w:after="114" w:line="259" w:lineRule="auto"/>
        <w:ind w:left="0" w:firstLine="0"/>
      </w:pPr>
      <w:r>
        <w:t xml:space="preserve"> </w:t>
      </w:r>
    </w:p>
    <w:p w14:paraId="634AB162" w14:textId="77777777" w:rsidR="00984176" w:rsidRDefault="00000000">
      <w:pPr>
        <w:spacing w:after="114" w:line="259" w:lineRule="auto"/>
        <w:ind w:left="-5" w:right="71"/>
      </w:pPr>
      <w:r>
        <w:t xml:space="preserve">While some studies, such as Chester (2013; 2014) and Chester and Elliot </w:t>
      </w:r>
    </w:p>
    <w:p w14:paraId="4383E188" w14:textId="77777777" w:rsidR="00984176" w:rsidRDefault="00000000">
      <w:pPr>
        <w:spacing w:line="259" w:lineRule="auto"/>
        <w:ind w:left="-5" w:right="71"/>
      </w:pPr>
      <w:r>
        <w:t xml:space="preserve">(2019), have conducted qualitative surveys to understand EP in Australia. </w:t>
      </w:r>
    </w:p>
    <w:p w14:paraId="356FEB95" w14:textId="77777777" w:rsidR="00984176" w:rsidRDefault="00000000">
      <w:pPr>
        <w:ind w:left="-5" w:right="71"/>
      </w:pPr>
      <w:r>
        <w:t xml:space="preserve">They have mostly worked to understand the human impacts of EP rather than the sensitivity of EP to other stimuli, like prices or inflation. </w:t>
      </w:r>
    </w:p>
    <w:p w14:paraId="21AD906B" w14:textId="77777777" w:rsidR="00984176" w:rsidRDefault="00000000">
      <w:pPr>
        <w:spacing w:after="114" w:line="259" w:lineRule="auto"/>
        <w:ind w:left="0" w:firstLine="0"/>
      </w:pPr>
      <w:r>
        <w:t xml:space="preserve"> </w:t>
      </w:r>
    </w:p>
    <w:p w14:paraId="1A8A11D2" w14:textId="77777777" w:rsidR="00984176" w:rsidRDefault="00000000">
      <w:pPr>
        <w:ind w:left="-5" w:right="71"/>
      </w:pPr>
      <w:r>
        <w:t xml:space="preserve">Studies that have sought to measure the incidence or rates of EP have resorted to using energy expenditure as a percentage of income, a fixed income threshold, to measure EP (Boardman 1991b; 1991a; 2015; Chai, </w:t>
      </w:r>
      <w:proofErr w:type="spellStart"/>
      <w:r>
        <w:t>Ratnasiri</w:t>
      </w:r>
      <w:proofErr w:type="spellEnd"/>
      <w:r>
        <w:t xml:space="preserve">, and Wagner 2021; Simshauser 2023). However, as noted in Section </w:t>
      </w:r>
    </w:p>
    <w:p w14:paraId="3DDA5A90" w14:textId="7A595502" w:rsidR="00984176" w:rsidRDefault="00000000">
      <w:pPr>
        <w:ind w:left="-5" w:right="71"/>
      </w:pPr>
      <w:r>
        <w:t xml:space="preserve">2.0, other determinants of EP need to be accounted for when measuring EP. This view concurs with the </w:t>
      </w:r>
      <w:r>
        <w:rPr>
          <w:rFonts w:cs="Trebuchet MS"/>
        </w:rPr>
        <w:t>Hill</w:t>
      </w:r>
      <w:r w:rsidR="00986A19">
        <w:rPr>
          <w:rFonts w:cs="Trebuchet MS"/>
        </w:rPr>
        <w:t>'</w:t>
      </w:r>
      <w:r>
        <w:rPr>
          <w:rFonts w:cs="Trebuchet MS"/>
        </w:rPr>
        <w:t>s</w:t>
      </w:r>
      <w:r>
        <w:t xml:space="preserve"> </w:t>
      </w:r>
      <w:r w:rsidR="00986A19">
        <w:t>R</w:t>
      </w:r>
      <w:r>
        <w:t xml:space="preserve">eport findings, Fuel Poverty Review, where they noted that a fixed income threshold is problematic as it fails to account </w:t>
      </w:r>
      <w:r>
        <w:lastRenderedPageBreak/>
        <w:t>for other EP determinants, such as those discussed in Section 2.0 (Hills 2012, 50</w:t>
      </w:r>
      <w:r>
        <w:rPr>
          <w:rFonts w:cs="Trebuchet MS"/>
        </w:rPr>
        <w:t>–</w:t>
      </w:r>
      <w:r>
        <w:t xml:space="preserve">68). </w:t>
      </w:r>
    </w:p>
    <w:p w14:paraId="7CD125C5" w14:textId="77777777" w:rsidR="00984176" w:rsidRDefault="00000000">
      <w:pPr>
        <w:spacing w:after="114" w:line="259" w:lineRule="auto"/>
        <w:ind w:left="0" w:firstLine="0"/>
      </w:pPr>
      <w:r>
        <w:t xml:space="preserve"> </w:t>
      </w:r>
    </w:p>
    <w:p w14:paraId="7EA2E023" w14:textId="77777777" w:rsidR="00984176" w:rsidRDefault="00000000">
      <w:pPr>
        <w:ind w:left="-5" w:right="71"/>
      </w:pPr>
      <w:r>
        <w:t xml:space="preserve">This study seeks to use quarterly panel data, avoiding a fixed income threshold, for measuring the impact of fluctuations in electricity prices and inflation on the incidence of EP in Australia. </w:t>
      </w:r>
    </w:p>
    <w:p w14:paraId="497D9C5F" w14:textId="77777777" w:rsidR="00984176" w:rsidRDefault="00000000">
      <w:pPr>
        <w:spacing w:after="117" w:line="259" w:lineRule="auto"/>
        <w:ind w:left="0" w:firstLine="0"/>
      </w:pPr>
      <w:r>
        <w:t xml:space="preserve"> </w:t>
      </w:r>
    </w:p>
    <w:p w14:paraId="72E4B383" w14:textId="77777777" w:rsidR="00984176" w:rsidRDefault="00000000">
      <w:pPr>
        <w:spacing w:after="153" w:line="259" w:lineRule="auto"/>
        <w:ind w:left="0" w:firstLine="0"/>
      </w:pPr>
      <w:r>
        <w:t xml:space="preserve"> </w:t>
      </w:r>
    </w:p>
    <w:p w14:paraId="030B0A6E" w14:textId="77777777" w:rsidR="00986A19" w:rsidRDefault="00986A19">
      <w:pPr>
        <w:spacing w:after="0" w:line="240" w:lineRule="auto"/>
        <w:ind w:left="0" w:firstLine="0"/>
        <w:rPr>
          <w:rFonts w:cs="Trebuchet MS"/>
          <w:b/>
          <w:color w:val="002060"/>
          <w:sz w:val="28"/>
          <w:lang w:val="en-AU" w:eastAsia="zh-CN"/>
        </w:rPr>
      </w:pPr>
      <w:r>
        <w:br w:type="page"/>
      </w:r>
    </w:p>
    <w:p w14:paraId="4AC7A1F9" w14:textId="5C960A03" w:rsidR="00984176" w:rsidRDefault="00000000">
      <w:pPr>
        <w:pStyle w:val="Heading1"/>
        <w:ind w:left="-5"/>
      </w:pPr>
      <w:bookmarkStart w:id="9" w:name="_Toc148132153"/>
      <w:r>
        <w:lastRenderedPageBreak/>
        <w:t>4.0 The Research Question</w:t>
      </w:r>
      <w:bookmarkEnd w:id="9"/>
      <w:r>
        <w:t xml:space="preserve"> </w:t>
      </w:r>
    </w:p>
    <w:p w14:paraId="679DB12F" w14:textId="13D65706" w:rsidR="00984176" w:rsidRDefault="00986A19">
      <w:pPr>
        <w:ind w:left="-5" w:right="71"/>
      </w:pPr>
      <w:r>
        <w:t>To what extent can the relationship between electricity prices and inflation to energy poverty be measured, such that changes to the rates of energy poverty can be confidently estimated and used to inform appropriate policy responses?</w:t>
      </w:r>
      <w:r w:rsidR="0020752F">
        <w:t xml:space="preserve"> </w:t>
      </w:r>
    </w:p>
    <w:p w14:paraId="27A34F36" w14:textId="77777777" w:rsidR="00984176" w:rsidRDefault="00000000">
      <w:pPr>
        <w:spacing w:after="114" w:line="259" w:lineRule="auto"/>
        <w:ind w:left="0" w:firstLine="0"/>
      </w:pPr>
      <w:r>
        <w:t xml:space="preserve"> </w:t>
      </w:r>
    </w:p>
    <w:p w14:paraId="3F229D1D" w14:textId="77777777" w:rsidR="00984176" w:rsidRDefault="00000000">
      <w:pPr>
        <w:spacing w:after="153" w:line="259" w:lineRule="auto"/>
        <w:ind w:left="0" w:firstLine="0"/>
      </w:pPr>
      <w:r>
        <w:t xml:space="preserve"> </w:t>
      </w:r>
    </w:p>
    <w:p w14:paraId="4C53A99E" w14:textId="77777777" w:rsidR="00986A19" w:rsidRDefault="00986A19">
      <w:pPr>
        <w:spacing w:after="0" w:line="240" w:lineRule="auto"/>
        <w:ind w:left="0" w:firstLine="0"/>
        <w:rPr>
          <w:rFonts w:cs="Trebuchet MS"/>
          <w:b/>
          <w:color w:val="002060"/>
          <w:sz w:val="28"/>
          <w:lang w:val="en-AU" w:eastAsia="zh-CN"/>
        </w:rPr>
      </w:pPr>
      <w:r>
        <w:br w:type="page"/>
      </w:r>
    </w:p>
    <w:p w14:paraId="2DF23ADA" w14:textId="599BE2AB" w:rsidR="00984176" w:rsidRDefault="00000000">
      <w:pPr>
        <w:pStyle w:val="Heading1"/>
        <w:ind w:left="-5"/>
      </w:pPr>
      <w:bookmarkStart w:id="10" w:name="_Toc148132154"/>
      <w:r>
        <w:lastRenderedPageBreak/>
        <w:t>5.0 Theoretical Framework</w:t>
      </w:r>
      <w:bookmarkEnd w:id="10"/>
      <w:r>
        <w:t xml:space="preserve"> </w:t>
      </w:r>
    </w:p>
    <w:p w14:paraId="40C88474" w14:textId="5612370A" w:rsidR="00984176" w:rsidRDefault="00000000">
      <w:pPr>
        <w:ind w:left="-5" w:right="71"/>
      </w:pPr>
      <w:r>
        <w:t xml:space="preserve">Poverty </w:t>
      </w:r>
      <w:proofErr w:type="gramStart"/>
      <w:r>
        <w:t>is not having</w:t>
      </w:r>
      <w:proofErr w:type="gramEnd"/>
      <w:r>
        <w:t xml:space="preserve"> the resources to access the necessities to sustain life. So</w:t>
      </w:r>
      <w:r w:rsidR="00986A19">
        <w:t>,</w:t>
      </w:r>
      <w:r>
        <w:t xml:space="preserve"> it seems somewhat axiomatic to say that in an environment where costs increase more than household income, the number of households experiencing poverty will also increase.</w:t>
      </w:r>
      <w:r w:rsidR="0020752F">
        <w:t xml:space="preserve"> </w:t>
      </w:r>
    </w:p>
    <w:p w14:paraId="678E2603" w14:textId="77777777" w:rsidR="00984176" w:rsidRDefault="00000000">
      <w:pPr>
        <w:spacing w:after="0" w:line="259" w:lineRule="auto"/>
        <w:ind w:left="0" w:firstLine="0"/>
      </w:pPr>
      <w:r>
        <w:t xml:space="preserve"> </w:t>
      </w:r>
    </w:p>
    <w:p w14:paraId="5355330E" w14:textId="77777777" w:rsidR="00984176" w:rsidRDefault="00000000">
      <w:pPr>
        <w:ind w:left="-5" w:right="71"/>
      </w:pPr>
      <w:r>
        <w:t xml:space="preserve">Energy poverty is a phenomenon that describes not just the relationship between income and the cost of an essential good, but also that poorer households need to spend more to achieve the same energy outcomes as households on higher incomes. Section 2.0 discussed some of the reasons behind this phenomenon. </w:t>
      </w:r>
    </w:p>
    <w:p w14:paraId="0694847E" w14:textId="77777777" w:rsidR="00984176" w:rsidRDefault="00000000">
      <w:pPr>
        <w:spacing w:after="114" w:line="259" w:lineRule="auto"/>
        <w:ind w:left="0" w:firstLine="0"/>
      </w:pPr>
      <w:r>
        <w:t xml:space="preserve"> </w:t>
      </w:r>
    </w:p>
    <w:p w14:paraId="0AAB988A" w14:textId="68021D50" w:rsidR="00984176" w:rsidRDefault="00000000">
      <w:pPr>
        <w:ind w:left="-5" w:right="71"/>
      </w:pPr>
      <w:r>
        <w:t xml:space="preserve">This </w:t>
      </w:r>
      <w:r w:rsidR="00986A19">
        <w:t>study</w:t>
      </w:r>
      <w:r>
        <w:t xml:space="preserve"> </w:t>
      </w:r>
      <w:proofErr w:type="spellStart"/>
      <w:r>
        <w:t>theorises</w:t>
      </w:r>
      <w:proofErr w:type="spellEnd"/>
      <w:r>
        <w:t xml:space="preserve"> that an expected </w:t>
      </w:r>
      <w:proofErr w:type="spellStart"/>
      <w:r>
        <w:t>behaviour</w:t>
      </w:r>
      <w:proofErr w:type="spellEnd"/>
      <w:r>
        <w:t xml:space="preserve"> of households experiencing energy-related financial stress is measurable and, further, that this </w:t>
      </w:r>
      <w:proofErr w:type="spellStart"/>
      <w:r>
        <w:t>behaviour</w:t>
      </w:r>
      <w:proofErr w:type="spellEnd"/>
      <w:r>
        <w:t xml:space="preserve"> is sensitive to price fluctuations. The AER reports energy retailer Hardship Program data quarterly. Entry into a Hardship Program reduces household energy-related financial stress and can be expected of most households experiencing EP. As such, this is a valuable measure of EP, which is both longitudinal and not subject to fixed income thresholds or not measuring other determinants of EP. Additionally, because the </w:t>
      </w:r>
      <w:proofErr w:type="spellStart"/>
      <w:r>
        <w:t>behaviour</w:t>
      </w:r>
      <w:proofErr w:type="spellEnd"/>
      <w:r>
        <w:t xml:space="preserve"> happens in an environment of current government EP alleviation policies, the data automatically considers these settings</w:t>
      </w:r>
      <w:r>
        <w:rPr>
          <w:vertAlign w:val="superscript"/>
        </w:rPr>
        <w:footnoteReference w:id="4"/>
      </w:r>
      <w:r>
        <w:t xml:space="preserve">. </w:t>
      </w:r>
    </w:p>
    <w:p w14:paraId="74079389" w14:textId="5838C04E" w:rsidR="00984176" w:rsidRDefault="0020752F">
      <w:pPr>
        <w:spacing w:after="0" w:line="359" w:lineRule="auto"/>
        <w:ind w:left="0" w:right="8505" w:firstLine="0"/>
      </w:pPr>
      <w:r>
        <w:t xml:space="preserve"> </w:t>
      </w:r>
    </w:p>
    <w:p w14:paraId="61B3F1D1" w14:textId="77777777" w:rsidR="00984176" w:rsidRDefault="00000000">
      <w:pPr>
        <w:spacing w:after="153" w:line="259" w:lineRule="auto"/>
        <w:ind w:left="0" w:firstLine="0"/>
      </w:pPr>
      <w:r>
        <w:t xml:space="preserve"> </w:t>
      </w:r>
    </w:p>
    <w:p w14:paraId="2B2A59B9" w14:textId="77777777" w:rsidR="00986A19" w:rsidRDefault="00986A19">
      <w:pPr>
        <w:spacing w:after="0" w:line="240" w:lineRule="auto"/>
        <w:ind w:left="0" w:firstLine="0"/>
        <w:rPr>
          <w:rFonts w:cs="Trebuchet MS"/>
          <w:b/>
          <w:color w:val="002060"/>
          <w:sz w:val="28"/>
          <w:lang w:val="en-AU" w:eastAsia="zh-CN"/>
        </w:rPr>
      </w:pPr>
      <w:r>
        <w:br w:type="page"/>
      </w:r>
    </w:p>
    <w:p w14:paraId="4F50D34A" w14:textId="409EE7AB" w:rsidR="00984176" w:rsidRDefault="00000000">
      <w:pPr>
        <w:pStyle w:val="Heading1"/>
        <w:ind w:left="-5"/>
      </w:pPr>
      <w:bookmarkStart w:id="11" w:name="_Toc148132155"/>
      <w:r>
        <w:lastRenderedPageBreak/>
        <w:t>6.0 Method</w:t>
      </w:r>
      <w:bookmarkEnd w:id="11"/>
      <w:r>
        <w:t xml:space="preserve"> </w:t>
      </w:r>
    </w:p>
    <w:p w14:paraId="6AC69B17" w14:textId="77777777" w:rsidR="00984176" w:rsidRDefault="00000000">
      <w:pPr>
        <w:ind w:left="-5" w:right="71"/>
      </w:pPr>
      <w:r>
        <w:t xml:space="preserve">This study will use AER and ABS data to measure the impact of electricity price rises on NSW households experiencing energy-related financial stress. It is envisaged that two models will be employed and tested to understand and predict the impact of inflation and electricity price rises on EP. </w:t>
      </w:r>
    </w:p>
    <w:p w14:paraId="6038C00F" w14:textId="77777777" w:rsidR="00984176" w:rsidRDefault="00000000">
      <w:pPr>
        <w:spacing w:after="115" w:line="259" w:lineRule="auto"/>
        <w:ind w:left="0" w:firstLine="0"/>
      </w:pPr>
      <w:r>
        <w:t xml:space="preserve"> </w:t>
      </w:r>
    </w:p>
    <w:p w14:paraId="7C2CDF47" w14:textId="77777777" w:rsidR="00984176" w:rsidRDefault="00000000">
      <w:pPr>
        <w:pStyle w:val="Heading3"/>
        <w:ind w:left="-5"/>
      </w:pPr>
      <w:bookmarkStart w:id="12" w:name="_Toc148132156"/>
      <w:r>
        <w:t>6.1 Data</w:t>
      </w:r>
      <w:bookmarkEnd w:id="12"/>
      <w:r>
        <w:t xml:space="preserve"> </w:t>
      </w:r>
    </w:p>
    <w:p w14:paraId="607EB335" w14:textId="77777777" w:rsidR="00984176" w:rsidRDefault="00000000">
      <w:pPr>
        <w:spacing w:after="64"/>
        <w:ind w:left="-5" w:right="71"/>
      </w:pPr>
      <w:r>
        <w:t xml:space="preserve">The AER releases a quarterly market performance report, which includes Hardship Program metrics. While the ABS releases quarterly price data, including an electrical price index (EPI) and a consumer price index (CPI) (ABS 2023b; AER 2023a). </w:t>
      </w:r>
    </w:p>
    <w:p w14:paraId="77ADE160" w14:textId="1691775C" w:rsidR="00984176" w:rsidRDefault="00000000">
      <w:pPr>
        <w:spacing w:after="0" w:line="259" w:lineRule="auto"/>
        <w:ind w:left="0" w:firstLine="0"/>
      </w:pPr>
      <w:r>
        <w:t xml:space="preserve"> </w:t>
      </w:r>
    </w:p>
    <w:p w14:paraId="64AC1A02" w14:textId="77777777" w:rsidR="00984176" w:rsidRDefault="00000000">
      <w:pPr>
        <w:spacing w:after="114" w:line="259" w:lineRule="auto"/>
        <w:ind w:left="0" w:firstLine="0"/>
      </w:pPr>
      <w:r>
        <w:t xml:space="preserve"> </w:t>
      </w:r>
    </w:p>
    <w:p w14:paraId="396E9B90" w14:textId="77777777" w:rsidR="00984176" w:rsidRDefault="00000000">
      <w:pPr>
        <w:ind w:left="-5" w:right="71"/>
      </w:pPr>
      <w:r>
        <w:t>The AER started reporting Hardship Program metrics in the second quarter of 2015. The data covers all states</w:t>
      </w:r>
      <w:r>
        <w:rPr>
          <w:vertAlign w:val="superscript"/>
        </w:rPr>
        <w:footnoteReference w:id="5"/>
      </w:r>
      <w:r>
        <w:t xml:space="preserve"> in the National Energy Market (NEM) and reports numerically and as a percentage of total households. The study will generate a number per 100,000 (#/100k) NSW households in Hardship Programs from NSW percentage data. Using #/100K instead of absolute reported numbers automatically corrects for population growth over the sample period. </w:t>
      </w:r>
    </w:p>
    <w:p w14:paraId="6352BF2C" w14:textId="77777777" w:rsidR="00984176" w:rsidRDefault="00000000">
      <w:pPr>
        <w:spacing w:after="114" w:line="259" w:lineRule="auto"/>
        <w:ind w:left="0" w:firstLine="0"/>
      </w:pPr>
      <w:r>
        <w:t xml:space="preserve"> </w:t>
      </w:r>
    </w:p>
    <w:p w14:paraId="6AD8AD75" w14:textId="77777777" w:rsidR="00986A19" w:rsidRDefault="00000000" w:rsidP="00986A19">
      <w:pPr>
        <w:ind w:left="-5" w:right="71"/>
      </w:pPr>
      <w:r>
        <w:t xml:space="preserve">The ABS reports price index data quarterly. </w:t>
      </w:r>
      <w:r w:rsidR="00986A19">
        <w:t>The</w:t>
      </w:r>
      <w:r>
        <w:t xml:space="preserve"> study will </w:t>
      </w:r>
      <w:proofErr w:type="spellStart"/>
      <w:r>
        <w:t>utilise</w:t>
      </w:r>
      <w:proofErr w:type="spellEnd"/>
      <w:r>
        <w:t xml:space="preserve"> the ABS</w:t>
      </w:r>
      <w:r w:rsidR="00986A19">
        <w:t xml:space="preserve"> CPI and EPI as explanatory variables for the NSW EP data.</w:t>
      </w:r>
    </w:p>
    <w:p w14:paraId="6BF7068A" w14:textId="21AC5229" w:rsidR="00984176" w:rsidRDefault="00000000" w:rsidP="00986A19">
      <w:pPr>
        <w:ind w:left="-5" w:right="71"/>
      </w:pPr>
      <w:r>
        <w:t xml:space="preserve"> </w:t>
      </w:r>
    </w:p>
    <w:p w14:paraId="7EC2DAD5" w14:textId="1583550C" w:rsidR="00984176" w:rsidRDefault="00000000">
      <w:pPr>
        <w:ind w:left="-5" w:right="71"/>
      </w:pPr>
      <w:r>
        <w:t xml:space="preserve">The model will also include a COVID-19 binary explanatory variable to account for the Federal Government's special financial measures during the COVID-19 pandemic. </w:t>
      </w:r>
    </w:p>
    <w:p w14:paraId="14522394" w14:textId="77777777" w:rsidR="00984176" w:rsidRDefault="00000000">
      <w:pPr>
        <w:spacing w:after="114" w:line="259" w:lineRule="auto"/>
        <w:ind w:left="0" w:firstLine="0"/>
      </w:pPr>
      <w:r>
        <w:t xml:space="preserve"> </w:t>
      </w:r>
    </w:p>
    <w:p w14:paraId="2E2BA488" w14:textId="77777777" w:rsidR="00984176" w:rsidRDefault="00000000">
      <w:pPr>
        <w:pStyle w:val="Heading3"/>
        <w:ind w:left="-5"/>
      </w:pPr>
      <w:bookmarkStart w:id="13" w:name="_Toc148132157"/>
      <w:r>
        <w:lastRenderedPageBreak/>
        <w:t>6.2 Model</w:t>
      </w:r>
      <w:bookmarkEnd w:id="13"/>
      <w:r>
        <w:t xml:space="preserve"> </w:t>
      </w:r>
    </w:p>
    <w:p w14:paraId="5B53BEFC" w14:textId="77777777" w:rsidR="00984176" w:rsidRDefault="00000000">
      <w:pPr>
        <w:ind w:left="-5" w:right="71"/>
      </w:pPr>
      <w:r>
        <w:t xml:space="preserve">It is envisaged that the study will generate and test two models. A log-log regression will determine the relationship between EP and price data in percentage terms. In contrast, a linear regression will return a numeric relationship from the same data. </w:t>
      </w:r>
    </w:p>
    <w:p w14:paraId="36D2B1A0" w14:textId="77777777" w:rsidR="00984176" w:rsidRDefault="00000000">
      <w:pPr>
        <w:spacing w:after="131" w:line="259" w:lineRule="auto"/>
        <w:ind w:left="0" w:firstLine="0"/>
      </w:pPr>
      <w:r>
        <w:t xml:space="preserve"> </w:t>
      </w:r>
    </w:p>
    <w:p w14:paraId="4BF50610" w14:textId="77777777" w:rsidR="00984176" w:rsidRDefault="00000000">
      <w:pPr>
        <w:spacing w:after="328"/>
        <w:ind w:left="-5" w:right="71"/>
      </w:pPr>
      <w:r>
        <w:t>The dependent variable</w:t>
      </w:r>
      <w:r>
        <w:rPr>
          <w:vertAlign w:val="superscript"/>
        </w:rPr>
        <w:footnoteReference w:id="6"/>
      </w:r>
      <w:r>
        <w:t xml:space="preserve"> will be lagged by one quarter to account for a delay between using the electricity, receiving the bill, and requesting assistance through retailer Hardship Programs. Additionally, the model will use a </w:t>
      </w:r>
      <w:proofErr w:type="spellStart"/>
      <w:r>
        <w:t>NeweyWest</w:t>
      </w:r>
      <w:proofErr w:type="spellEnd"/>
      <w:r>
        <w:t xml:space="preserve"> estimator to account for autocorrelation within the data. </w:t>
      </w:r>
    </w:p>
    <w:p w14:paraId="73485FA1" w14:textId="77777777" w:rsidR="00984176" w:rsidRDefault="00000000">
      <w:pPr>
        <w:spacing w:after="163" w:line="259" w:lineRule="auto"/>
        <w:ind w:left="0" w:firstLine="0"/>
      </w:pPr>
      <w:r>
        <w:t xml:space="preserve"> </w:t>
      </w:r>
    </w:p>
    <w:p w14:paraId="3A8993E2" w14:textId="77777777" w:rsidR="00984176" w:rsidRDefault="00000000">
      <w:pPr>
        <w:spacing w:after="72" w:line="259" w:lineRule="auto"/>
        <w:ind w:right="87"/>
        <w:jc w:val="center"/>
      </w:pPr>
      <w:r>
        <w:rPr>
          <w:rFonts w:ascii="Cambria Math" w:eastAsia="Cambria Math" w:hAnsi="Cambria Math" w:cs="Cambria Math"/>
        </w:rPr>
        <w:t>𝑙n(ℎ)</w:t>
      </w:r>
      <w:r>
        <w:rPr>
          <w:rFonts w:ascii="Cambria Math" w:eastAsia="Cambria Math" w:hAnsi="Cambria Math" w:cs="Cambria Math"/>
          <w:vertAlign w:val="subscript"/>
        </w:rPr>
        <w:t xml:space="preserve">𝑡−1 </w:t>
      </w:r>
      <w:r>
        <w:rPr>
          <w:rFonts w:ascii="Cambria Math" w:eastAsia="Cambria Math" w:hAnsi="Cambria Math" w:cs="Cambria Math"/>
        </w:rPr>
        <w:t>= 𝛽</w:t>
      </w:r>
      <w:r>
        <w:rPr>
          <w:rFonts w:ascii="Cambria Math" w:eastAsia="Cambria Math" w:hAnsi="Cambria Math" w:cs="Cambria Math"/>
          <w:vertAlign w:val="subscript"/>
        </w:rPr>
        <w:t xml:space="preserve">0 </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𝑙n(𝑛)</w:t>
      </w:r>
      <w:r>
        <w:rPr>
          <w:rFonts w:ascii="Cambria Math" w:eastAsia="Cambria Math" w:hAnsi="Cambria Math" w:cs="Cambria Math"/>
          <w:vertAlign w:val="subscript"/>
        </w:rPr>
        <w:t xml:space="preserve">𝑡 </w:t>
      </w:r>
      <w:r>
        <w:rPr>
          <w:rFonts w:ascii="Cambria Math" w:eastAsia="Cambria Math" w:hAnsi="Cambria Math" w:cs="Cambria Math"/>
        </w:rPr>
        <w:t>+ 𝛽</w:t>
      </w:r>
      <w:r>
        <w:rPr>
          <w:rFonts w:ascii="Cambria Math" w:eastAsia="Cambria Math" w:hAnsi="Cambria Math" w:cs="Cambria Math"/>
          <w:vertAlign w:val="subscript"/>
        </w:rPr>
        <w:t>2</w:t>
      </w:r>
      <w:r>
        <w:rPr>
          <w:rFonts w:ascii="Cambria Math" w:eastAsia="Cambria Math" w:hAnsi="Cambria Math" w:cs="Cambria Math"/>
        </w:rPr>
        <w:t>𝑙n(𝑒)</w:t>
      </w:r>
      <w:r>
        <w:rPr>
          <w:rFonts w:ascii="Cambria Math" w:eastAsia="Cambria Math" w:hAnsi="Cambria Math" w:cs="Cambria Math"/>
          <w:vertAlign w:val="subscript"/>
        </w:rPr>
        <w:t xml:space="preserve">𝑡 </w:t>
      </w:r>
      <w:r>
        <w:rPr>
          <w:rFonts w:ascii="Cambria Math" w:eastAsia="Cambria Math" w:hAnsi="Cambria Math" w:cs="Cambria Math"/>
        </w:rPr>
        <w:t>+ 𝛽</w:t>
      </w:r>
      <w:r>
        <w:rPr>
          <w:rFonts w:ascii="Cambria Math" w:eastAsia="Cambria Math" w:hAnsi="Cambria Math" w:cs="Cambria Math"/>
          <w:vertAlign w:val="subscript"/>
        </w:rPr>
        <w:t>3</w:t>
      </w:r>
      <w:r>
        <w:rPr>
          <w:rFonts w:ascii="Cambria Math" w:eastAsia="Cambria Math" w:hAnsi="Cambria Math" w:cs="Cambria Math"/>
        </w:rPr>
        <w:t>𝑐</w:t>
      </w:r>
      <w:r>
        <w:rPr>
          <w:rFonts w:ascii="Cambria Math" w:eastAsia="Cambria Math" w:hAnsi="Cambria Math" w:cs="Cambria Math"/>
          <w:vertAlign w:val="subscript"/>
        </w:rPr>
        <w:t xml:space="preserve">𝑡 </w:t>
      </w:r>
      <w:r>
        <w:rPr>
          <w:rFonts w:ascii="Cambria Math" w:eastAsia="Cambria Math" w:hAnsi="Cambria Math" w:cs="Cambria Math"/>
        </w:rPr>
        <w:t>+ μ</w:t>
      </w:r>
      <w:r>
        <w:rPr>
          <w:rFonts w:ascii="Cambria Math" w:eastAsia="Cambria Math" w:hAnsi="Cambria Math" w:cs="Cambria Math"/>
          <w:vertAlign w:val="subscript"/>
        </w:rPr>
        <w:t>𝑡</w:t>
      </w:r>
      <w:r>
        <w:t xml:space="preserve"> </w:t>
      </w:r>
    </w:p>
    <w:p w14:paraId="4AFB0A43" w14:textId="77777777" w:rsidR="00984176" w:rsidRDefault="00000000">
      <w:pPr>
        <w:spacing w:after="235" w:line="265" w:lineRule="auto"/>
        <w:ind w:left="-5"/>
      </w:pPr>
      <w:r>
        <w:rPr>
          <w:rFonts w:cs="Trebuchet MS"/>
          <w:i/>
          <w:color w:val="44546A"/>
          <w:sz w:val="18"/>
        </w:rPr>
        <w:t xml:space="preserve">Equation 1: Log-Log Regression Model </w:t>
      </w:r>
    </w:p>
    <w:p w14:paraId="1BC578EB" w14:textId="77777777" w:rsidR="00984176" w:rsidRDefault="00000000">
      <w:pPr>
        <w:spacing w:after="185" w:line="259" w:lineRule="auto"/>
        <w:ind w:left="0" w:firstLine="0"/>
      </w:pPr>
      <w:r>
        <w:t xml:space="preserve"> </w:t>
      </w:r>
    </w:p>
    <w:p w14:paraId="01BC9B47" w14:textId="77777777" w:rsidR="00984176" w:rsidRDefault="00000000">
      <w:pPr>
        <w:spacing w:after="72" w:line="259" w:lineRule="auto"/>
        <w:ind w:right="84"/>
        <w:jc w:val="center"/>
      </w:pPr>
      <w:r>
        <w:rPr>
          <w:rFonts w:ascii="Cambria Math" w:eastAsia="Cambria Math" w:hAnsi="Cambria Math" w:cs="Cambria Math"/>
        </w:rPr>
        <w:t>ℎ</w:t>
      </w:r>
      <w:r>
        <w:rPr>
          <w:rFonts w:ascii="Cambria Math" w:eastAsia="Cambria Math" w:hAnsi="Cambria Math" w:cs="Cambria Math"/>
          <w:sz w:val="17"/>
        </w:rPr>
        <w:t xml:space="preserve">(𝑡−1) </w:t>
      </w:r>
      <w:r>
        <w:rPr>
          <w:rFonts w:ascii="Cambria Math" w:eastAsia="Cambria Math" w:hAnsi="Cambria Math" w:cs="Cambria Math"/>
        </w:rPr>
        <w:t>= 𝛽</w:t>
      </w:r>
      <w:r>
        <w:rPr>
          <w:rFonts w:ascii="Cambria Math" w:eastAsia="Cambria Math" w:hAnsi="Cambria Math" w:cs="Cambria Math"/>
          <w:sz w:val="17"/>
        </w:rPr>
        <w:t xml:space="preserve">0 </w:t>
      </w:r>
      <w:r>
        <w:rPr>
          <w:rFonts w:ascii="Cambria Math" w:eastAsia="Cambria Math" w:hAnsi="Cambria Math" w:cs="Cambria Math"/>
        </w:rPr>
        <w:t>+ 𝛽</w:t>
      </w:r>
      <w:r>
        <w:rPr>
          <w:rFonts w:ascii="Cambria Math" w:eastAsia="Cambria Math" w:hAnsi="Cambria Math" w:cs="Cambria Math"/>
          <w:sz w:val="17"/>
        </w:rPr>
        <w:t>1</w:t>
      </w:r>
      <w:r>
        <w:rPr>
          <w:rFonts w:ascii="Cambria Math" w:eastAsia="Cambria Math" w:hAnsi="Cambria Math" w:cs="Cambria Math"/>
        </w:rPr>
        <w:t>𝑛</w:t>
      </w:r>
      <w:r>
        <w:rPr>
          <w:rFonts w:ascii="Cambria Math" w:eastAsia="Cambria Math" w:hAnsi="Cambria Math" w:cs="Cambria Math"/>
          <w:sz w:val="17"/>
        </w:rPr>
        <w:t xml:space="preserve">𝑡 </w:t>
      </w:r>
      <w:r>
        <w:rPr>
          <w:rFonts w:ascii="Cambria Math" w:eastAsia="Cambria Math" w:hAnsi="Cambria Math" w:cs="Cambria Math"/>
        </w:rPr>
        <w:t>+ 𝛽</w:t>
      </w:r>
      <w:r>
        <w:rPr>
          <w:rFonts w:ascii="Cambria Math" w:eastAsia="Cambria Math" w:hAnsi="Cambria Math" w:cs="Cambria Math"/>
          <w:sz w:val="17"/>
        </w:rPr>
        <w:t>2</w:t>
      </w:r>
      <w:r>
        <w:rPr>
          <w:rFonts w:ascii="Cambria Math" w:eastAsia="Cambria Math" w:hAnsi="Cambria Math" w:cs="Cambria Math"/>
        </w:rPr>
        <w:t>𝑒</w:t>
      </w:r>
      <w:r>
        <w:rPr>
          <w:rFonts w:ascii="Cambria Math" w:eastAsia="Cambria Math" w:hAnsi="Cambria Math" w:cs="Cambria Math"/>
          <w:sz w:val="17"/>
        </w:rPr>
        <w:t xml:space="preserve">𝑡 </w:t>
      </w:r>
      <w:r>
        <w:rPr>
          <w:rFonts w:ascii="Cambria Math" w:eastAsia="Cambria Math" w:hAnsi="Cambria Math" w:cs="Cambria Math"/>
        </w:rPr>
        <w:t>+ 𝛽</w:t>
      </w:r>
      <w:r>
        <w:rPr>
          <w:rFonts w:ascii="Cambria Math" w:eastAsia="Cambria Math" w:hAnsi="Cambria Math" w:cs="Cambria Math"/>
          <w:sz w:val="17"/>
        </w:rPr>
        <w:t>3</w:t>
      </w:r>
      <w:r>
        <w:rPr>
          <w:rFonts w:ascii="Cambria Math" w:eastAsia="Cambria Math" w:hAnsi="Cambria Math" w:cs="Cambria Math"/>
        </w:rPr>
        <w:t>𝑐</w:t>
      </w:r>
      <w:r>
        <w:rPr>
          <w:rFonts w:ascii="Cambria Math" w:eastAsia="Cambria Math" w:hAnsi="Cambria Math" w:cs="Cambria Math"/>
          <w:sz w:val="17"/>
        </w:rPr>
        <w:t xml:space="preserve">𝑡 </w:t>
      </w:r>
      <w:r>
        <w:rPr>
          <w:rFonts w:ascii="Cambria Math" w:eastAsia="Cambria Math" w:hAnsi="Cambria Math" w:cs="Cambria Math"/>
        </w:rPr>
        <w:t>+ μ</w:t>
      </w:r>
      <w:r>
        <w:rPr>
          <w:rFonts w:ascii="Cambria Math" w:eastAsia="Cambria Math" w:hAnsi="Cambria Math" w:cs="Cambria Math"/>
          <w:sz w:val="17"/>
        </w:rPr>
        <w:t>𝑡</w:t>
      </w:r>
      <w:r>
        <w:t xml:space="preserve"> </w:t>
      </w:r>
    </w:p>
    <w:p w14:paraId="3B9DA658" w14:textId="77777777" w:rsidR="00984176" w:rsidRDefault="00000000">
      <w:pPr>
        <w:spacing w:after="235" w:line="265" w:lineRule="auto"/>
        <w:ind w:left="-5"/>
      </w:pPr>
      <w:r>
        <w:rPr>
          <w:rFonts w:cs="Trebuchet MS"/>
          <w:i/>
          <w:color w:val="44546A"/>
          <w:sz w:val="18"/>
        </w:rPr>
        <w:t>Equation 2: Linear Regression Model</w:t>
      </w:r>
      <w:r>
        <w:rPr>
          <w:color w:val="44546A"/>
          <w:sz w:val="18"/>
        </w:rPr>
        <w:t xml:space="preserve"> </w:t>
      </w:r>
    </w:p>
    <w:p w14:paraId="2A03569D" w14:textId="77777777" w:rsidR="00984176" w:rsidRDefault="00000000">
      <w:pPr>
        <w:spacing w:after="115" w:line="259" w:lineRule="auto"/>
        <w:ind w:left="0" w:firstLine="0"/>
      </w:pPr>
      <w:r>
        <w:t xml:space="preserve"> </w:t>
      </w:r>
    </w:p>
    <w:p w14:paraId="542D4EA1" w14:textId="77777777" w:rsidR="00986A19" w:rsidRDefault="00000000">
      <w:pPr>
        <w:ind w:left="-5" w:right="2243"/>
      </w:pPr>
      <w:r>
        <w:t>Where:</w:t>
      </w:r>
    </w:p>
    <w:p w14:paraId="6AC1C437" w14:textId="77777777" w:rsidR="00986A19" w:rsidRDefault="00000000" w:rsidP="00986A19">
      <w:pPr>
        <w:spacing w:line="360" w:lineRule="auto"/>
        <w:ind w:left="1134" w:hanging="567"/>
      </w:pPr>
      <w:r>
        <w:t>h is the #/100k NSW households in Hardship</w:t>
      </w:r>
      <w:r w:rsidR="00986A19">
        <w:t xml:space="preserve"> P</w:t>
      </w:r>
      <w:r>
        <w:t>rograms</w:t>
      </w:r>
    </w:p>
    <w:p w14:paraId="4FAE6BF6" w14:textId="77777777" w:rsidR="00986A19" w:rsidRDefault="00000000" w:rsidP="00986A19">
      <w:pPr>
        <w:spacing w:line="360" w:lineRule="auto"/>
        <w:ind w:left="1134" w:hanging="567"/>
      </w:pPr>
      <w:r>
        <w:t>n is the NSW consumer price index</w:t>
      </w:r>
    </w:p>
    <w:p w14:paraId="113542C4" w14:textId="77777777" w:rsidR="00986A19" w:rsidRDefault="00000000" w:rsidP="00986A19">
      <w:pPr>
        <w:spacing w:line="360" w:lineRule="auto"/>
        <w:ind w:left="1134" w:hanging="567"/>
      </w:pPr>
      <w:r>
        <w:t>e is the NSW electrical price index</w:t>
      </w:r>
    </w:p>
    <w:p w14:paraId="5D1E8AF1" w14:textId="0579155D" w:rsidR="00984176" w:rsidRDefault="00000000" w:rsidP="00986A19">
      <w:pPr>
        <w:spacing w:line="360" w:lineRule="auto"/>
        <w:ind w:left="1134" w:hanging="567"/>
      </w:pPr>
      <w:r>
        <w:t xml:space="preserve">c is the COVID-19 binary variable </w:t>
      </w:r>
    </w:p>
    <w:p w14:paraId="193A001E" w14:textId="6ECEA4DA" w:rsidR="00984176" w:rsidRDefault="00984176" w:rsidP="00986A19">
      <w:pPr>
        <w:spacing w:after="114" w:line="259" w:lineRule="auto"/>
        <w:ind w:left="0" w:firstLine="0"/>
      </w:pPr>
    </w:p>
    <w:p w14:paraId="2A5A20FB" w14:textId="77777777" w:rsidR="00986A19" w:rsidRDefault="00986A19" w:rsidP="00986A19">
      <w:pPr>
        <w:spacing w:after="114" w:line="259" w:lineRule="auto"/>
        <w:ind w:left="0" w:firstLine="0"/>
      </w:pPr>
    </w:p>
    <w:p w14:paraId="0AEF646D" w14:textId="77777777" w:rsidR="00986A19" w:rsidRDefault="00986A19">
      <w:pPr>
        <w:spacing w:after="0" w:line="240" w:lineRule="auto"/>
        <w:ind w:left="0" w:firstLine="0"/>
        <w:rPr>
          <w:rFonts w:cs="Trebuchet MS"/>
          <w:b/>
          <w:color w:val="002060"/>
          <w:sz w:val="28"/>
          <w:lang w:val="en-AU" w:eastAsia="zh-CN"/>
        </w:rPr>
      </w:pPr>
      <w:r>
        <w:br w:type="page"/>
      </w:r>
    </w:p>
    <w:p w14:paraId="61233B4A" w14:textId="12C0D671" w:rsidR="00984176" w:rsidRDefault="00000000">
      <w:pPr>
        <w:pStyle w:val="Heading1"/>
        <w:ind w:left="-5"/>
      </w:pPr>
      <w:bookmarkStart w:id="14" w:name="_Toc148132158"/>
      <w:r>
        <w:lastRenderedPageBreak/>
        <w:t>7.0 Envisaged Contribution</w:t>
      </w:r>
      <w:bookmarkEnd w:id="14"/>
      <w:r>
        <w:t xml:space="preserve"> </w:t>
      </w:r>
    </w:p>
    <w:p w14:paraId="1FA66F29" w14:textId="77777777" w:rsidR="00984176" w:rsidRDefault="00000000">
      <w:pPr>
        <w:ind w:left="-5" w:right="71"/>
      </w:pPr>
      <w:r>
        <w:t xml:space="preserve">In May 2023, the AER determined that electricity prices would rise by 19.6 to 24.9% for the 2023-24 financial year (AER 2023b, 5). AGL and Origin Energy also announced price increases for NSW of 21.1% and 29.7%, respectively, starting in July 2023 (ABC News 2023). </w:t>
      </w:r>
    </w:p>
    <w:p w14:paraId="4F03333D" w14:textId="77777777" w:rsidR="00984176" w:rsidRDefault="00000000">
      <w:pPr>
        <w:spacing w:after="114" w:line="259" w:lineRule="auto"/>
        <w:ind w:left="0" w:firstLine="0"/>
      </w:pPr>
      <w:r>
        <w:t xml:space="preserve"> </w:t>
      </w:r>
    </w:p>
    <w:p w14:paraId="48D17F9B" w14:textId="7B3E4F40" w:rsidR="00984176" w:rsidRDefault="000761E8">
      <w:pPr>
        <w:ind w:left="-5" w:right="71"/>
      </w:pPr>
      <w:r>
        <w:t>Also</w:t>
      </w:r>
      <w:r w:rsidR="00986A19">
        <w:t>,</w:t>
      </w:r>
      <w:r>
        <w:t xml:space="preserve"> </w:t>
      </w:r>
      <w:r w:rsidR="00986A19">
        <w:t>the Federal Budget predicted inflation for 2023-24 in May</w:t>
      </w:r>
      <w:r>
        <w:t xml:space="preserve"> at 3.24% (The Treasury of Australia 2023, 66). Compared to a Reserve Bank of Australia (RBA) forecast between 3 to 4.75% (RBA 2023). </w:t>
      </w:r>
    </w:p>
    <w:p w14:paraId="28192BFC" w14:textId="77777777" w:rsidR="00984176" w:rsidRDefault="00000000">
      <w:pPr>
        <w:spacing w:after="114" w:line="259" w:lineRule="auto"/>
        <w:ind w:left="0" w:firstLine="0"/>
      </w:pPr>
      <w:r>
        <w:t xml:space="preserve"> </w:t>
      </w:r>
    </w:p>
    <w:p w14:paraId="68B931BE" w14:textId="77777777" w:rsidR="00984176" w:rsidRDefault="00000000">
      <w:pPr>
        <w:ind w:left="-5" w:right="71"/>
      </w:pPr>
      <w:r>
        <w:t xml:space="preserve">It is envisaged that this study will provide two contributions to the current understanding of EP: a measurable understanding of the ratio between price rises and EP, and a predictive model to measure the impact of price rises on EP. </w:t>
      </w:r>
    </w:p>
    <w:p w14:paraId="23B64601" w14:textId="77777777" w:rsidR="00984176" w:rsidRDefault="00000000">
      <w:pPr>
        <w:spacing w:after="0" w:line="259" w:lineRule="auto"/>
        <w:ind w:left="0" w:firstLine="0"/>
      </w:pPr>
      <w:r>
        <w:t xml:space="preserve"> </w:t>
      </w:r>
    </w:p>
    <w:p w14:paraId="22A85122" w14:textId="77777777" w:rsidR="00984176" w:rsidRDefault="00000000">
      <w:pPr>
        <w:ind w:left="-5" w:right="71"/>
      </w:pPr>
      <w:r>
        <w:t xml:space="preserve">The log-log regression model returns coefficients that are interpretable as for every 1% change in an explanatory variable, such as CPI or electricity prices, equals a </w:t>
      </w:r>
      <w:r>
        <w:rPr>
          <w:rFonts w:ascii="Cambria Math" w:eastAsia="Cambria Math" w:hAnsi="Cambria Math" w:cs="Cambria Math"/>
        </w:rPr>
        <w:t>𝛽</w:t>
      </w:r>
      <w:r>
        <w:t xml:space="preserve"> coefficient rise in EP. This helps understand the scope of EP changes in response to price fluctuations. </w:t>
      </w:r>
    </w:p>
    <w:p w14:paraId="2E3D44BE" w14:textId="77777777" w:rsidR="00984176" w:rsidRDefault="00000000">
      <w:pPr>
        <w:spacing w:after="114" w:line="259" w:lineRule="auto"/>
        <w:ind w:left="0" w:firstLine="0"/>
      </w:pPr>
      <w:r>
        <w:t xml:space="preserve"> </w:t>
      </w:r>
    </w:p>
    <w:p w14:paraId="7F82FA1F" w14:textId="77777777" w:rsidR="00984176" w:rsidRDefault="00000000">
      <w:pPr>
        <w:ind w:left="-5" w:right="71"/>
      </w:pPr>
      <w:r>
        <w:t xml:space="preserve">The predictive model uses known price rises or forecasts to predict future movements in EP. As mentioned in Section 5.0, the data already considers current policy settings. This means the efficacy of current policy </w:t>
      </w:r>
      <w:proofErr w:type="gramStart"/>
      <w:r>
        <w:t>settings</w:t>
      </w:r>
      <w:proofErr w:type="gramEnd"/>
      <w:r>
        <w:t xml:space="preserve"> or the efficiency of policy changes can be evaluated against the model. </w:t>
      </w:r>
    </w:p>
    <w:p w14:paraId="5EC273F1" w14:textId="77777777" w:rsidR="00984176" w:rsidRDefault="00000000">
      <w:pPr>
        <w:spacing w:after="114" w:line="259" w:lineRule="auto"/>
        <w:ind w:left="0" w:firstLine="0"/>
      </w:pPr>
      <w:r>
        <w:t xml:space="preserve"> </w:t>
      </w:r>
    </w:p>
    <w:p w14:paraId="64E6C7FB" w14:textId="77777777" w:rsidR="00984176" w:rsidRDefault="00000000">
      <w:pPr>
        <w:spacing w:after="153" w:line="259" w:lineRule="auto"/>
        <w:ind w:left="0" w:firstLine="0"/>
      </w:pPr>
      <w:r>
        <w:t xml:space="preserve"> </w:t>
      </w:r>
    </w:p>
    <w:p w14:paraId="3411842F" w14:textId="77777777" w:rsidR="00986A19" w:rsidRDefault="00986A19">
      <w:pPr>
        <w:spacing w:after="0" w:line="240" w:lineRule="auto"/>
        <w:ind w:left="0" w:firstLine="0"/>
        <w:rPr>
          <w:rFonts w:cs="Trebuchet MS"/>
          <w:b/>
          <w:color w:val="002060"/>
          <w:sz w:val="28"/>
          <w:lang w:val="en-AU" w:eastAsia="zh-CN"/>
        </w:rPr>
      </w:pPr>
      <w:r>
        <w:br w:type="page"/>
      </w:r>
    </w:p>
    <w:p w14:paraId="0492C373" w14:textId="1CEC65FE" w:rsidR="00984176" w:rsidRDefault="00000000">
      <w:pPr>
        <w:pStyle w:val="Heading1"/>
        <w:ind w:left="-5"/>
      </w:pPr>
      <w:bookmarkStart w:id="15" w:name="_Toc148132159"/>
      <w:r>
        <w:lastRenderedPageBreak/>
        <w:t>8.0 Anticipated Issues</w:t>
      </w:r>
      <w:bookmarkEnd w:id="15"/>
      <w:r>
        <w:t xml:space="preserve"> </w:t>
      </w:r>
    </w:p>
    <w:p w14:paraId="0D60CF66" w14:textId="77777777" w:rsidR="00984176" w:rsidRDefault="00000000">
      <w:pPr>
        <w:ind w:left="-5" w:right="71"/>
      </w:pPr>
      <w:r>
        <w:t xml:space="preserve">Two anticipated issues are known at this stage: correlation errors in the model and interim period predictions. </w:t>
      </w:r>
    </w:p>
    <w:p w14:paraId="56012D82" w14:textId="77777777" w:rsidR="00984176" w:rsidRDefault="00000000">
      <w:pPr>
        <w:spacing w:after="114" w:line="259" w:lineRule="auto"/>
        <w:ind w:left="0" w:firstLine="0"/>
      </w:pPr>
      <w:r>
        <w:t xml:space="preserve"> </w:t>
      </w:r>
    </w:p>
    <w:p w14:paraId="063BA993" w14:textId="1FDA6DB6" w:rsidR="00984176" w:rsidRDefault="00000000">
      <w:pPr>
        <w:ind w:left="-5" w:right="71"/>
      </w:pPr>
      <w:r>
        <w:t>Given the nature of the data, as is a common issue in economic panel data, autocorrelation (AC) could be an issue with the model. The data frame can be tested in R using the Bruesch-</w:t>
      </w:r>
      <w:r w:rsidR="00986A19">
        <w:t>Pagan</w:t>
      </w:r>
      <w:r>
        <w:t xml:space="preserve"> Test or an </w:t>
      </w:r>
      <w:proofErr w:type="spellStart"/>
      <w:r>
        <w:t>AutoRegressive</w:t>
      </w:r>
      <w:proofErr w:type="spellEnd"/>
      <w:r>
        <w:t xml:space="preserve"> Function (ACF). </w:t>
      </w:r>
      <w:r w:rsidR="00986A19">
        <w:t>If</w:t>
      </w:r>
      <w:r>
        <w:t xml:space="preserve"> AC will impact the model's accuracy,</w:t>
      </w:r>
      <w:r w:rsidR="00986A19">
        <w:t xml:space="preserve"> using a</w:t>
      </w:r>
      <w:r>
        <w:t xml:space="preserve"> </w:t>
      </w:r>
      <w:proofErr w:type="spellStart"/>
      <w:r w:rsidR="00986A19">
        <w:t>NeweyWest</w:t>
      </w:r>
      <w:proofErr w:type="spellEnd"/>
      <w:r w:rsidR="00986A19">
        <w:t xml:space="preserve"> estimator to account for autocorrelation and/or a lagged dependent variable </w:t>
      </w:r>
      <w:r>
        <w:t xml:space="preserve">will overcome this. </w:t>
      </w:r>
    </w:p>
    <w:p w14:paraId="39E51B9C" w14:textId="77777777" w:rsidR="00984176" w:rsidRDefault="00000000">
      <w:pPr>
        <w:spacing w:after="114" w:line="259" w:lineRule="auto"/>
        <w:ind w:left="0" w:firstLine="0"/>
      </w:pPr>
      <w:r>
        <w:t xml:space="preserve"> </w:t>
      </w:r>
    </w:p>
    <w:p w14:paraId="2560F3C9" w14:textId="19AFB01E" w:rsidR="00984176" w:rsidRDefault="00000000">
      <w:pPr>
        <w:ind w:left="-5" w:right="71"/>
      </w:pPr>
      <w:r>
        <w:t xml:space="preserve">Another issue is that the AER reporting period is three months after the quarter finishes. If a next-quarter prediction is required, an interim </w:t>
      </w:r>
      <w:r w:rsidR="005856F6">
        <w:t>current-quarter</w:t>
      </w:r>
      <w:r>
        <w:t xml:space="preserve"> estimate will be required to transition the data to be ready for a next-quarter prediction. </w:t>
      </w:r>
    </w:p>
    <w:p w14:paraId="13751DC5" w14:textId="77777777" w:rsidR="00984176" w:rsidRDefault="00000000">
      <w:pPr>
        <w:spacing w:after="114" w:line="259" w:lineRule="auto"/>
        <w:ind w:left="0" w:firstLine="0"/>
      </w:pPr>
      <w:r>
        <w:t xml:space="preserve"> </w:t>
      </w:r>
    </w:p>
    <w:p w14:paraId="0F03C771" w14:textId="77777777" w:rsidR="00984176" w:rsidRDefault="00000000">
      <w:pPr>
        <w:spacing w:after="0" w:line="259" w:lineRule="auto"/>
        <w:ind w:left="0" w:firstLine="0"/>
      </w:pPr>
      <w:r>
        <w:t xml:space="preserve"> </w:t>
      </w:r>
    </w:p>
    <w:p w14:paraId="32A42D1A" w14:textId="77777777" w:rsidR="00986A19" w:rsidRDefault="00986A19">
      <w:pPr>
        <w:spacing w:after="0" w:line="240" w:lineRule="auto"/>
        <w:ind w:left="0" w:firstLine="0"/>
        <w:rPr>
          <w:rFonts w:cs="Trebuchet MS"/>
          <w:b/>
          <w:color w:val="002060"/>
          <w:sz w:val="28"/>
          <w:lang w:val="en-AU" w:eastAsia="zh-CN"/>
        </w:rPr>
      </w:pPr>
      <w:r>
        <w:br w:type="page"/>
      </w:r>
    </w:p>
    <w:p w14:paraId="1F06E85C" w14:textId="1F08E0C8" w:rsidR="00984176" w:rsidRDefault="00000000">
      <w:pPr>
        <w:pStyle w:val="Heading1"/>
        <w:ind w:left="-5"/>
      </w:pPr>
      <w:bookmarkStart w:id="16" w:name="_Toc148132160"/>
      <w:r>
        <w:lastRenderedPageBreak/>
        <w:t>9.0 Timelines</w:t>
      </w:r>
      <w:bookmarkEnd w:id="16"/>
      <w:r>
        <w:t xml:space="preserve"> </w:t>
      </w:r>
    </w:p>
    <w:p w14:paraId="71602C69" w14:textId="75FB2D75" w:rsidR="00984176" w:rsidRDefault="00000000" w:rsidP="00986A19">
      <w:pPr>
        <w:ind w:left="-5" w:right="71"/>
      </w:pPr>
      <w:r>
        <w:t xml:space="preserve">This journal article is anticipated to be ready for </w:t>
      </w:r>
      <w:proofErr w:type="gramStart"/>
      <w:r>
        <w:t>submission</w:t>
      </w:r>
      <w:proofErr w:type="gramEnd"/>
      <w:r>
        <w:t xml:space="preserve"> four</w:t>
      </w:r>
      <w:r w:rsidR="00986A19">
        <w:t xml:space="preserve"> to eight</w:t>
      </w:r>
      <w:r>
        <w:t xml:space="preserve"> weeks </w:t>
      </w:r>
      <w:proofErr w:type="spellStart"/>
      <w:r>
        <w:t>postapproval</w:t>
      </w:r>
      <w:proofErr w:type="spellEnd"/>
      <w:r>
        <w:t xml:space="preserve">. </w:t>
      </w:r>
      <w:r w:rsidR="00986A19">
        <w:t>T</w:t>
      </w:r>
      <w:r>
        <w:t xml:space="preserve">he work with the data frame is complete. </w:t>
      </w:r>
      <w:r w:rsidR="00986A19">
        <w:t>Most of the remaining work is writing the study and compiling the R Markdown</w:t>
      </w:r>
      <w:r>
        <w:t xml:space="preserve">. </w:t>
      </w:r>
      <w:r w:rsidR="00986A19">
        <w:t>The author will also engage external professional editors</w:t>
      </w:r>
      <w:r w:rsidR="00986A19">
        <w:rPr>
          <w:rStyle w:val="FootnoteReference"/>
        </w:rPr>
        <w:footnoteReference w:id="7"/>
      </w:r>
      <w:r w:rsidR="00986A19">
        <w:t xml:space="preserve"> to review the text before submission.</w:t>
      </w:r>
    </w:p>
    <w:p w14:paraId="1194B940" w14:textId="77777777" w:rsidR="00984176"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11937E88" w14:textId="77777777" w:rsidR="00984176" w:rsidRDefault="00000000">
      <w:pPr>
        <w:pStyle w:val="Heading1"/>
        <w:spacing w:after="370"/>
        <w:ind w:left="-5"/>
      </w:pPr>
      <w:bookmarkStart w:id="17" w:name="_Toc148132161"/>
      <w:r>
        <w:lastRenderedPageBreak/>
        <w:t>10.0 References</w:t>
      </w:r>
      <w:bookmarkEnd w:id="17"/>
      <w:r>
        <w:t xml:space="preserve"> </w:t>
      </w:r>
    </w:p>
    <w:p w14:paraId="6269D64F" w14:textId="10FAA44C" w:rsidR="00984176" w:rsidRPr="0049078B" w:rsidRDefault="00000000">
      <w:pPr>
        <w:spacing w:after="0" w:line="248" w:lineRule="auto"/>
        <w:ind w:left="715" w:right="61" w:hanging="730"/>
      </w:pPr>
      <w:r w:rsidRPr="0049078B">
        <w:rPr>
          <w:rFonts w:cs="Trebuchet MS"/>
        </w:rPr>
        <w:t xml:space="preserve">ABC News. 2023. </w:t>
      </w:r>
      <w:r w:rsidR="00986A19" w:rsidRPr="0049078B">
        <w:rPr>
          <w:rFonts w:cs="Trebuchet MS"/>
        </w:rPr>
        <w:t>'</w:t>
      </w:r>
      <w:r w:rsidRPr="0049078B">
        <w:rPr>
          <w:rFonts w:cs="Trebuchet MS"/>
        </w:rPr>
        <w:t>Energy Bills to Rise as Major Retailers Announce Price Hike</w:t>
      </w:r>
      <w:r w:rsidR="00986A19" w:rsidRPr="0049078B">
        <w:rPr>
          <w:rFonts w:cs="Trebuchet MS"/>
        </w:rPr>
        <w:t>'</w:t>
      </w:r>
      <w:r w:rsidRPr="0049078B">
        <w:rPr>
          <w:rFonts w:cs="Trebuchet MS"/>
        </w:rPr>
        <w:t xml:space="preserve">. </w:t>
      </w:r>
      <w:r w:rsidRPr="0049078B">
        <w:rPr>
          <w:rFonts w:cs="Trebuchet MS"/>
          <w:i/>
        </w:rPr>
        <w:t>ABC News</w:t>
      </w:r>
      <w:r w:rsidRPr="0049078B">
        <w:t xml:space="preserve">, 10 June 2023. </w:t>
      </w:r>
    </w:p>
    <w:p w14:paraId="114F89AA" w14:textId="77777777" w:rsidR="00984176" w:rsidRPr="0049078B" w:rsidRDefault="00000000">
      <w:pPr>
        <w:spacing w:after="3" w:line="248" w:lineRule="auto"/>
        <w:ind w:left="715" w:right="7"/>
      </w:pPr>
      <w:r w:rsidRPr="0049078B">
        <w:t xml:space="preserve">https://www.abc.net.au/news/2023-06-11/agl-originannounce-energy-price-rise/102465710. </w:t>
      </w:r>
    </w:p>
    <w:p w14:paraId="336106FD" w14:textId="41CBB732" w:rsidR="00984176" w:rsidRPr="0049078B" w:rsidRDefault="00000000">
      <w:pPr>
        <w:spacing w:after="3" w:line="248" w:lineRule="auto"/>
        <w:ind w:left="720" w:right="7" w:hanging="720"/>
      </w:pPr>
      <w:r w:rsidRPr="0049078B">
        <w:rPr>
          <w:rFonts w:cs="Trebuchet MS"/>
        </w:rPr>
        <w:t xml:space="preserve">ABS. 2012. </w:t>
      </w:r>
      <w:r w:rsidR="00986A19" w:rsidRPr="0049078B">
        <w:rPr>
          <w:rFonts w:cs="Trebuchet MS"/>
        </w:rPr>
        <w:t>'</w:t>
      </w:r>
      <w:r w:rsidRPr="0049078B">
        <w:t xml:space="preserve">Australian Bureau of Statistics: Household Energy </w:t>
      </w:r>
      <w:r w:rsidRPr="0049078B">
        <w:rPr>
          <w:rFonts w:cs="Trebuchet MS"/>
        </w:rPr>
        <w:t>Consumption Survey, Australia</w:t>
      </w:r>
      <w:r w:rsidR="00986A19" w:rsidRPr="0049078B">
        <w:rPr>
          <w:rFonts w:cs="Trebuchet MS"/>
        </w:rPr>
        <w:t>'</w:t>
      </w:r>
      <w:r w:rsidRPr="0049078B">
        <w:rPr>
          <w:rFonts w:cs="Trebuchet MS"/>
        </w:rPr>
        <w:t xml:space="preserve">. Commonwealth of Australia. </w:t>
      </w:r>
      <w:r w:rsidRPr="0049078B">
        <w:t xml:space="preserve">https://www.abs.gov.au/ausstats/abs@.nsf/Lookup/by%20Su </w:t>
      </w:r>
      <w:proofErr w:type="spellStart"/>
      <w:r w:rsidRPr="0049078B">
        <w:t>bject</w:t>
      </w:r>
      <w:proofErr w:type="spellEnd"/>
      <w:r w:rsidRPr="0049078B">
        <w:t xml:space="preserve">/4671.0~2012~Main%20Features~Contents~1. </w:t>
      </w:r>
    </w:p>
    <w:p w14:paraId="2C55F5A6" w14:textId="0F1898D5" w:rsidR="00984176" w:rsidRPr="0049078B" w:rsidRDefault="00000000">
      <w:pPr>
        <w:spacing w:after="0" w:line="248" w:lineRule="auto"/>
        <w:ind w:left="-15" w:right="61" w:firstLine="0"/>
      </w:pPr>
      <w:r w:rsidRPr="0049078B">
        <w:rPr>
          <w:rFonts w:cs="Trebuchet MS"/>
        </w:rPr>
        <w:t xml:space="preserve">———. 2016. </w:t>
      </w:r>
      <w:r w:rsidR="00986A19" w:rsidRPr="0049078B">
        <w:rPr>
          <w:rFonts w:cs="Trebuchet MS"/>
        </w:rPr>
        <w:t>'</w:t>
      </w:r>
      <w:r w:rsidRPr="0049078B">
        <w:rPr>
          <w:rFonts w:cs="Trebuchet MS"/>
        </w:rPr>
        <w:t>Australian Bureau of Statistics: H</w:t>
      </w:r>
      <w:r w:rsidRPr="0049078B">
        <w:t xml:space="preserve">ousehold </w:t>
      </w:r>
    </w:p>
    <w:p w14:paraId="78BD9DB2" w14:textId="03672C5B" w:rsidR="00984176" w:rsidRPr="0049078B" w:rsidRDefault="00000000">
      <w:pPr>
        <w:spacing w:after="3" w:line="248" w:lineRule="auto"/>
        <w:ind w:left="715" w:right="7"/>
      </w:pPr>
      <w:r w:rsidRPr="0049078B">
        <w:rPr>
          <w:rFonts w:cs="Trebuchet MS"/>
        </w:rPr>
        <w:t>Expenditure Survey, Australia</w:t>
      </w:r>
      <w:r w:rsidR="00986A19" w:rsidRPr="0049078B">
        <w:rPr>
          <w:rFonts w:cs="Trebuchet MS"/>
        </w:rPr>
        <w:t>'</w:t>
      </w:r>
      <w:r w:rsidRPr="0049078B">
        <w:rPr>
          <w:rFonts w:cs="Trebuchet MS"/>
        </w:rPr>
        <w:t xml:space="preserve">. Commonwealth of Australia. </w:t>
      </w:r>
      <w:r w:rsidRPr="0049078B">
        <w:t>https://www.abs.gov.au/statistics/economy/finance/househ old-expenditure-survey-</w:t>
      </w:r>
      <w:proofErr w:type="spellStart"/>
      <w:r w:rsidRPr="0049078B">
        <w:t>australia</w:t>
      </w:r>
      <w:proofErr w:type="spellEnd"/>
      <w:r w:rsidRPr="0049078B">
        <w:t>-summary-results/</w:t>
      </w:r>
      <w:proofErr w:type="spellStart"/>
      <w:r w:rsidRPr="0049078B">
        <w:t>latestrelease</w:t>
      </w:r>
      <w:proofErr w:type="spellEnd"/>
      <w:r w:rsidRPr="0049078B">
        <w:t xml:space="preserve">. </w:t>
      </w:r>
    </w:p>
    <w:p w14:paraId="1D579EF1" w14:textId="78BA37CB" w:rsidR="00984176" w:rsidRPr="0049078B" w:rsidRDefault="00000000">
      <w:pPr>
        <w:spacing w:after="0" w:line="248" w:lineRule="auto"/>
        <w:ind w:left="715" w:right="61" w:hanging="730"/>
      </w:pPr>
      <w:r w:rsidRPr="0049078B">
        <w:rPr>
          <w:rFonts w:cs="Trebuchet MS"/>
        </w:rPr>
        <w:t xml:space="preserve">———. 2021. </w:t>
      </w:r>
      <w:r w:rsidR="00986A19" w:rsidRPr="0049078B">
        <w:rPr>
          <w:rFonts w:cs="Trebuchet MS"/>
        </w:rPr>
        <w:t>'</w:t>
      </w:r>
      <w:r w:rsidRPr="0049078B">
        <w:rPr>
          <w:rFonts w:cs="Trebuchet MS"/>
        </w:rPr>
        <w:t xml:space="preserve">Australian Bureau of Statistics: Microdata and Table </w:t>
      </w:r>
      <w:r w:rsidRPr="0049078B">
        <w:t>Bu</w:t>
      </w:r>
      <w:r w:rsidRPr="0049078B">
        <w:rPr>
          <w:rFonts w:cs="Trebuchet MS"/>
        </w:rPr>
        <w:t>ilder</w:t>
      </w:r>
      <w:r w:rsidR="00986A19" w:rsidRPr="0049078B">
        <w:rPr>
          <w:rFonts w:cs="Trebuchet MS"/>
        </w:rPr>
        <w:t>'</w:t>
      </w:r>
      <w:r w:rsidRPr="0049078B">
        <w:rPr>
          <w:rFonts w:cs="Trebuchet MS"/>
        </w:rPr>
        <w:t xml:space="preserve">. 8 November 2021. </w:t>
      </w:r>
    </w:p>
    <w:p w14:paraId="45793EF8" w14:textId="77777777" w:rsidR="00984176" w:rsidRPr="0049078B" w:rsidRDefault="00000000">
      <w:pPr>
        <w:spacing w:after="3" w:line="248" w:lineRule="auto"/>
        <w:ind w:left="715" w:right="7"/>
      </w:pPr>
      <w:r w:rsidRPr="0049078B">
        <w:t xml:space="preserve">https://www.abs.gov.au/statistics/microdata-tablebuilder. </w:t>
      </w:r>
    </w:p>
    <w:p w14:paraId="57718B81" w14:textId="57B0FE9D" w:rsidR="00984176" w:rsidRPr="0049078B" w:rsidRDefault="00000000">
      <w:pPr>
        <w:spacing w:after="3" w:line="248" w:lineRule="auto"/>
        <w:ind w:left="720" w:right="7" w:hanging="720"/>
      </w:pPr>
      <w:r w:rsidRPr="0049078B">
        <w:rPr>
          <w:rFonts w:cs="Trebuchet MS"/>
        </w:rPr>
        <w:t xml:space="preserve">———. 2023a. </w:t>
      </w:r>
      <w:r w:rsidR="00986A19" w:rsidRPr="0049078B">
        <w:rPr>
          <w:rFonts w:cs="Trebuchet MS"/>
        </w:rPr>
        <w:t>'</w:t>
      </w:r>
      <w:r w:rsidRPr="0049078B">
        <w:rPr>
          <w:rFonts w:cs="Trebuchet MS"/>
        </w:rPr>
        <w:t>Australian Bureau of Statistics: Average Weekly Earnings, Australia</w:t>
      </w:r>
      <w:proofErr w:type="gramStart"/>
      <w:r w:rsidR="00986A19" w:rsidRPr="0049078B">
        <w:rPr>
          <w:rFonts w:cs="Trebuchet MS"/>
        </w:rPr>
        <w:t>'</w:t>
      </w:r>
      <w:r w:rsidRPr="0049078B">
        <w:rPr>
          <w:rFonts w:cs="Trebuchet MS"/>
        </w:rPr>
        <w:t>,.</w:t>
      </w:r>
      <w:proofErr w:type="gramEnd"/>
      <w:r w:rsidRPr="0049078B">
        <w:rPr>
          <w:rFonts w:cs="Trebuchet MS"/>
        </w:rPr>
        <w:t xml:space="preserve"> Australian Bureau of Statistics. 2023. </w:t>
      </w:r>
      <w:r w:rsidRPr="0049078B">
        <w:t xml:space="preserve">https://www.abs.gov.au/statistics/labour/earnings-andworking-conditions/average-weekly-earnings-australia/may2022#data-download. </w:t>
      </w:r>
    </w:p>
    <w:p w14:paraId="3A01C4C8" w14:textId="2C6BF51C" w:rsidR="00984176" w:rsidRPr="0049078B" w:rsidRDefault="00000000">
      <w:pPr>
        <w:spacing w:after="0" w:line="248" w:lineRule="auto"/>
        <w:ind w:left="715" w:right="61" w:hanging="730"/>
      </w:pPr>
      <w:r w:rsidRPr="0049078B">
        <w:rPr>
          <w:rFonts w:cs="Trebuchet MS"/>
        </w:rPr>
        <w:t xml:space="preserve">———. 2023b. </w:t>
      </w:r>
      <w:r w:rsidR="00986A19" w:rsidRPr="0049078B">
        <w:rPr>
          <w:rFonts w:cs="Trebuchet MS"/>
        </w:rPr>
        <w:t>'</w:t>
      </w:r>
      <w:r w:rsidRPr="0049078B">
        <w:rPr>
          <w:rFonts w:cs="Trebuchet MS"/>
        </w:rPr>
        <w:t>Australian Bureau of Statistics: Consumer Price Index, Australia</w:t>
      </w:r>
      <w:r w:rsidR="00986A19" w:rsidRPr="0049078B">
        <w:rPr>
          <w:rFonts w:cs="Trebuchet MS"/>
        </w:rPr>
        <w:t>'</w:t>
      </w:r>
      <w:r w:rsidRPr="0049078B">
        <w:rPr>
          <w:rFonts w:cs="Trebuchet MS"/>
        </w:rPr>
        <w:t xml:space="preserve">. Australian Bureau of Statistics </w:t>
      </w:r>
      <w:r w:rsidRPr="0049078B">
        <w:t xml:space="preserve">- Consumer Price Index, Australia. 26 July 2023. </w:t>
      </w:r>
    </w:p>
    <w:p w14:paraId="70E6FC3A" w14:textId="77777777" w:rsidR="00984176" w:rsidRPr="0049078B" w:rsidRDefault="00000000">
      <w:pPr>
        <w:spacing w:after="3" w:line="248" w:lineRule="auto"/>
        <w:ind w:left="715" w:right="7"/>
      </w:pPr>
      <w:r w:rsidRPr="0049078B">
        <w:t xml:space="preserve">https://www.abs.gov.au/statistics/economy/price-indexesand-inflation/consumer-price-index-australia. </w:t>
      </w:r>
    </w:p>
    <w:p w14:paraId="68673986" w14:textId="7F425BF0" w:rsidR="00984176" w:rsidRPr="0049078B" w:rsidRDefault="00000000">
      <w:pPr>
        <w:spacing w:after="0" w:line="248" w:lineRule="auto"/>
        <w:ind w:left="715" w:right="61" w:hanging="730"/>
      </w:pPr>
      <w:r w:rsidRPr="0049078B">
        <w:rPr>
          <w:rFonts w:cs="Trebuchet MS"/>
        </w:rPr>
        <w:t xml:space="preserve">AER. 2014. </w:t>
      </w:r>
      <w:r w:rsidR="00986A19" w:rsidRPr="0049078B">
        <w:rPr>
          <w:rFonts w:cs="Trebuchet MS"/>
        </w:rPr>
        <w:t>'</w:t>
      </w:r>
      <w:r w:rsidRPr="0049078B">
        <w:rPr>
          <w:rFonts w:cs="Trebuchet MS"/>
        </w:rPr>
        <w:t>Australian Energy Regulator: Customer Hardship Policies</w:t>
      </w:r>
      <w:r w:rsidR="00986A19" w:rsidRPr="0049078B">
        <w:rPr>
          <w:rFonts w:cs="Trebuchet MS"/>
        </w:rPr>
        <w:t>'</w:t>
      </w:r>
      <w:r w:rsidRPr="0049078B">
        <w:rPr>
          <w:rFonts w:cs="Trebuchet MS"/>
        </w:rPr>
        <w:t xml:space="preserve">. Australian Energy Regulator. 4 September 2014. </w:t>
      </w:r>
      <w:r w:rsidRPr="0049078B">
        <w:t xml:space="preserve">https://www.aer.gov.au/retail-markets/customer-hardshippolicies. </w:t>
      </w:r>
    </w:p>
    <w:p w14:paraId="5B16BEA4" w14:textId="69861FF5" w:rsidR="00984176" w:rsidRPr="0049078B" w:rsidRDefault="00000000">
      <w:pPr>
        <w:spacing w:after="0" w:line="248" w:lineRule="auto"/>
        <w:ind w:left="715" w:right="61" w:hanging="730"/>
      </w:pPr>
      <w:r w:rsidRPr="0049078B">
        <w:rPr>
          <w:rFonts w:cs="Trebuchet MS"/>
        </w:rPr>
        <w:t xml:space="preserve">———. 2023a. </w:t>
      </w:r>
      <w:r w:rsidR="00986A19" w:rsidRPr="0049078B">
        <w:rPr>
          <w:rFonts w:cs="Trebuchet MS"/>
        </w:rPr>
        <w:t>'</w:t>
      </w:r>
      <w:r w:rsidRPr="0049078B">
        <w:rPr>
          <w:rFonts w:cs="Trebuchet MS"/>
        </w:rPr>
        <w:t xml:space="preserve">Australian Energy Regulator </w:t>
      </w:r>
      <w:r w:rsidRPr="0049078B">
        <w:t xml:space="preserve">- Performance </w:t>
      </w:r>
      <w:r w:rsidRPr="0049078B">
        <w:rPr>
          <w:rFonts w:cs="Trebuchet MS"/>
        </w:rPr>
        <w:t>Reporting</w:t>
      </w:r>
      <w:r w:rsidR="00986A19" w:rsidRPr="0049078B">
        <w:rPr>
          <w:rFonts w:cs="Trebuchet MS"/>
        </w:rPr>
        <w:t>'</w:t>
      </w:r>
      <w:r w:rsidRPr="0049078B">
        <w:rPr>
          <w:rFonts w:cs="Trebuchet MS"/>
        </w:rPr>
        <w:t xml:space="preserve">. Australian Energy Regulator. 2023. </w:t>
      </w:r>
    </w:p>
    <w:p w14:paraId="129C882D" w14:textId="77777777" w:rsidR="00984176" w:rsidRPr="0049078B" w:rsidRDefault="00000000">
      <w:pPr>
        <w:spacing w:after="3" w:line="248" w:lineRule="auto"/>
        <w:ind w:left="715" w:right="7"/>
      </w:pPr>
      <w:r w:rsidRPr="0049078B">
        <w:t xml:space="preserve">https://www.aer.gov.au/retail-markets/performancereporting. </w:t>
      </w:r>
    </w:p>
    <w:p w14:paraId="1A20DDB9" w14:textId="05A55525" w:rsidR="00984176" w:rsidRPr="0049078B" w:rsidRDefault="00000000">
      <w:pPr>
        <w:spacing w:after="0" w:line="248" w:lineRule="auto"/>
        <w:ind w:left="715" w:right="61" w:hanging="730"/>
      </w:pPr>
      <w:r w:rsidRPr="0049078B">
        <w:rPr>
          <w:rFonts w:cs="Trebuchet MS"/>
        </w:rPr>
        <w:t xml:space="preserve">———. 2023b. </w:t>
      </w:r>
      <w:r w:rsidR="00986A19" w:rsidRPr="0049078B">
        <w:rPr>
          <w:rFonts w:cs="Trebuchet MS"/>
        </w:rPr>
        <w:t>'</w:t>
      </w:r>
      <w:r w:rsidRPr="0049078B">
        <w:rPr>
          <w:rFonts w:cs="Trebuchet MS"/>
        </w:rPr>
        <w:t>Default Market Offer Prices 2023–</w:t>
      </w:r>
      <w:r w:rsidRPr="0049078B">
        <w:t xml:space="preserve">24: Final </w:t>
      </w:r>
      <w:r w:rsidRPr="0049078B">
        <w:rPr>
          <w:rFonts w:cs="Trebuchet MS"/>
        </w:rPr>
        <w:t>Determination</w:t>
      </w:r>
      <w:r w:rsidR="00986A19" w:rsidRPr="0049078B">
        <w:rPr>
          <w:rFonts w:cs="Trebuchet MS"/>
        </w:rPr>
        <w:t>'</w:t>
      </w:r>
      <w:r w:rsidRPr="0049078B">
        <w:rPr>
          <w:rFonts w:cs="Trebuchet MS"/>
        </w:rPr>
        <w:t>. 64687.</w:t>
      </w:r>
      <w:r w:rsidRPr="0049078B">
        <w:t xml:space="preserve"> Canberra, Australia: Australian Energy Regulator. </w:t>
      </w:r>
    </w:p>
    <w:p w14:paraId="79E6BE99" w14:textId="77777777" w:rsidR="00984176" w:rsidRPr="0049078B" w:rsidRDefault="00000000">
      <w:pPr>
        <w:spacing w:after="3" w:line="248" w:lineRule="auto"/>
        <w:ind w:left="715" w:right="7"/>
      </w:pPr>
      <w:r w:rsidRPr="0049078B">
        <w:t xml:space="preserve">https://www.aer.gov.au/system/files/Default%20market%20 offer%20prices%202023-24%20final%20determination.pdf. </w:t>
      </w:r>
    </w:p>
    <w:p w14:paraId="242ADCDC" w14:textId="1DC7E098" w:rsidR="00984176" w:rsidRPr="0049078B" w:rsidRDefault="00000000">
      <w:pPr>
        <w:spacing w:after="3" w:line="248" w:lineRule="auto"/>
        <w:ind w:left="720" w:right="7" w:hanging="720"/>
      </w:pPr>
      <w:proofErr w:type="spellStart"/>
      <w:r w:rsidRPr="0049078B">
        <w:t>Azpitarte</w:t>
      </w:r>
      <w:proofErr w:type="spellEnd"/>
      <w:r w:rsidRPr="0049078B">
        <w:t xml:space="preserve">, Francisco, Victoria Johnson, and Damian Sullivan. 2015. </w:t>
      </w:r>
      <w:r w:rsidR="00986A19" w:rsidRPr="0049078B">
        <w:rPr>
          <w:rFonts w:cs="Trebuchet MS"/>
        </w:rPr>
        <w:t>'</w:t>
      </w:r>
      <w:r w:rsidRPr="0049078B">
        <w:rPr>
          <w:rFonts w:cs="Trebuchet MS"/>
        </w:rPr>
        <w:t>Fuel Poverty, Household Inco</w:t>
      </w:r>
      <w:r w:rsidRPr="0049078B">
        <w:t xml:space="preserve">me and Energy Spending: An </w:t>
      </w:r>
      <w:r w:rsidRPr="0049078B">
        <w:rPr>
          <w:rFonts w:cs="Trebuchet MS"/>
        </w:rPr>
        <w:t>Empirical Analysis for Australia Using HILDA Data</w:t>
      </w:r>
      <w:r w:rsidR="00986A19" w:rsidRPr="0049078B">
        <w:rPr>
          <w:rFonts w:cs="Trebuchet MS"/>
        </w:rPr>
        <w:t>'</w:t>
      </w:r>
      <w:r w:rsidRPr="0049078B">
        <w:rPr>
          <w:rFonts w:cs="Trebuchet MS"/>
        </w:rPr>
        <w:t xml:space="preserve">. Fitzroy, </w:t>
      </w:r>
      <w:r w:rsidRPr="0049078B">
        <w:t xml:space="preserve">Vic: Brotherhood of St Laurence. https://library.bsl.org.au/jspui/bitstream/1/7906/1/Azpitar </w:t>
      </w:r>
      <w:proofErr w:type="spellStart"/>
      <w:r w:rsidRPr="0049078B">
        <w:t>teJohnsonSullivan_Fuel_poverty_household_income_energy_s</w:t>
      </w:r>
      <w:proofErr w:type="spellEnd"/>
      <w:r w:rsidRPr="0049078B">
        <w:t xml:space="preserve"> pending_2015.pdf. </w:t>
      </w:r>
    </w:p>
    <w:p w14:paraId="1B679F58" w14:textId="69ED4288" w:rsidR="00984176" w:rsidRPr="0049078B" w:rsidRDefault="00000000">
      <w:pPr>
        <w:spacing w:after="0" w:line="248" w:lineRule="auto"/>
        <w:ind w:left="715" w:right="61" w:hanging="730"/>
      </w:pPr>
      <w:r w:rsidRPr="0049078B">
        <w:t>Be</w:t>
      </w:r>
      <w:r w:rsidRPr="0049078B">
        <w:rPr>
          <w:rFonts w:cs="Trebuchet MS"/>
        </w:rPr>
        <w:t xml:space="preserve">st, Rohan, and Paul J. Burke. 2019. </w:t>
      </w:r>
      <w:r w:rsidR="00986A19" w:rsidRPr="0049078B">
        <w:rPr>
          <w:rFonts w:cs="Trebuchet MS"/>
        </w:rPr>
        <w:t>'</w:t>
      </w:r>
      <w:r w:rsidRPr="0049078B">
        <w:rPr>
          <w:rFonts w:cs="Trebuchet MS"/>
        </w:rPr>
        <w:t xml:space="preserve">Factors Contributing to </w:t>
      </w:r>
      <w:r w:rsidRPr="0049078B">
        <w:t>Energy-</w:t>
      </w:r>
      <w:r w:rsidRPr="0049078B">
        <w:rPr>
          <w:rFonts w:cs="Trebuchet MS"/>
        </w:rPr>
        <w:t>Related Financial Stress in Australia</w:t>
      </w:r>
      <w:r w:rsidR="00986A19" w:rsidRPr="0049078B">
        <w:rPr>
          <w:rFonts w:cs="Trebuchet MS"/>
        </w:rPr>
        <w:t>'</w:t>
      </w:r>
      <w:r w:rsidRPr="0049078B">
        <w:rPr>
          <w:rFonts w:cs="Trebuchet MS"/>
        </w:rPr>
        <w:t xml:space="preserve">. </w:t>
      </w:r>
      <w:r w:rsidRPr="0049078B">
        <w:rPr>
          <w:rFonts w:cs="Trebuchet MS"/>
          <w:i/>
        </w:rPr>
        <w:t>Economic Record</w:t>
      </w:r>
      <w:r w:rsidRPr="0049078B">
        <w:t xml:space="preserve"> 95 (311): 426</w:t>
      </w:r>
      <w:r w:rsidRPr="0049078B">
        <w:rPr>
          <w:rFonts w:cs="Trebuchet MS"/>
        </w:rPr>
        <w:t>–</w:t>
      </w:r>
      <w:r w:rsidRPr="0049078B">
        <w:t xml:space="preserve">79. </w:t>
      </w:r>
    </w:p>
    <w:p w14:paraId="7158A804" w14:textId="02848079" w:rsidR="00984176" w:rsidRPr="0049078B" w:rsidRDefault="00000000">
      <w:pPr>
        <w:spacing w:after="3" w:line="248" w:lineRule="auto"/>
        <w:ind w:left="720" w:right="7" w:hanging="720"/>
      </w:pPr>
      <w:r w:rsidRPr="0049078B">
        <w:t xml:space="preserve">Best, Rohan, Mara Hammerle, Pundarik </w:t>
      </w:r>
      <w:proofErr w:type="spellStart"/>
      <w:r w:rsidRPr="0049078B">
        <w:t>Mukhopadhaya</w:t>
      </w:r>
      <w:proofErr w:type="spellEnd"/>
      <w:r w:rsidRPr="0049078B">
        <w:t xml:space="preserve">, and </w:t>
      </w:r>
      <w:r w:rsidRPr="0049078B">
        <w:rPr>
          <w:rFonts w:cs="Trebuchet MS"/>
        </w:rPr>
        <w:t xml:space="preserve">Jacques Silber. 2021. </w:t>
      </w:r>
      <w:r w:rsidR="00986A19" w:rsidRPr="0049078B">
        <w:rPr>
          <w:rFonts w:cs="Trebuchet MS"/>
        </w:rPr>
        <w:t>'</w:t>
      </w:r>
      <w:r w:rsidRPr="0049078B">
        <w:rPr>
          <w:rFonts w:cs="Trebuchet MS"/>
        </w:rPr>
        <w:t xml:space="preserve">Targeting Household Energy </w:t>
      </w:r>
      <w:r w:rsidRPr="0049078B">
        <w:t>Assistanc</w:t>
      </w:r>
      <w:r w:rsidRPr="0049078B">
        <w:rPr>
          <w:rFonts w:cs="Trebuchet MS"/>
        </w:rPr>
        <w:t>e</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99 (July): 105311. </w:t>
      </w:r>
    </w:p>
    <w:p w14:paraId="7132925E" w14:textId="77777777" w:rsidR="00984176" w:rsidRPr="0049078B" w:rsidRDefault="00000000">
      <w:pPr>
        <w:spacing w:after="3" w:line="248" w:lineRule="auto"/>
        <w:ind w:left="715" w:right="7"/>
      </w:pPr>
      <w:r w:rsidRPr="0049078B">
        <w:lastRenderedPageBreak/>
        <w:t xml:space="preserve">https://doi.org/10.1016/j.eneco.2021.105311. </w:t>
      </w:r>
    </w:p>
    <w:p w14:paraId="3C261629" w14:textId="77777777" w:rsidR="00984176" w:rsidRPr="0049078B" w:rsidRDefault="00000000">
      <w:pPr>
        <w:spacing w:after="0" w:line="239" w:lineRule="auto"/>
        <w:ind w:left="715" w:hanging="730"/>
      </w:pPr>
      <w:r w:rsidRPr="0049078B">
        <w:t xml:space="preserve">Boardman, Brenda. 1991a. </w:t>
      </w:r>
      <w:r w:rsidRPr="0049078B">
        <w:rPr>
          <w:rFonts w:cs="Trebuchet MS"/>
          <w:i/>
        </w:rPr>
        <w:t>Fuel Poverty: From Cold Homes to Affordable Warmth.</w:t>
      </w:r>
      <w:r w:rsidRPr="0049078B">
        <w:t xml:space="preserve"> London: Belhaven Press. </w:t>
      </w:r>
    </w:p>
    <w:p w14:paraId="1C2D0008" w14:textId="5E4C5576" w:rsidR="00984176" w:rsidRPr="0049078B" w:rsidRDefault="00000000">
      <w:pPr>
        <w:spacing w:after="3" w:line="248" w:lineRule="auto"/>
        <w:ind w:left="720" w:right="7" w:hanging="720"/>
      </w:pPr>
      <w:r w:rsidRPr="0049078B">
        <w:rPr>
          <w:rFonts w:cs="Trebuchet MS"/>
        </w:rPr>
        <w:t xml:space="preserve">———. 1991b. </w:t>
      </w:r>
      <w:r w:rsidR="00986A19" w:rsidRPr="0049078B">
        <w:rPr>
          <w:rFonts w:cs="Trebuchet MS"/>
        </w:rPr>
        <w:t>'</w:t>
      </w:r>
      <w:r w:rsidRPr="0049078B">
        <w:rPr>
          <w:rFonts w:cs="Trebuchet MS"/>
        </w:rPr>
        <w:t>Fuel Poverty Is Different</w:t>
      </w:r>
      <w:r w:rsidR="00986A19" w:rsidRPr="0049078B">
        <w:rPr>
          <w:rFonts w:cs="Trebuchet MS"/>
        </w:rPr>
        <w:t>'</w:t>
      </w:r>
      <w:r w:rsidRPr="0049078B">
        <w:rPr>
          <w:rFonts w:cs="Trebuchet MS"/>
        </w:rPr>
        <w:t xml:space="preserve">. </w:t>
      </w:r>
      <w:r w:rsidRPr="0049078B">
        <w:rPr>
          <w:rFonts w:cs="Trebuchet MS"/>
          <w:i/>
        </w:rPr>
        <w:t>Policy Studies</w:t>
      </w:r>
      <w:r w:rsidRPr="0049078B">
        <w:t xml:space="preserve"> 12 (4): 30</w:t>
      </w:r>
      <w:r w:rsidRPr="0049078B">
        <w:rPr>
          <w:rFonts w:cs="Trebuchet MS"/>
        </w:rPr>
        <w:t xml:space="preserve">– </w:t>
      </w:r>
      <w:r w:rsidRPr="0049078B">
        <w:t xml:space="preserve">41. https://doi.org/10.1080/01442879108423600. </w:t>
      </w:r>
    </w:p>
    <w:p w14:paraId="05670448" w14:textId="21BD42BD" w:rsidR="00984176" w:rsidRPr="0049078B" w:rsidRDefault="00000000">
      <w:pPr>
        <w:spacing w:after="0" w:line="248" w:lineRule="auto"/>
        <w:ind w:left="715" w:right="61" w:hanging="730"/>
      </w:pPr>
      <w:r w:rsidRPr="0049078B">
        <w:rPr>
          <w:rFonts w:cs="Trebuchet MS"/>
        </w:rPr>
        <w:t xml:space="preserve">———. 2015. </w:t>
      </w:r>
      <w:r w:rsidR="00986A19" w:rsidRPr="0049078B">
        <w:rPr>
          <w:rFonts w:cs="Trebuchet MS"/>
        </w:rPr>
        <w:t>'</w:t>
      </w:r>
      <w:r w:rsidRPr="0049078B">
        <w:rPr>
          <w:rFonts w:cs="Trebuchet MS"/>
        </w:rPr>
        <w:t>Housing, Energy Efficiency and Fuel Poverty.</w:t>
      </w:r>
      <w:r w:rsidR="00986A19" w:rsidRPr="0049078B">
        <w:rPr>
          <w:rFonts w:cs="Trebuchet MS"/>
        </w:rPr>
        <w:t>'</w:t>
      </w:r>
      <w:r w:rsidRPr="0049078B">
        <w:rPr>
          <w:rFonts w:cs="Trebuchet MS"/>
        </w:rPr>
        <w:t xml:space="preserve"> In </w:t>
      </w:r>
      <w:r w:rsidRPr="0049078B">
        <w:rPr>
          <w:rFonts w:cs="Trebuchet MS"/>
          <w:i/>
        </w:rPr>
        <w:t>The Routledge Handbook of Planning for Health and Well-Being.</w:t>
      </w:r>
      <w:r w:rsidRPr="0049078B">
        <w:t>, 305</w:t>
      </w:r>
      <w:r w:rsidRPr="0049078B">
        <w:rPr>
          <w:rFonts w:cs="Trebuchet MS"/>
        </w:rPr>
        <w:t>–</w:t>
      </w:r>
      <w:r w:rsidRPr="0049078B">
        <w:t xml:space="preserve">16. Routledge. https://doi.org/10.4324/978131572826131. </w:t>
      </w:r>
    </w:p>
    <w:p w14:paraId="5C1BFBAC" w14:textId="36491676" w:rsidR="00984176" w:rsidRPr="0049078B" w:rsidRDefault="00000000">
      <w:pPr>
        <w:spacing w:after="3" w:line="248" w:lineRule="auto"/>
        <w:ind w:left="720" w:right="7" w:hanging="720"/>
      </w:pPr>
      <w:r w:rsidRPr="0049078B">
        <w:t xml:space="preserve">Chai, Andreas, Shyama </w:t>
      </w:r>
      <w:proofErr w:type="spellStart"/>
      <w:r w:rsidRPr="0049078B">
        <w:t>Ratna</w:t>
      </w:r>
      <w:r w:rsidRPr="0049078B">
        <w:rPr>
          <w:rFonts w:cs="Trebuchet MS"/>
        </w:rPr>
        <w:t>siri</w:t>
      </w:r>
      <w:proofErr w:type="spellEnd"/>
      <w:r w:rsidRPr="0049078B">
        <w:rPr>
          <w:rFonts w:cs="Trebuchet MS"/>
        </w:rPr>
        <w:t xml:space="preserve">, and Liam Wagner. 2021. </w:t>
      </w:r>
      <w:r w:rsidR="00986A19" w:rsidRPr="0049078B">
        <w:rPr>
          <w:rFonts w:cs="Trebuchet MS"/>
        </w:rPr>
        <w:t>'</w:t>
      </w:r>
      <w:r w:rsidRPr="0049078B">
        <w:rPr>
          <w:rFonts w:cs="Trebuchet MS"/>
        </w:rPr>
        <w:t xml:space="preserve">The </w:t>
      </w:r>
      <w:r w:rsidRPr="0049078B">
        <w:t xml:space="preserve">Impact of Rising Energy Prices on Energy Poverty in </w:t>
      </w:r>
      <w:r w:rsidRPr="0049078B">
        <w:rPr>
          <w:rFonts w:cs="Trebuchet MS"/>
        </w:rPr>
        <w:t>Queensland: A Microsimulation Exercise</w:t>
      </w:r>
      <w:r w:rsidR="00986A19" w:rsidRPr="0049078B">
        <w:rPr>
          <w:rFonts w:cs="Trebuchet MS"/>
        </w:rPr>
        <w:t>'</w:t>
      </w:r>
      <w:r w:rsidRPr="0049078B">
        <w:rPr>
          <w:rFonts w:cs="Trebuchet MS"/>
        </w:rPr>
        <w:t xml:space="preserve">. </w:t>
      </w:r>
      <w:r w:rsidRPr="0049078B">
        <w:rPr>
          <w:rFonts w:cs="Trebuchet MS"/>
          <w:i/>
        </w:rPr>
        <w:t>Economic Analysis and Policy</w:t>
      </w:r>
      <w:r w:rsidRPr="0049078B">
        <w:t xml:space="preserve"> 71: Pages 57-72. </w:t>
      </w:r>
    </w:p>
    <w:p w14:paraId="3892D432" w14:textId="77777777" w:rsidR="00984176" w:rsidRPr="0049078B" w:rsidRDefault="00000000">
      <w:pPr>
        <w:spacing w:after="3" w:line="248" w:lineRule="auto"/>
        <w:ind w:left="715" w:right="7"/>
      </w:pPr>
      <w:r w:rsidRPr="0049078B">
        <w:t xml:space="preserve">https://doi.org/10.1016/j.eap.2021.03.014. </w:t>
      </w:r>
    </w:p>
    <w:p w14:paraId="73E34C6A" w14:textId="58F19E3E" w:rsidR="00984176" w:rsidRPr="0049078B" w:rsidRDefault="00000000">
      <w:pPr>
        <w:spacing w:after="0" w:line="248" w:lineRule="auto"/>
        <w:ind w:left="715" w:right="61" w:hanging="730"/>
      </w:pPr>
      <w:r w:rsidRPr="0049078B">
        <w:rPr>
          <w:rFonts w:cs="Trebuchet MS"/>
        </w:rPr>
        <w:t xml:space="preserve">Chester, Lynne. 2013. </w:t>
      </w:r>
      <w:r w:rsidR="00986A19" w:rsidRPr="0049078B">
        <w:rPr>
          <w:rFonts w:cs="Trebuchet MS"/>
        </w:rPr>
        <w:t>'</w:t>
      </w:r>
      <w:r w:rsidRPr="0049078B">
        <w:rPr>
          <w:rFonts w:cs="Trebuchet MS"/>
        </w:rPr>
        <w:t>The Impacts and C</w:t>
      </w:r>
      <w:r w:rsidRPr="0049078B">
        <w:t xml:space="preserve">onsequences for </w:t>
      </w:r>
      <w:proofErr w:type="spellStart"/>
      <w:r w:rsidRPr="0049078B">
        <w:t>Low</w:t>
      </w:r>
      <w:r w:rsidRPr="0049078B">
        <w:rPr>
          <w:rFonts w:cs="Trebuchet MS"/>
        </w:rPr>
        <w:t>Income</w:t>
      </w:r>
      <w:proofErr w:type="spellEnd"/>
      <w:r w:rsidRPr="0049078B">
        <w:rPr>
          <w:rFonts w:cs="Trebuchet MS"/>
        </w:rPr>
        <w:t xml:space="preserve"> Australian Households of Rising Energy Prices</w:t>
      </w:r>
      <w:r w:rsidR="00986A19" w:rsidRPr="0049078B">
        <w:rPr>
          <w:rFonts w:cs="Trebuchet MS"/>
        </w:rPr>
        <w:t>'</w:t>
      </w:r>
      <w:r w:rsidRPr="0049078B">
        <w:rPr>
          <w:rFonts w:cs="Trebuchet MS"/>
        </w:rPr>
        <w:t xml:space="preserve">. </w:t>
      </w:r>
      <w:r w:rsidRPr="0049078B">
        <w:t xml:space="preserve">University of Sydney. </w:t>
      </w:r>
    </w:p>
    <w:p w14:paraId="71F77EEF" w14:textId="54858735" w:rsidR="00984176" w:rsidRPr="0049078B" w:rsidRDefault="00000000">
      <w:pPr>
        <w:spacing w:after="3" w:line="248" w:lineRule="auto"/>
        <w:ind w:right="7"/>
      </w:pPr>
      <w:r w:rsidRPr="0049078B">
        <w:rPr>
          <w:rFonts w:cs="Trebuchet MS"/>
        </w:rPr>
        <w:t xml:space="preserve">———. 2014. </w:t>
      </w:r>
      <w:r w:rsidR="00986A19" w:rsidRPr="0049078B">
        <w:rPr>
          <w:rFonts w:cs="Trebuchet MS"/>
        </w:rPr>
        <w:t>'</w:t>
      </w:r>
      <w:r w:rsidRPr="0049078B">
        <w:rPr>
          <w:rFonts w:cs="Trebuchet MS"/>
        </w:rPr>
        <w:t>The Growing Un</w:t>
      </w:r>
      <w:r w:rsidRPr="0049078B">
        <w:t xml:space="preserve">-Affordability of Energy for </w:t>
      </w:r>
    </w:p>
    <w:p w14:paraId="3ECD7D8D" w14:textId="32DA818A" w:rsidR="00984176" w:rsidRPr="0049078B" w:rsidRDefault="00000000">
      <w:pPr>
        <w:spacing w:after="0" w:line="239" w:lineRule="auto"/>
        <w:ind w:left="720" w:firstLine="0"/>
      </w:pPr>
      <w:r w:rsidRPr="0049078B">
        <w:rPr>
          <w:rFonts w:cs="Trebuchet MS"/>
        </w:rPr>
        <w:t>Households and the Consequences</w:t>
      </w:r>
      <w:r w:rsidR="00986A19" w:rsidRPr="0049078B">
        <w:rPr>
          <w:rFonts w:cs="Trebuchet MS"/>
        </w:rPr>
        <w:t>'</w:t>
      </w:r>
      <w:r w:rsidRPr="0049078B">
        <w:rPr>
          <w:rFonts w:cs="Trebuchet MS"/>
        </w:rPr>
        <w:t xml:space="preserve">. </w:t>
      </w:r>
      <w:r w:rsidRPr="0049078B">
        <w:rPr>
          <w:rFonts w:cs="Trebuchet MS"/>
          <w:i/>
        </w:rPr>
        <w:t>International Association for Energy Economics</w:t>
      </w:r>
      <w:r w:rsidRPr="0049078B">
        <w:t>, 23</w:t>
      </w:r>
      <w:r w:rsidRPr="0049078B">
        <w:rPr>
          <w:rFonts w:cs="Trebuchet MS"/>
        </w:rPr>
        <w:t>–</w:t>
      </w:r>
      <w:r w:rsidRPr="0049078B">
        <w:t xml:space="preserve">27. </w:t>
      </w:r>
    </w:p>
    <w:p w14:paraId="6C566542" w14:textId="35F7A344" w:rsidR="00984176" w:rsidRPr="0049078B" w:rsidRDefault="00000000">
      <w:pPr>
        <w:spacing w:after="3" w:line="248" w:lineRule="auto"/>
        <w:ind w:left="720" w:right="7" w:hanging="720"/>
      </w:pPr>
      <w:r w:rsidRPr="0049078B">
        <w:t xml:space="preserve">Chester, Lynne, </w:t>
      </w:r>
      <w:r w:rsidRPr="0049078B">
        <w:rPr>
          <w:rFonts w:cs="Trebuchet MS"/>
        </w:rPr>
        <w:t xml:space="preserve">and Amanda Elliot. 2019. </w:t>
      </w:r>
      <w:r w:rsidR="00986A19" w:rsidRPr="0049078B">
        <w:rPr>
          <w:rFonts w:cs="Trebuchet MS"/>
        </w:rPr>
        <w:t>'</w:t>
      </w:r>
      <w:r w:rsidRPr="0049078B">
        <w:rPr>
          <w:rFonts w:cs="Trebuchet MS"/>
        </w:rPr>
        <w:t xml:space="preserve">Energy Problem </w:t>
      </w:r>
      <w:r w:rsidRPr="0049078B">
        <w:t xml:space="preserve">Representation: The Historical and Contemporary Framing of </w:t>
      </w:r>
      <w:r w:rsidRPr="0049078B">
        <w:rPr>
          <w:rFonts w:cs="Trebuchet MS"/>
        </w:rPr>
        <w:t>Australian Electricity Policy</w:t>
      </w:r>
      <w:r w:rsidR="00986A19" w:rsidRPr="0049078B">
        <w:rPr>
          <w:rFonts w:cs="Trebuchet MS"/>
        </w:rPr>
        <w:t>'</w:t>
      </w:r>
      <w:r w:rsidRPr="0049078B">
        <w:rPr>
          <w:rFonts w:cs="Trebuchet MS"/>
        </w:rPr>
        <w:t xml:space="preserve">. </w:t>
      </w:r>
      <w:r w:rsidRPr="0049078B">
        <w:rPr>
          <w:rFonts w:cs="Trebuchet MS"/>
          <w:i/>
        </w:rPr>
        <w:t>Energy Policy</w:t>
      </w:r>
      <w:r w:rsidRPr="0049078B">
        <w:t xml:space="preserve"> 128 (May): 102</w:t>
      </w:r>
      <w:r w:rsidRPr="0049078B">
        <w:rPr>
          <w:rFonts w:cs="Trebuchet MS"/>
        </w:rPr>
        <w:t xml:space="preserve">– </w:t>
      </w:r>
      <w:r w:rsidRPr="0049078B">
        <w:t xml:space="preserve">13. https://doi.org/10.1016/J.ENPOL.2018.12.052. </w:t>
      </w:r>
    </w:p>
    <w:p w14:paraId="4977896A" w14:textId="2C71F24D" w:rsidR="00984176" w:rsidRPr="0049078B" w:rsidRDefault="00000000">
      <w:pPr>
        <w:spacing w:after="3" w:line="248" w:lineRule="auto"/>
        <w:ind w:left="720" w:right="7" w:hanging="720"/>
      </w:pPr>
      <w:r w:rsidRPr="0049078B">
        <w:t xml:space="preserve">Churchill, Sefa </w:t>
      </w:r>
      <w:proofErr w:type="spellStart"/>
      <w:r w:rsidRPr="0049078B">
        <w:t>Awaworyi</w:t>
      </w:r>
      <w:proofErr w:type="spellEnd"/>
      <w:r w:rsidRPr="0049078B">
        <w:t xml:space="preserve">, and Russell Smyth. </w:t>
      </w:r>
      <w:r w:rsidRPr="0049078B">
        <w:rPr>
          <w:rFonts w:cs="Trebuchet MS"/>
        </w:rPr>
        <w:t xml:space="preserve">2020. </w:t>
      </w:r>
      <w:r w:rsidR="00986A19" w:rsidRPr="0049078B">
        <w:rPr>
          <w:rFonts w:cs="Trebuchet MS"/>
        </w:rPr>
        <w:t>'</w:t>
      </w:r>
      <w:r w:rsidRPr="0049078B">
        <w:rPr>
          <w:rFonts w:cs="Trebuchet MS"/>
        </w:rPr>
        <w:t xml:space="preserve">Ethnic </w:t>
      </w:r>
      <w:r w:rsidRPr="0049078B">
        <w:t xml:space="preserve">Diversity, Energy Poverty and the Mediating Role of Trust: </w:t>
      </w:r>
    </w:p>
    <w:p w14:paraId="09DF8BD7" w14:textId="22515377" w:rsidR="00984176" w:rsidRPr="0049078B" w:rsidRDefault="00000000">
      <w:pPr>
        <w:spacing w:after="0" w:line="248" w:lineRule="auto"/>
        <w:ind w:left="720" w:right="61" w:firstLine="0"/>
      </w:pPr>
      <w:r w:rsidRPr="0049078B">
        <w:rPr>
          <w:rFonts w:cs="Trebuchet MS"/>
        </w:rPr>
        <w:t>Evidence from Household Panel Data for Australia</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86: 104663-. </w:t>
      </w:r>
    </w:p>
    <w:p w14:paraId="600472E6" w14:textId="77777777" w:rsidR="00984176" w:rsidRPr="0049078B" w:rsidRDefault="00000000">
      <w:pPr>
        <w:spacing w:after="3" w:line="248" w:lineRule="auto"/>
        <w:ind w:left="715" w:right="7"/>
      </w:pPr>
      <w:r w:rsidRPr="0049078B">
        <w:t xml:space="preserve">https://doi.org/10.1016/j.eneco.2020.104663. </w:t>
      </w:r>
    </w:p>
    <w:p w14:paraId="25B8B973" w14:textId="3F16ADB6" w:rsidR="00984176" w:rsidRPr="0049078B" w:rsidRDefault="00000000">
      <w:pPr>
        <w:spacing w:after="0" w:line="248" w:lineRule="auto"/>
        <w:ind w:left="715" w:right="61" w:hanging="730"/>
      </w:pPr>
      <w:r w:rsidRPr="0049078B">
        <w:rPr>
          <w:rFonts w:cs="Trebuchet MS"/>
        </w:rPr>
        <w:t xml:space="preserve">———. 2021a. </w:t>
      </w:r>
      <w:r w:rsidR="00986A19" w:rsidRPr="0049078B">
        <w:rPr>
          <w:rFonts w:cs="Trebuchet MS"/>
        </w:rPr>
        <w:t>'</w:t>
      </w:r>
      <w:r w:rsidRPr="0049078B">
        <w:rPr>
          <w:rFonts w:cs="Trebuchet MS"/>
        </w:rPr>
        <w:t>Energy Poverty and Health: Panel Data Eviden</w:t>
      </w:r>
      <w:r w:rsidRPr="0049078B">
        <w:t xml:space="preserve">ce </w:t>
      </w:r>
      <w:r w:rsidRPr="0049078B">
        <w:rPr>
          <w:rFonts w:cs="Trebuchet MS"/>
        </w:rPr>
        <w:t>from Australia</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97: 105219-. </w:t>
      </w:r>
    </w:p>
    <w:p w14:paraId="3AAF26BA" w14:textId="77777777" w:rsidR="00984176" w:rsidRPr="0049078B" w:rsidRDefault="00000000">
      <w:pPr>
        <w:spacing w:after="3" w:line="248" w:lineRule="auto"/>
        <w:ind w:left="715" w:right="7"/>
      </w:pPr>
      <w:r w:rsidRPr="0049078B">
        <w:t xml:space="preserve">https://doi.org/10.1016/j.eneco.2021.105219. </w:t>
      </w:r>
    </w:p>
    <w:p w14:paraId="6C6D7F04" w14:textId="45A24FCC" w:rsidR="00984176" w:rsidRPr="0049078B" w:rsidRDefault="00000000">
      <w:pPr>
        <w:spacing w:after="0" w:line="248" w:lineRule="auto"/>
        <w:ind w:left="715" w:right="61" w:hanging="730"/>
      </w:pPr>
      <w:r w:rsidRPr="0049078B">
        <w:rPr>
          <w:rFonts w:cs="Trebuchet MS"/>
        </w:rPr>
        <w:t xml:space="preserve">———. 2021b. </w:t>
      </w:r>
      <w:r w:rsidR="00986A19" w:rsidRPr="0049078B">
        <w:rPr>
          <w:rFonts w:cs="Trebuchet MS"/>
        </w:rPr>
        <w:t>'</w:t>
      </w:r>
      <w:r w:rsidRPr="0049078B">
        <w:rPr>
          <w:rFonts w:cs="Trebuchet MS"/>
        </w:rPr>
        <w:t>Locus of Control and Energy Poverty</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104: 105648-. </w:t>
      </w:r>
    </w:p>
    <w:p w14:paraId="3FAEA74D" w14:textId="77777777" w:rsidR="00984176" w:rsidRPr="0049078B" w:rsidRDefault="00000000">
      <w:pPr>
        <w:spacing w:after="3" w:line="248" w:lineRule="auto"/>
        <w:ind w:left="715" w:right="7"/>
      </w:pPr>
      <w:r w:rsidRPr="0049078B">
        <w:t xml:space="preserve">https://doi.org/10.1016/j.eneco.2021.105648. </w:t>
      </w:r>
    </w:p>
    <w:p w14:paraId="2A550FB6" w14:textId="6A7F4A66" w:rsidR="00984176" w:rsidRPr="0049078B" w:rsidRDefault="00000000">
      <w:pPr>
        <w:spacing w:after="0" w:line="248" w:lineRule="auto"/>
        <w:ind w:left="715" w:right="61" w:hanging="730"/>
      </w:pPr>
      <w:r w:rsidRPr="0049078B">
        <w:rPr>
          <w:rFonts w:cs="Trebuchet MS"/>
        </w:rPr>
        <w:t xml:space="preserve">———. 2022. </w:t>
      </w:r>
      <w:r w:rsidR="00986A19" w:rsidRPr="0049078B">
        <w:rPr>
          <w:rFonts w:cs="Trebuchet MS"/>
        </w:rPr>
        <w:t>'</w:t>
      </w:r>
      <w:r w:rsidRPr="0049078B">
        <w:rPr>
          <w:rFonts w:cs="Trebuchet MS"/>
        </w:rPr>
        <w:t>Local Area Crime and Energy Poverty</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114: 106274-. </w:t>
      </w:r>
    </w:p>
    <w:p w14:paraId="1C4891AF" w14:textId="77777777" w:rsidR="00984176" w:rsidRPr="0049078B" w:rsidRDefault="00000000">
      <w:pPr>
        <w:spacing w:after="3" w:line="248" w:lineRule="auto"/>
        <w:ind w:left="715" w:right="7"/>
      </w:pPr>
      <w:r w:rsidRPr="0049078B">
        <w:t xml:space="preserve">https://doi.org/10.1016/j.eneco.2022.106274. </w:t>
      </w:r>
    </w:p>
    <w:p w14:paraId="2709B4E0" w14:textId="10A9F82B" w:rsidR="00984176" w:rsidRPr="0049078B" w:rsidRDefault="00000000">
      <w:pPr>
        <w:spacing w:after="0" w:line="248" w:lineRule="auto"/>
        <w:ind w:left="715" w:right="61" w:hanging="730"/>
      </w:pPr>
      <w:r w:rsidRPr="0049078B">
        <w:rPr>
          <w:rFonts w:cs="Trebuchet MS"/>
        </w:rPr>
        <w:t xml:space="preserve">Hills, John. 2012. </w:t>
      </w:r>
      <w:r w:rsidR="00986A19" w:rsidRPr="0049078B">
        <w:rPr>
          <w:rFonts w:cs="Trebuchet MS"/>
        </w:rPr>
        <w:t>'</w:t>
      </w:r>
      <w:r w:rsidRPr="0049078B">
        <w:rPr>
          <w:rFonts w:cs="Trebuchet MS"/>
        </w:rPr>
        <w:t>Getting the Measure of Fuel Poverty: Final Report of the Fuel Poverty Review</w:t>
      </w:r>
      <w:r w:rsidR="00986A19" w:rsidRPr="0049078B">
        <w:rPr>
          <w:rFonts w:cs="Trebuchet MS"/>
        </w:rPr>
        <w:t>'</w:t>
      </w:r>
      <w:r w:rsidRPr="0049078B">
        <w:rPr>
          <w:rFonts w:cs="Trebuchet MS"/>
        </w:rPr>
        <w:t xml:space="preserve">. Monograph. London, UK: </w:t>
      </w:r>
      <w:r w:rsidRPr="0049078B">
        <w:t xml:space="preserve">Centre for Analysis of Social Exclusion, London School of Economics and Political Science. 2012. </w:t>
      </w:r>
    </w:p>
    <w:p w14:paraId="3A6CC819" w14:textId="77777777" w:rsidR="00984176" w:rsidRPr="0049078B" w:rsidRDefault="00000000">
      <w:pPr>
        <w:spacing w:after="3" w:line="248" w:lineRule="auto"/>
        <w:ind w:left="715" w:right="7"/>
      </w:pPr>
      <w:r w:rsidRPr="0049078B">
        <w:t xml:space="preserve">http://sticerd.lse.ac.uk/case/. </w:t>
      </w:r>
    </w:p>
    <w:p w14:paraId="7A452EEF" w14:textId="500E5800" w:rsidR="00984176" w:rsidRPr="0049078B" w:rsidRDefault="00000000">
      <w:pPr>
        <w:spacing w:after="0" w:line="248" w:lineRule="auto"/>
        <w:ind w:left="715" w:right="61" w:hanging="730"/>
      </w:pPr>
      <w:r w:rsidRPr="0049078B">
        <w:rPr>
          <w:rFonts w:cs="Trebuchet MS"/>
        </w:rPr>
        <w:t xml:space="preserve">Nance, Andrew. 2017. </w:t>
      </w:r>
      <w:r w:rsidR="00986A19" w:rsidRPr="0049078B">
        <w:rPr>
          <w:rFonts w:cs="Trebuchet MS"/>
        </w:rPr>
        <w:t>'</w:t>
      </w:r>
      <w:r w:rsidRPr="0049078B">
        <w:rPr>
          <w:rFonts w:cs="Trebuchet MS"/>
        </w:rPr>
        <w:t>Energy Access and Affordability Policy Research</w:t>
      </w:r>
      <w:r w:rsidR="00986A19" w:rsidRPr="0049078B">
        <w:rPr>
          <w:rFonts w:cs="Trebuchet MS"/>
        </w:rPr>
        <w:t>'</w:t>
      </w:r>
      <w:r w:rsidRPr="0049078B">
        <w:rPr>
          <w:rFonts w:cs="Trebuchet MS"/>
        </w:rPr>
        <w:t xml:space="preserve">. Energy Consumers Australia Limited. </w:t>
      </w:r>
    </w:p>
    <w:p w14:paraId="4B268E72" w14:textId="77777777" w:rsidR="00984176" w:rsidRPr="0049078B" w:rsidRDefault="00000000">
      <w:pPr>
        <w:spacing w:after="3" w:line="248" w:lineRule="auto"/>
        <w:ind w:left="715" w:right="7"/>
      </w:pPr>
      <w:r w:rsidRPr="0049078B">
        <w:t>http://aemc.gov.au/News-Center/What-s-</w:t>
      </w:r>
    </w:p>
    <w:p w14:paraId="21337C90" w14:textId="77777777" w:rsidR="00984176" w:rsidRPr="0049078B" w:rsidRDefault="00000000">
      <w:pPr>
        <w:spacing w:after="3" w:line="248" w:lineRule="auto"/>
        <w:ind w:left="715" w:right="7"/>
      </w:pPr>
      <w:r w:rsidRPr="0049078B">
        <w:t xml:space="preserve">New/Announcements/AEMC-submission-to-the-. </w:t>
      </w:r>
    </w:p>
    <w:p w14:paraId="4F3E6F49" w14:textId="733D2046" w:rsidR="00984176" w:rsidRPr="0049078B" w:rsidRDefault="00000000">
      <w:pPr>
        <w:spacing w:after="3" w:line="248" w:lineRule="auto"/>
        <w:ind w:left="720" w:right="7" w:hanging="720"/>
      </w:pPr>
      <w:r w:rsidRPr="0049078B">
        <w:t xml:space="preserve">Nelson, Tim, Eleanor McCracken-Hewson, Gabby Sundstrom, and </w:t>
      </w:r>
      <w:r w:rsidRPr="0049078B">
        <w:rPr>
          <w:rFonts w:cs="Trebuchet MS"/>
        </w:rPr>
        <w:t xml:space="preserve">Marianne Hawthorne. 2019. </w:t>
      </w:r>
      <w:r w:rsidR="00986A19" w:rsidRPr="0049078B">
        <w:rPr>
          <w:rFonts w:cs="Trebuchet MS"/>
        </w:rPr>
        <w:t>'</w:t>
      </w:r>
      <w:r w:rsidRPr="0049078B">
        <w:rPr>
          <w:rFonts w:cs="Trebuchet MS"/>
        </w:rPr>
        <w:t>The Drivers of Energy</w:t>
      </w:r>
      <w:r w:rsidRPr="0049078B">
        <w:t xml:space="preserve">-Related </w:t>
      </w:r>
    </w:p>
    <w:p w14:paraId="29402E98" w14:textId="77777777" w:rsidR="00984176" w:rsidRPr="0049078B" w:rsidRDefault="00000000">
      <w:pPr>
        <w:spacing w:after="3" w:line="248" w:lineRule="auto"/>
        <w:ind w:left="715" w:right="7"/>
      </w:pPr>
      <w:r w:rsidRPr="0049078B">
        <w:t xml:space="preserve">Financial Hardship in Australia-Understanding the Role of </w:t>
      </w:r>
    </w:p>
    <w:p w14:paraId="1E48465A" w14:textId="66CED027" w:rsidR="00984176" w:rsidRPr="0049078B" w:rsidRDefault="00000000">
      <w:pPr>
        <w:spacing w:after="3" w:line="248" w:lineRule="auto"/>
        <w:ind w:left="715" w:right="7"/>
      </w:pPr>
      <w:r w:rsidRPr="0049078B">
        <w:rPr>
          <w:rFonts w:cs="Trebuchet MS"/>
        </w:rPr>
        <w:lastRenderedPageBreak/>
        <w:t>Income, Consumption and Housing.</w:t>
      </w:r>
      <w:r w:rsidR="00986A19" w:rsidRPr="0049078B">
        <w:rPr>
          <w:rFonts w:cs="Trebuchet MS"/>
        </w:rPr>
        <w:t>'</w:t>
      </w:r>
      <w:r w:rsidRPr="0049078B">
        <w:rPr>
          <w:rFonts w:cs="Trebuchet MS"/>
        </w:rPr>
        <w:t xml:space="preserve"> </w:t>
      </w:r>
      <w:r w:rsidRPr="0049078B">
        <w:rPr>
          <w:rFonts w:cs="Trebuchet MS"/>
          <w:i/>
        </w:rPr>
        <w:t>Energy Policy</w:t>
      </w:r>
      <w:r w:rsidRPr="0049078B">
        <w:t xml:space="preserve"> 124: Pages 262-271. https://doi.org/10.1016/j.enpol.2018.10.003. </w:t>
      </w:r>
    </w:p>
    <w:p w14:paraId="55BFA8F6" w14:textId="7A451D07" w:rsidR="00984176" w:rsidRPr="0049078B" w:rsidRDefault="00000000">
      <w:pPr>
        <w:spacing w:after="0" w:line="248" w:lineRule="auto"/>
        <w:ind w:left="715" w:right="61" w:hanging="730"/>
      </w:pPr>
      <w:r w:rsidRPr="0049078B">
        <w:rPr>
          <w:rFonts w:cs="Trebuchet MS"/>
        </w:rPr>
        <w:t xml:space="preserve">Potter, Ben, and Andrew Tillett. 2017. </w:t>
      </w:r>
      <w:r w:rsidR="00986A19" w:rsidRPr="0049078B">
        <w:rPr>
          <w:rFonts w:cs="Trebuchet MS"/>
        </w:rPr>
        <w:t>'</w:t>
      </w:r>
      <w:r w:rsidRPr="0049078B">
        <w:rPr>
          <w:rFonts w:cs="Trebuchet MS"/>
        </w:rPr>
        <w:t>Australians Pay Highest Power Prices in World</w:t>
      </w:r>
      <w:r w:rsidR="00986A19" w:rsidRPr="0049078B">
        <w:rPr>
          <w:rFonts w:cs="Trebuchet MS"/>
        </w:rPr>
        <w:t>'</w:t>
      </w:r>
      <w:r w:rsidRPr="0049078B">
        <w:rPr>
          <w:rFonts w:cs="Trebuchet MS"/>
        </w:rPr>
        <w:t xml:space="preserve">. </w:t>
      </w:r>
      <w:r w:rsidRPr="0049078B">
        <w:rPr>
          <w:rFonts w:cs="Trebuchet MS"/>
          <w:i/>
        </w:rPr>
        <w:t>Australian Financial Review</w:t>
      </w:r>
      <w:r w:rsidRPr="0049078B">
        <w:t xml:space="preserve">, 5 August 2017. </w:t>
      </w:r>
    </w:p>
    <w:p w14:paraId="34C1BD09" w14:textId="72EF1185" w:rsidR="00984176" w:rsidRPr="0049078B" w:rsidRDefault="00000000">
      <w:pPr>
        <w:spacing w:after="0" w:line="248" w:lineRule="auto"/>
        <w:ind w:left="715" w:right="61" w:hanging="730"/>
      </w:pPr>
      <w:r w:rsidRPr="0049078B">
        <w:rPr>
          <w:rFonts w:cs="Trebuchet MS"/>
        </w:rPr>
        <w:t xml:space="preserve">RBA. 2023. </w:t>
      </w:r>
      <w:r w:rsidR="00986A19" w:rsidRPr="0049078B">
        <w:rPr>
          <w:rFonts w:cs="Trebuchet MS"/>
        </w:rPr>
        <w:t>'</w:t>
      </w:r>
      <w:r w:rsidRPr="0049078B">
        <w:rPr>
          <w:rFonts w:cs="Trebuchet MS"/>
        </w:rPr>
        <w:t>Economic Outlook | Statement on Monetary Policy –</w:t>
      </w:r>
      <w:r w:rsidRPr="0049078B">
        <w:t xml:space="preserve"> February 2</w:t>
      </w:r>
      <w:r w:rsidRPr="0049078B">
        <w:rPr>
          <w:rFonts w:cs="Trebuchet MS"/>
        </w:rPr>
        <w:t>023</w:t>
      </w:r>
      <w:r w:rsidR="00986A19" w:rsidRPr="0049078B">
        <w:rPr>
          <w:rFonts w:cs="Trebuchet MS"/>
        </w:rPr>
        <w:t>'</w:t>
      </w:r>
      <w:r w:rsidRPr="0049078B">
        <w:rPr>
          <w:rFonts w:cs="Trebuchet MS"/>
        </w:rPr>
        <w:t xml:space="preserve">. Reserve Bank of Australia. Australia. 10 </w:t>
      </w:r>
      <w:r w:rsidRPr="0049078B">
        <w:t xml:space="preserve">February 2023. </w:t>
      </w:r>
    </w:p>
    <w:p w14:paraId="077DC9AE" w14:textId="77777777" w:rsidR="00984176" w:rsidRPr="0049078B" w:rsidRDefault="00000000">
      <w:pPr>
        <w:spacing w:after="3" w:line="248" w:lineRule="auto"/>
        <w:ind w:left="715" w:right="7"/>
      </w:pPr>
      <w:r w:rsidRPr="0049078B">
        <w:t xml:space="preserve">http://www.rba.gov.au/publications/smp/2023/feb/econom ic-outlook.html. </w:t>
      </w:r>
    </w:p>
    <w:p w14:paraId="7FAECFA8" w14:textId="49307BFF" w:rsidR="00984176" w:rsidRPr="0049078B" w:rsidRDefault="00000000">
      <w:pPr>
        <w:spacing w:after="0" w:line="248" w:lineRule="auto"/>
        <w:ind w:left="715" w:right="61" w:hanging="730"/>
      </w:pPr>
      <w:r w:rsidRPr="0049078B">
        <w:rPr>
          <w:rFonts w:cs="Trebuchet MS"/>
        </w:rPr>
        <w:t xml:space="preserve">Simshauser, Paul. 2023. </w:t>
      </w:r>
      <w:r w:rsidR="00986A19" w:rsidRPr="0049078B">
        <w:rPr>
          <w:rFonts w:cs="Trebuchet MS"/>
        </w:rPr>
        <w:t>'</w:t>
      </w:r>
      <w:r w:rsidRPr="0049078B">
        <w:rPr>
          <w:rFonts w:cs="Trebuchet MS"/>
        </w:rPr>
        <w:t>The 2022 Energy Crisis: Fuel Poverty and the Impact of Policy Interventions in Australia</w:t>
      </w:r>
      <w:r w:rsidR="00986A19" w:rsidRPr="0049078B">
        <w:rPr>
          <w:rFonts w:cs="Trebuchet MS"/>
        </w:rPr>
        <w:t>'</w:t>
      </w:r>
      <w:r w:rsidRPr="0049078B">
        <w:rPr>
          <w:rFonts w:cs="Trebuchet MS"/>
        </w:rPr>
        <w:t>s Nationa</w:t>
      </w:r>
      <w:r w:rsidRPr="0049078B">
        <w:t xml:space="preserve">l </w:t>
      </w:r>
      <w:r w:rsidRPr="0049078B">
        <w:rPr>
          <w:rFonts w:cs="Trebuchet MS"/>
        </w:rPr>
        <w:t>Electricity Market</w:t>
      </w:r>
      <w:r w:rsidR="00986A19" w:rsidRPr="0049078B">
        <w:rPr>
          <w:rFonts w:cs="Trebuchet MS"/>
        </w:rPr>
        <w:t>'</w:t>
      </w:r>
      <w:r w:rsidRPr="0049078B">
        <w:rPr>
          <w:rFonts w:cs="Trebuchet MS"/>
        </w:rPr>
        <w:t xml:space="preserve">. </w:t>
      </w:r>
      <w:r w:rsidRPr="0049078B">
        <w:rPr>
          <w:rFonts w:cs="Trebuchet MS"/>
          <w:i/>
        </w:rPr>
        <w:t>Energy Economics</w:t>
      </w:r>
      <w:r w:rsidRPr="0049078B">
        <w:t xml:space="preserve"> 121 (May): 106660. </w:t>
      </w:r>
    </w:p>
    <w:p w14:paraId="706149C1" w14:textId="77777777" w:rsidR="00984176" w:rsidRPr="0049078B" w:rsidRDefault="00000000">
      <w:pPr>
        <w:spacing w:after="3" w:line="248" w:lineRule="auto"/>
        <w:ind w:left="715" w:right="7"/>
      </w:pPr>
      <w:r w:rsidRPr="0049078B">
        <w:t xml:space="preserve">https://doi.org/10.1016/j.eneco.2023.106660. </w:t>
      </w:r>
    </w:p>
    <w:p w14:paraId="5F575657" w14:textId="6D08ECA1" w:rsidR="00984176" w:rsidRPr="0049078B" w:rsidRDefault="00000000">
      <w:pPr>
        <w:spacing w:after="3" w:line="248" w:lineRule="auto"/>
        <w:ind w:left="720" w:right="7" w:hanging="720"/>
      </w:pPr>
      <w:r w:rsidRPr="0049078B">
        <w:rPr>
          <w:rFonts w:cs="Trebuchet MS"/>
        </w:rPr>
        <w:t xml:space="preserve">The Melbourne Institute. 2022. </w:t>
      </w:r>
      <w:r w:rsidR="00986A19" w:rsidRPr="0049078B">
        <w:rPr>
          <w:rFonts w:cs="Trebuchet MS"/>
        </w:rPr>
        <w:t>'</w:t>
      </w:r>
      <w:r w:rsidRPr="0049078B">
        <w:rPr>
          <w:rFonts w:cs="Trebuchet MS"/>
        </w:rPr>
        <w:t>HILDA Survey</w:t>
      </w:r>
      <w:r w:rsidR="00986A19" w:rsidRPr="0049078B">
        <w:rPr>
          <w:rFonts w:cs="Trebuchet MS"/>
        </w:rPr>
        <w:t>'</w:t>
      </w:r>
      <w:r w:rsidRPr="0049078B">
        <w:t xml:space="preserve">. Melbourne Institute: Applied Economic &amp; Social Research. 19 October 2022. https://melbourneinstitute.unimelb.edu.au/hilda. </w:t>
      </w:r>
    </w:p>
    <w:p w14:paraId="349830BB" w14:textId="5C37CE15" w:rsidR="00984176" w:rsidRPr="0049078B" w:rsidRDefault="00000000">
      <w:pPr>
        <w:spacing w:after="0" w:line="248" w:lineRule="auto"/>
        <w:ind w:left="715" w:right="61" w:hanging="730"/>
      </w:pPr>
      <w:r w:rsidRPr="0049078B">
        <w:rPr>
          <w:rFonts w:cs="Trebuchet MS"/>
        </w:rPr>
        <w:t xml:space="preserve">The Treasury of Australia. 2023. </w:t>
      </w:r>
      <w:r w:rsidR="00986A19" w:rsidRPr="0049078B">
        <w:rPr>
          <w:rFonts w:cs="Trebuchet MS"/>
        </w:rPr>
        <w:t>'</w:t>
      </w:r>
      <w:r w:rsidRPr="0049078B">
        <w:rPr>
          <w:rFonts w:cs="Trebuchet MS"/>
        </w:rPr>
        <w:t>Budget Paper No. 1, Budget Strategy and Outlook (May 2023)</w:t>
      </w:r>
      <w:r w:rsidR="00986A19" w:rsidRPr="0049078B">
        <w:rPr>
          <w:rFonts w:cs="Trebuchet MS"/>
        </w:rPr>
        <w:t>'</w:t>
      </w:r>
      <w:r w:rsidRPr="0049078B">
        <w:rPr>
          <w:rFonts w:cs="Trebuchet MS"/>
        </w:rPr>
        <w:t xml:space="preserve">. Canberra, Australia: </w:t>
      </w:r>
    </w:p>
    <w:p w14:paraId="4D9249B4" w14:textId="77777777" w:rsidR="00984176" w:rsidRPr="0049078B" w:rsidRDefault="00000000">
      <w:pPr>
        <w:spacing w:after="3" w:line="248" w:lineRule="auto"/>
        <w:ind w:left="715" w:right="7"/>
      </w:pPr>
      <w:r w:rsidRPr="0049078B">
        <w:t xml:space="preserve">Commonwealth of Australia. </w:t>
      </w:r>
    </w:p>
    <w:p w14:paraId="00225B15" w14:textId="77777777" w:rsidR="00984176" w:rsidRPr="0049078B" w:rsidRDefault="00000000">
      <w:pPr>
        <w:spacing w:after="3" w:line="248" w:lineRule="auto"/>
        <w:ind w:left="715" w:right="7"/>
      </w:pPr>
      <w:r w:rsidRPr="0049078B">
        <w:t xml:space="preserve">https://budget.gov.au/content/bp1/download/bp1_202324.pdf. </w:t>
      </w:r>
    </w:p>
    <w:p w14:paraId="410CDC31" w14:textId="77427DA2" w:rsidR="00984176" w:rsidRPr="0049078B" w:rsidRDefault="00000000">
      <w:pPr>
        <w:spacing w:after="0" w:line="248" w:lineRule="auto"/>
        <w:ind w:left="715" w:right="61" w:hanging="730"/>
      </w:pPr>
      <w:r w:rsidRPr="0049078B">
        <w:rPr>
          <w:rFonts w:cs="Trebuchet MS"/>
        </w:rPr>
        <w:t xml:space="preserve">Vera‐Toscano, Esperanza, and Heather Brown. 2022. </w:t>
      </w:r>
      <w:r w:rsidR="00986A19" w:rsidRPr="0049078B">
        <w:rPr>
          <w:rFonts w:cs="Trebuchet MS"/>
        </w:rPr>
        <w:t>'</w:t>
      </w:r>
      <w:r w:rsidRPr="0049078B">
        <w:rPr>
          <w:rFonts w:cs="Trebuchet MS"/>
        </w:rPr>
        <w:t xml:space="preserve">Empirical </w:t>
      </w:r>
      <w:r w:rsidRPr="0049078B">
        <w:t xml:space="preserve">Evidence on the Incidence and Persistence of Energy Poverty </w:t>
      </w:r>
      <w:r w:rsidRPr="0049078B">
        <w:rPr>
          <w:rFonts w:cs="Trebuchet MS"/>
        </w:rPr>
        <w:t>in Australia</w:t>
      </w:r>
      <w:r w:rsidR="00986A19" w:rsidRPr="0049078B">
        <w:rPr>
          <w:rFonts w:cs="Trebuchet MS"/>
        </w:rPr>
        <w:t>'</w:t>
      </w:r>
      <w:r w:rsidRPr="0049078B">
        <w:rPr>
          <w:rFonts w:cs="Trebuchet MS"/>
        </w:rPr>
        <w:t xml:space="preserve">. </w:t>
      </w:r>
      <w:r w:rsidRPr="0049078B">
        <w:rPr>
          <w:rFonts w:cs="Trebuchet MS"/>
          <w:i/>
        </w:rPr>
        <w:t>Australian Economic Review</w:t>
      </w:r>
      <w:r w:rsidRPr="0049078B">
        <w:t xml:space="preserve"> 55 (4): 515</w:t>
      </w:r>
      <w:r w:rsidRPr="0049078B">
        <w:rPr>
          <w:rFonts w:cs="Trebuchet MS"/>
        </w:rPr>
        <w:t>–</w:t>
      </w:r>
      <w:r w:rsidRPr="0049078B">
        <w:t xml:space="preserve">29. </w:t>
      </w:r>
    </w:p>
    <w:p w14:paraId="25681A0C" w14:textId="77777777" w:rsidR="00984176" w:rsidRPr="0049078B" w:rsidRDefault="00000000">
      <w:pPr>
        <w:spacing w:after="3" w:line="248" w:lineRule="auto"/>
        <w:ind w:left="715" w:right="7"/>
      </w:pPr>
      <w:r w:rsidRPr="0049078B">
        <w:t xml:space="preserve">https://doi.org/10.1111/1467-8462.12493. </w:t>
      </w:r>
    </w:p>
    <w:p w14:paraId="25BC02D9" w14:textId="77777777" w:rsidR="00984176" w:rsidRDefault="00000000">
      <w:pPr>
        <w:spacing w:after="378" w:line="259" w:lineRule="auto"/>
        <w:ind w:left="0" w:firstLine="0"/>
      </w:pPr>
      <w:r>
        <w:rPr>
          <w:rFonts w:cs="Trebuchet MS"/>
          <w:b/>
          <w:color w:val="002060"/>
          <w:sz w:val="28"/>
        </w:rPr>
        <w:t xml:space="preserve"> </w:t>
      </w:r>
    </w:p>
    <w:p w14:paraId="698A8232" w14:textId="77777777" w:rsidR="007D6FDC" w:rsidRDefault="007D6FDC">
      <w:pPr>
        <w:spacing w:after="4" w:line="249" w:lineRule="auto"/>
        <w:ind w:left="-5" w:right="2021"/>
      </w:pPr>
    </w:p>
    <w:sectPr w:rsidR="007D6FDC">
      <w:pgSz w:w="11906" w:h="16838"/>
      <w:pgMar w:top="1711" w:right="1627" w:bottom="567"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B93B1" w14:textId="77777777" w:rsidR="00DF0F25" w:rsidRDefault="00DF0F25">
      <w:pPr>
        <w:spacing w:after="0" w:line="240" w:lineRule="auto"/>
      </w:pPr>
      <w:r>
        <w:separator/>
      </w:r>
    </w:p>
  </w:endnote>
  <w:endnote w:type="continuationSeparator" w:id="0">
    <w:p w14:paraId="14E6B473" w14:textId="77777777" w:rsidR="00DF0F25" w:rsidRDefault="00DF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6E66" w14:textId="77777777" w:rsidR="00984176" w:rsidRDefault="00000000">
    <w:pPr>
      <w:spacing w:after="0" w:line="259" w:lineRule="auto"/>
      <w:ind w:left="0" w:right="72" w:firstLine="0"/>
      <w:jc w:val="right"/>
    </w:pP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1A91FD3F" w14:textId="77777777" w:rsidR="00984176" w:rsidRDefault="00000000">
    <w:pPr>
      <w:spacing w:after="0" w:line="259" w:lineRule="auto"/>
      <w:ind w:left="0" w:firstLine="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8806" w14:textId="77777777" w:rsidR="00984176" w:rsidRDefault="00000000">
    <w:pPr>
      <w:spacing w:after="0" w:line="259" w:lineRule="auto"/>
      <w:ind w:left="0" w:right="72" w:firstLine="0"/>
      <w:jc w:val="right"/>
    </w:pP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7E3A0540" w14:textId="77777777" w:rsidR="00984176" w:rsidRDefault="00000000">
    <w:pPr>
      <w:spacing w:after="0" w:line="259" w:lineRule="auto"/>
      <w:ind w:left="0" w:firstLine="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4BCAE" w14:textId="77777777" w:rsidR="00984176" w:rsidRDefault="0098417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FDD3" w14:textId="77777777" w:rsidR="00DF0F25" w:rsidRDefault="00DF0F25">
      <w:pPr>
        <w:spacing w:after="0" w:line="255" w:lineRule="auto"/>
        <w:ind w:left="0" w:right="5098" w:hanging="9"/>
      </w:pPr>
      <w:r>
        <w:separator/>
      </w:r>
    </w:p>
  </w:footnote>
  <w:footnote w:type="continuationSeparator" w:id="0">
    <w:p w14:paraId="70DD6FED" w14:textId="77777777" w:rsidR="00DF0F25" w:rsidRDefault="00DF0F25">
      <w:pPr>
        <w:spacing w:after="0" w:line="255" w:lineRule="auto"/>
        <w:ind w:left="0" w:right="5098" w:hanging="9"/>
      </w:pPr>
      <w:r>
        <w:continuationSeparator/>
      </w:r>
    </w:p>
  </w:footnote>
  <w:footnote w:id="1">
    <w:p w14:paraId="3441C945" w14:textId="0F5E7410" w:rsidR="00984176" w:rsidRDefault="00000000" w:rsidP="00986A19">
      <w:pPr>
        <w:pStyle w:val="footnotedescription"/>
        <w:spacing w:line="254" w:lineRule="auto"/>
        <w:ind w:left="124" w:hanging="11"/>
      </w:pPr>
      <w:r>
        <w:rPr>
          <w:rStyle w:val="footnotemark"/>
        </w:rPr>
        <w:footnoteRef/>
      </w:r>
      <w:r>
        <w:t xml:space="preserve"> 1 R is a statistical computing</w:t>
      </w:r>
      <w:r w:rsidR="00986A19">
        <w:t xml:space="preserve"> l</w:t>
      </w:r>
      <w:r>
        <w:t xml:space="preserve">anguage. </w:t>
      </w:r>
    </w:p>
  </w:footnote>
  <w:footnote w:id="2">
    <w:p w14:paraId="5AD31B74" w14:textId="77777777" w:rsidR="00984176" w:rsidRDefault="00000000">
      <w:pPr>
        <w:pStyle w:val="footnotedescription"/>
      </w:pPr>
      <w:r>
        <w:rPr>
          <w:rStyle w:val="footnotemark"/>
        </w:rPr>
        <w:footnoteRef/>
      </w:r>
      <w:r>
        <w:t xml:space="preserve"> This translates to a 0.647% fall in demand for every 1% increase in price. </w:t>
      </w:r>
    </w:p>
  </w:footnote>
  <w:footnote w:id="3">
    <w:p w14:paraId="6FD1249A" w14:textId="76E44912" w:rsidR="00984176" w:rsidRDefault="00000000">
      <w:pPr>
        <w:pStyle w:val="footnotedescription"/>
      </w:pPr>
      <w:r>
        <w:rPr>
          <w:rStyle w:val="footnotemark"/>
        </w:rPr>
        <w:footnoteRef/>
      </w:r>
      <w:r>
        <w:t xml:space="preserve"> </w:t>
      </w:r>
      <w:proofErr w:type="gramStart"/>
      <w:r>
        <w:t>Home-owner</w:t>
      </w:r>
      <w:proofErr w:type="gramEnd"/>
      <w:r>
        <w:t>, private renter, or government housing</w:t>
      </w:r>
      <w:r w:rsidR="0020752F">
        <w:t xml:space="preserve"> </w:t>
      </w:r>
    </w:p>
  </w:footnote>
  <w:footnote w:id="4">
    <w:p w14:paraId="457624A0" w14:textId="77777777" w:rsidR="00984176" w:rsidRDefault="00000000">
      <w:pPr>
        <w:pStyle w:val="footnotedescription"/>
      </w:pPr>
      <w:r>
        <w:rPr>
          <w:rStyle w:val="footnotemark"/>
        </w:rPr>
        <w:footnoteRef/>
      </w:r>
      <w:r>
        <w:t xml:space="preserve"> This point is important in Section 8.0 Anticipated Contributions. </w:t>
      </w:r>
    </w:p>
  </w:footnote>
  <w:footnote w:id="5">
    <w:p w14:paraId="6067F18E" w14:textId="77777777" w:rsidR="00984176" w:rsidRDefault="00000000">
      <w:pPr>
        <w:pStyle w:val="footnotedescription"/>
      </w:pPr>
      <w:r>
        <w:rPr>
          <w:rStyle w:val="footnotemark"/>
        </w:rPr>
        <w:footnoteRef/>
      </w:r>
      <w:r>
        <w:t xml:space="preserve"> Australian Capital Territory, New South Wales, Queensland, </w:t>
      </w:r>
      <w:proofErr w:type="spellStart"/>
      <w:r>
        <w:t>Sourth</w:t>
      </w:r>
      <w:proofErr w:type="spellEnd"/>
      <w:r>
        <w:t xml:space="preserve"> Australia, and Tasmania </w:t>
      </w:r>
    </w:p>
  </w:footnote>
  <w:footnote w:id="6">
    <w:p w14:paraId="4528FAD0" w14:textId="77777777" w:rsidR="00984176" w:rsidRDefault="00000000">
      <w:pPr>
        <w:pStyle w:val="footnotedescription"/>
      </w:pPr>
      <w:r>
        <w:rPr>
          <w:rStyle w:val="footnotemark"/>
        </w:rPr>
        <w:footnoteRef/>
      </w:r>
      <w:r>
        <w:t xml:space="preserve"> #/100k NSW households in Hardship Programs </w:t>
      </w:r>
    </w:p>
  </w:footnote>
  <w:footnote w:id="7">
    <w:p w14:paraId="1300E100" w14:textId="692048B0" w:rsidR="00986A19" w:rsidRPr="00986A19" w:rsidRDefault="00986A19">
      <w:pPr>
        <w:pStyle w:val="FootnoteText"/>
        <w:rPr>
          <w:lang w:val="en-GB"/>
        </w:rPr>
      </w:pPr>
      <w:r>
        <w:rPr>
          <w:rStyle w:val="FootnoteReference"/>
        </w:rPr>
        <w:footnoteRef/>
      </w:r>
      <w:r>
        <w:t xml:space="preserve"> </w:t>
      </w:r>
      <w:r>
        <w:rPr>
          <w:lang w:val="en-GB"/>
        </w:rPr>
        <w:t xml:space="preserve">At this stage, it is anticipated to utilise the services of Standard Error Research Editors. </w:t>
      </w:r>
      <w:hyperlink r:id="rId1" w:history="1">
        <w:r>
          <w:rPr>
            <w:rStyle w:val="Hyperlink"/>
          </w:rPr>
          <w:t>https://stderr-editors.com/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3NDcztzS1NDM0MTVS0lEKTi0uzszPAykwqgUA2CWU2ywAAAA="/>
  </w:docVars>
  <w:rsids>
    <w:rsidRoot w:val="00984176"/>
    <w:rsid w:val="00036360"/>
    <w:rsid w:val="000761E8"/>
    <w:rsid w:val="001E04C6"/>
    <w:rsid w:val="0020752F"/>
    <w:rsid w:val="003821B2"/>
    <w:rsid w:val="00396FF9"/>
    <w:rsid w:val="0049078B"/>
    <w:rsid w:val="004C2172"/>
    <w:rsid w:val="005401EC"/>
    <w:rsid w:val="005856F6"/>
    <w:rsid w:val="00616F18"/>
    <w:rsid w:val="00703563"/>
    <w:rsid w:val="007D6FDC"/>
    <w:rsid w:val="00830A52"/>
    <w:rsid w:val="008A36FC"/>
    <w:rsid w:val="00984176"/>
    <w:rsid w:val="00986A19"/>
    <w:rsid w:val="00A36062"/>
    <w:rsid w:val="00A47E16"/>
    <w:rsid w:val="00AA39A9"/>
    <w:rsid w:val="00B440C8"/>
    <w:rsid w:val="00C91E66"/>
    <w:rsid w:val="00CC555E"/>
    <w:rsid w:val="00D945E0"/>
    <w:rsid w:val="00DF0F25"/>
    <w:rsid w:val="00E04F98"/>
    <w:rsid w:val="00E607A3"/>
    <w:rsid w:val="00EA279E"/>
    <w:rsid w:val="00EE5470"/>
    <w:rsid w:val="00EE74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47323"/>
  <w15:docId w15:val="{DC6788CA-724E-A24D-8444-08A72284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hanging="10"/>
    </w:pPr>
    <w:rPr>
      <w:rFonts w:ascii="Trebuchet MS" w:eastAsia="Trebuchet MS" w:hAnsi="Trebuchet MS" w:cs="Times New Roman"/>
      <w:color w:val="000000"/>
      <w:lang w:val="en" w:eastAsia="en"/>
    </w:rPr>
  </w:style>
  <w:style w:type="paragraph" w:styleId="Heading1">
    <w:name w:val="heading 1"/>
    <w:next w:val="Normal"/>
    <w:link w:val="Heading1Char"/>
    <w:uiPriority w:val="9"/>
    <w:qFormat/>
    <w:pPr>
      <w:keepNext/>
      <w:keepLines/>
      <w:spacing w:after="335" w:line="259" w:lineRule="auto"/>
      <w:ind w:left="10" w:hanging="10"/>
      <w:outlineLvl w:val="0"/>
    </w:pPr>
    <w:rPr>
      <w:rFonts w:ascii="Trebuchet MS" w:eastAsia="Trebuchet MS" w:hAnsi="Trebuchet MS" w:cs="Trebuchet MS"/>
      <w:b/>
      <w:color w:val="002060"/>
      <w:sz w:val="28"/>
    </w:rPr>
  </w:style>
  <w:style w:type="paragraph" w:styleId="Heading2">
    <w:name w:val="heading 2"/>
    <w:next w:val="Normal"/>
    <w:link w:val="Heading2Char"/>
    <w:uiPriority w:val="9"/>
    <w:unhideWhenUsed/>
    <w:qFormat/>
    <w:pPr>
      <w:keepNext/>
      <w:keepLines/>
      <w:spacing w:after="114" w:line="259" w:lineRule="auto"/>
      <w:ind w:left="10" w:hanging="10"/>
      <w:outlineLvl w:val="1"/>
    </w:pPr>
    <w:rPr>
      <w:rFonts w:ascii="Trebuchet MS" w:eastAsia="Trebuchet MS" w:hAnsi="Trebuchet MS" w:cs="Trebuchet MS"/>
      <w:b/>
      <w:color w:val="002060"/>
    </w:rPr>
  </w:style>
  <w:style w:type="paragraph" w:styleId="Heading3">
    <w:name w:val="heading 3"/>
    <w:next w:val="Normal"/>
    <w:link w:val="Heading3Char"/>
    <w:uiPriority w:val="9"/>
    <w:unhideWhenUsed/>
    <w:qFormat/>
    <w:pPr>
      <w:keepNext/>
      <w:keepLines/>
      <w:spacing w:after="114" w:line="259" w:lineRule="auto"/>
      <w:ind w:left="10" w:hanging="10"/>
      <w:outlineLvl w:val="2"/>
    </w:pPr>
    <w:rPr>
      <w:rFonts w:ascii="Trebuchet MS" w:eastAsia="Trebuchet MS" w:hAnsi="Trebuchet MS" w:cs="Trebuchet MS"/>
      <w:b/>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pPr>
    <w:rPr>
      <w:rFonts w:ascii="Trebuchet MS" w:eastAsia="Trebuchet MS" w:hAnsi="Trebuchet MS" w:cs="Trebuchet MS"/>
      <w:color w:val="000000"/>
      <w:sz w:val="20"/>
    </w:rPr>
  </w:style>
  <w:style w:type="character" w:customStyle="1" w:styleId="footnotedescriptionChar">
    <w:name w:val="footnote description Char"/>
    <w:link w:val="footnotedescription"/>
    <w:rPr>
      <w:rFonts w:ascii="Trebuchet MS" w:eastAsia="Trebuchet MS" w:hAnsi="Trebuchet MS" w:cs="Trebuchet MS"/>
      <w:color w:val="000000"/>
      <w:sz w:val="20"/>
    </w:rPr>
  </w:style>
  <w:style w:type="character" w:customStyle="1" w:styleId="Heading3Char">
    <w:name w:val="Heading 3 Char"/>
    <w:link w:val="Heading3"/>
    <w:rPr>
      <w:rFonts w:ascii="Trebuchet MS" w:eastAsia="Trebuchet MS" w:hAnsi="Trebuchet MS" w:cs="Trebuchet MS"/>
      <w:b/>
      <w:color w:val="002060"/>
      <w:sz w:val="24"/>
    </w:rPr>
  </w:style>
  <w:style w:type="character" w:customStyle="1" w:styleId="Heading1Char">
    <w:name w:val="Heading 1 Char"/>
    <w:link w:val="Heading1"/>
    <w:rPr>
      <w:rFonts w:ascii="Trebuchet MS" w:eastAsia="Trebuchet MS" w:hAnsi="Trebuchet MS" w:cs="Trebuchet MS"/>
      <w:b/>
      <w:color w:val="002060"/>
      <w:sz w:val="28"/>
    </w:rPr>
  </w:style>
  <w:style w:type="character" w:customStyle="1" w:styleId="Heading2Char">
    <w:name w:val="Heading 2 Char"/>
    <w:link w:val="Heading2"/>
    <w:rPr>
      <w:rFonts w:ascii="Trebuchet MS" w:eastAsia="Trebuchet MS" w:hAnsi="Trebuchet MS" w:cs="Trebuchet MS"/>
      <w:b/>
      <w:color w:val="002060"/>
      <w:sz w:val="24"/>
    </w:rPr>
  </w:style>
  <w:style w:type="paragraph" w:styleId="TOC1">
    <w:name w:val="toc 1"/>
    <w:hidden/>
    <w:uiPriority w:val="39"/>
    <w:pPr>
      <w:spacing w:after="260" w:line="259" w:lineRule="auto"/>
      <w:ind w:left="25" w:right="81" w:hanging="10"/>
    </w:pPr>
    <w:rPr>
      <w:rFonts w:ascii="Trebuchet MS" w:eastAsia="Trebuchet MS" w:hAnsi="Trebuchet MS" w:cs="Trebuchet MS"/>
      <w:color w:val="002060"/>
    </w:rPr>
  </w:style>
  <w:style w:type="paragraph" w:styleId="TOC2">
    <w:name w:val="toc 2"/>
    <w:hidden/>
    <w:pPr>
      <w:spacing w:after="107" w:line="259" w:lineRule="auto"/>
      <w:ind w:left="246" w:right="81" w:hanging="10"/>
    </w:pPr>
    <w:rPr>
      <w:rFonts w:ascii="Trebuchet MS" w:eastAsia="Trebuchet MS" w:hAnsi="Trebuchet MS" w:cs="Trebuchet MS"/>
      <w:color w:val="002060"/>
      <w:sz w:val="20"/>
    </w:rPr>
  </w:style>
  <w:style w:type="paragraph" w:styleId="TOC3">
    <w:name w:val="toc 3"/>
    <w:hidden/>
    <w:uiPriority w:val="39"/>
    <w:pPr>
      <w:spacing w:after="107" w:line="259" w:lineRule="auto"/>
      <w:ind w:left="246" w:right="81" w:hanging="10"/>
    </w:pPr>
    <w:rPr>
      <w:rFonts w:ascii="Trebuchet MS" w:eastAsia="Trebuchet MS" w:hAnsi="Trebuchet MS" w:cs="Trebuchet MS"/>
      <w:color w:val="002060"/>
      <w:sz w:val="20"/>
    </w:rPr>
  </w:style>
  <w:style w:type="character" w:customStyle="1" w:styleId="footnotemark">
    <w:name w:val="footnote mark"/>
    <w:hidden/>
    <w:rPr>
      <w:rFonts w:ascii="Trebuchet MS" w:eastAsia="Trebuchet MS" w:hAnsi="Trebuchet MS" w:cs="Trebuchet MS"/>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5401EC"/>
    <w:rPr>
      <w:rFonts w:ascii="Trebuchet MS" w:eastAsia="Trebuchet MS" w:hAnsi="Trebuchet MS" w:cs="Times New Roman"/>
      <w:color w:val="000000"/>
      <w:lang w:val="en" w:eastAsia="en"/>
    </w:rPr>
  </w:style>
  <w:style w:type="character" w:styleId="CommentReference">
    <w:name w:val="annotation reference"/>
    <w:basedOn w:val="DefaultParagraphFont"/>
    <w:uiPriority w:val="99"/>
    <w:semiHidden/>
    <w:unhideWhenUsed/>
    <w:rsid w:val="00A47E16"/>
    <w:rPr>
      <w:sz w:val="16"/>
      <w:szCs w:val="16"/>
    </w:rPr>
  </w:style>
  <w:style w:type="paragraph" w:styleId="CommentText">
    <w:name w:val="annotation text"/>
    <w:basedOn w:val="Normal"/>
    <w:link w:val="CommentTextChar"/>
    <w:uiPriority w:val="99"/>
    <w:semiHidden/>
    <w:unhideWhenUsed/>
    <w:rsid w:val="00A47E16"/>
    <w:pPr>
      <w:spacing w:line="240" w:lineRule="auto"/>
    </w:pPr>
    <w:rPr>
      <w:sz w:val="20"/>
      <w:szCs w:val="20"/>
    </w:rPr>
  </w:style>
  <w:style w:type="character" w:customStyle="1" w:styleId="CommentTextChar">
    <w:name w:val="Comment Text Char"/>
    <w:basedOn w:val="DefaultParagraphFont"/>
    <w:link w:val="CommentText"/>
    <w:uiPriority w:val="99"/>
    <w:semiHidden/>
    <w:rsid w:val="00A47E16"/>
    <w:rPr>
      <w:rFonts w:ascii="Trebuchet MS" w:eastAsia="Trebuchet MS" w:hAnsi="Trebuchet MS"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A47E16"/>
    <w:rPr>
      <w:b/>
      <w:bCs/>
    </w:rPr>
  </w:style>
  <w:style w:type="character" w:customStyle="1" w:styleId="CommentSubjectChar">
    <w:name w:val="Comment Subject Char"/>
    <w:basedOn w:val="CommentTextChar"/>
    <w:link w:val="CommentSubject"/>
    <w:uiPriority w:val="99"/>
    <w:semiHidden/>
    <w:rsid w:val="00A47E16"/>
    <w:rPr>
      <w:rFonts w:ascii="Trebuchet MS" w:eastAsia="Trebuchet MS" w:hAnsi="Trebuchet MS" w:cs="Times New Roman"/>
      <w:b/>
      <w:bCs/>
      <w:color w:val="000000"/>
      <w:sz w:val="20"/>
      <w:szCs w:val="20"/>
      <w:lang w:val="en" w:eastAsia="en"/>
    </w:rPr>
  </w:style>
  <w:style w:type="character" w:styleId="Hyperlink">
    <w:name w:val="Hyperlink"/>
    <w:basedOn w:val="DefaultParagraphFont"/>
    <w:uiPriority w:val="99"/>
    <w:unhideWhenUsed/>
    <w:rsid w:val="00986A19"/>
    <w:rPr>
      <w:color w:val="0563C1" w:themeColor="hyperlink"/>
      <w:u w:val="single"/>
    </w:rPr>
  </w:style>
  <w:style w:type="character" w:styleId="UnresolvedMention">
    <w:name w:val="Unresolved Mention"/>
    <w:basedOn w:val="DefaultParagraphFont"/>
    <w:uiPriority w:val="99"/>
    <w:semiHidden/>
    <w:unhideWhenUsed/>
    <w:rsid w:val="00986A19"/>
    <w:rPr>
      <w:color w:val="605E5C"/>
      <w:shd w:val="clear" w:color="auto" w:fill="E1DFDD"/>
    </w:rPr>
  </w:style>
  <w:style w:type="paragraph" w:styleId="FootnoteText">
    <w:name w:val="footnote text"/>
    <w:basedOn w:val="Normal"/>
    <w:link w:val="FootnoteTextChar"/>
    <w:uiPriority w:val="99"/>
    <w:semiHidden/>
    <w:unhideWhenUsed/>
    <w:rsid w:val="00986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19"/>
    <w:rPr>
      <w:rFonts w:ascii="Trebuchet MS" w:eastAsia="Trebuchet MS" w:hAnsi="Trebuchet MS" w:cs="Times New Roman"/>
      <w:color w:val="000000"/>
      <w:sz w:val="20"/>
      <w:szCs w:val="20"/>
      <w:lang w:val="en" w:eastAsia="en"/>
    </w:rPr>
  </w:style>
  <w:style w:type="character" w:styleId="FootnoteReference">
    <w:name w:val="footnote reference"/>
    <w:basedOn w:val="DefaultParagraphFont"/>
    <w:uiPriority w:val="99"/>
    <w:semiHidden/>
    <w:unhideWhenUsed/>
    <w:rsid w:val="00986A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derr-edi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208C0F-BF17-224E-B94C-4FA1BAF6F20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376B-6873-4B3D-BEBA-969F6784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3289</Words>
  <Characters>20167</Characters>
  <Application>Microsoft Office Word</Application>
  <DocSecurity>0</DocSecurity>
  <Lines>517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Ward</dc:creator>
  <cp:keywords/>
  <cp:lastModifiedBy>Paul Ward</cp:lastModifiedBy>
  <cp:revision>2</cp:revision>
  <dcterms:created xsi:type="dcterms:W3CDTF">2024-06-21T12:54:00Z</dcterms:created>
  <dcterms:modified xsi:type="dcterms:W3CDTF">2024-06-21T12:54:00Z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documentId_7425</vt:lpwstr>
  </property>
  <property fmtid="{D5CDD505-2E9C-101B-9397-08002B2CF9AE}" pid="3" name="grammarly_documentContext">
    <vt:lpwstr>{"goals":[],"domain":"academic","emotions":[],"dialect":"australian","audience":"expert","style":"formal"}</vt:lpwstr>
  </property>
  <property fmtid="{D5CDD505-2E9C-101B-9397-08002B2CF9AE}" pid="4" name="GrammarlyDocumentId">
    <vt:lpwstr>acd3808a68a7a1f65ceedb722616d213e34bae8b3e7285c0c6593e16b8ee1745</vt:lpwstr>
  </property>
</Properties>
</file>