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C570B" w14:textId="77777777" w:rsidR="00487993" w:rsidRDefault="00F91D91" w:rsidP="00F91D91">
      <w:pPr>
        <w:pStyle w:val="Title"/>
      </w:pPr>
      <w:r>
        <w:t>Energy Poverty</w:t>
      </w:r>
    </w:p>
    <w:p w14:paraId="0C841FA3" w14:textId="77777777" w:rsidR="00487993" w:rsidRDefault="00487993" w:rsidP="00487993"/>
    <w:p w14:paraId="43BE589A" w14:textId="77777777" w:rsidR="00487993" w:rsidRDefault="00487993" w:rsidP="00487993"/>
    <w:p w14:paraId="7859E21C" w14:textId="77777777" w:rsidR="00487993" w:rsidRDefault="00487993" w:rsidP="00487993"/>
    <w:p w14:paraId="2B444808" w14:textId="0638BCC6" w:rsidR="00487993" w:rsidRDefault="00487993" w:rsidP="00F91D91">
      <w:pPr>
        <w:pStyle w:val="Title"/>
      </w:pPr>
      <w:r>
        <w:t>Paul Ward</w:t>
      </w:r>
    </w:p>
    <w:p w14:paraId="4AB3A051" w14:textId="0294A6BF" w:rsidR="00847D89" w:rsidRDefault="00847D89" w:rsidP="00847D89">
      <w:r w:rsidRPr="00847D89">
        <w:t>paul.ward@tueor.net</w:t>
      </w:r>
    </w:p>
    <w:p w14:paraId="1809CD63" w14:textId="1EC2388C" w:rsidR="00847D89" w:rsidRPr="00847D89" w:rsidRDefault="00847D89" w:rsidP="00847D89">
      <w:r>
        <w:t>+353 85 241 5085</w:t>
      </w:r>
    </w:p>
    <w:p w14:paraId="758C181F" w14:textId="77777777" w:rsidR="00F91D91" w:rsidRDefault="00F91D91" w:rsidP="00F91D91"/>
    <w:p w14:paraId="1A864677" w14:textId="77777777" w:rsidR="00F91D91" w:rsidRPr="00F91D91" w:rsidRDefault="00F91D91" w:rsidP="00F91D91"/>
    <w:p w14:paraId="2C49F79B" w14:textId="77777777" w:rsidR="00487993" w:rsidRDefault="00487993" w:rsidP="00487993">
      <w:pPr>
        <w:sectPr w:rsidR="00487993" w:rsidSect="00A83426">
          <w:headerReference w:type="even" r:id="rId8"/>
          <w:headerReference w:type="default" r:id="rId9"/>
          <w:footerReference w:type="even" r:id="rId10"/>
          <w:footerReference w:type="default" r:id="rId11"/>
          <w:headerReference w:type="first" r:id="rId12"/>
          <w:footerReference w:type="first" r:id="rId13"/>
          <w:pgSz w:w="11906" w:h="16838" w:code="9"/>
          <w:pgMar w:top="1701" w:right="1701" w:bottom="1701" w:left="1701" w:header="567" w:footer="567" w:gutter="0"/>
          <w:cols w:space="708"/>
          <w:docGrid w:linePitch="360"/>
        </w:sectPr>
      </w:pPr>
    </w:p>
    <w:p w14:paraId="2CACCDE0" w14:textId="77777777" w:rsidR="00487993" w:rsidRDefault="00487993" w:rsidP="00487993">
      <w:pPr>
        <w:pStyle w:val="Heading1"/>
      </w:pPr>
      <w:bookmarkStart w:id="0" w:name="_Toc137316921"/>
      <w:r>
        <w:lastRenderedPageBreak/>
        <w:t>Table of Content</w:t>
      </w:r>
      <w:bookmarkEnd w:id="0"/>
    </w:p>
    <w:sdt>
      <w:sdtPr>
        <w:rPr>
          <w:rFonts w:eastAsiaTheme="minorHAnsi" w:cstheme="minorBidi"/>
          <w:b w:val="0"/>
          <w:color w:val="auto"/>
          <w:sz w:val="24"/>
          <w:szCs w:val="22"/>
          <w:lang w:val="en-GB"/>
        </w:rPr>
        <w:id w:val="836343325"/>
        <w:docPartObj>
          <w:docPartGallery w:val="Table of Contents"/>
          <w:docPartUnique/>
        </w:docPartObj>
      </w:sdtPr>
      <w:sdtEndPr>
        <w:rPr>
          <w:bCs/>
          <w:noProof/>
        </w:rPr>
      </w:sdtEndPr>
      <w:sdtContent>
        <w:p w14:paraId="7C62D8AC" w14:textId="77777777" w:rsidR="00487993" w:rsidRDefault="00487993">
          <w:pPr>
            <w:pStyle w:val="TOCHeading"/>
          </w:pPr>
        </w:p>
        <w:p w14:paraId="0C3833D7" w14:textId="0947C1D0" w:rsidR="00E70F21" w:rsidRDefault="00487993">
          <w:pPr>
            <w:pStyle w:val="TOC1"/>
            <w:tabs>
              <w:tab w:val="right" w:pos="8494"/>
            </w:tabs>
            <w:rPr>
              <w:rFonts w:asciiTheme="minorHAnsi" w:eastAsiaTheme="minorEastAsia" w:hAnsiTheme="minorHAnsi"/>
              <w:noProof/>
              <w:color w:val="auto"/>
              <w:kern w:val="2"/>
              <w:sz w:val="22"/>
              <w:lang w:eastAsia="en-GB"/>
              <w14:ligatures w14:val="standardContextual"/>
            </w:rPr>
          </w:pPr>
          <w:r>
            <w:fldChar w:fldCharType="begin"/>
          </w:r>
          <w:r>
            <w:instrText xml:space="preserve"> TOC \o "1-3" \h \z \u </w:instrText>
          </w:r>
          <w:r>
            <w:fldChar w:fldCharType="separate"/>
          </w:r>
          <w:hyperlink w:anchor="_Toc137316921" w:history="1">
            <w:r w:rsidR="00E70F21" w:rsidRPr="00CD4D9D">
              <w:rPr>
                <w:rStyle w:val="Hyperlink"/>
                <w:noProof/>
              </w:rPr>
              <w:t>Table of Content</w:t>
            </w:r>
            <w:r w:rsidR="00E70F21">
              <w:rPr>
                <w:noProof/>
                <w:webHidden/>
              </w:rPr>
              <w:tab/>
            </w:r>
            <w:r w:rsidR="00E70F21">
              <w:rPr>
                <w:noProof/>
                <w:webHidden/>
              </w:rPr>
              <w:fldChar w:fldCharType="begin"/>
            </w:r>
            <w:r w:rsidR="00E70F21">
              <w:rPr>
                <w:noProof/>
                <w:webHidden/>
              </w:rPr>
              <w:instrText xml:space="preserve"> PAGEREF _Toc137316921 \h </w:instrText>
            </w:r>
            <w:r w:rsidR="00E70F21">
              <w:rPr>
                <w:noProof/>
                <w:webHidden/>
              </w:rPr>
            </w:r>
            <w:r w:rsidR="00E70F21">
              <w:rPr>
                <w:noProof/>
                <w:webHidden/>
              </w:rPr>
              <w:fldChar w:fldCharType="separate"/>
            </w:r>
            <w:r w:rsidR="00E70F21">
              <w:rPr>
                <w:noProof/>
                <w:webHidden/>
              </w:rPr>
              <w:t>1</w:t>
            </w:r>
            <w:r w:rsidR="00E70F21">
              <w:rPr>
                <w:noProof/>
                <w:webHidden/>
              </w:rPr>
              <w:fldChar w:fldCharType="end"/>
            </w:r>
          </w:hyperlink>
        </w:p>
        <w:p w14:paraId="63297CFF" w14:textId="6598013B" w:rsidR="00E70F21" w:rsidRDefault="00000000">
          <w:pPr>
            <w:pStyle w:val="TOC1"/>
            <w:tabs>
              <w:tab w:val="right" w:pos="8494"/>
            </w:tabs>
            <w:rPr>
              <w:rFonts w:asciiTheme="minorHAnsi" w:eastAsiaTheme="minorEastAsia" w:hAnsiTheme="minorHAnsi"/>
              <w:noProof/>
              <w:color w:val="auto"/>
              <w:kern w:val="2"/>
              <w:sz w:val="22"/>
              <w:lang w:eastAsia="en-GB"/>
              <w14:ligatures w14:val="standardContextual"/>
            </w:rPr>
          </w:pPr>
          <w:hyperlink w:anchor="_Toc137316922" w:history="1">
            <w:r w:rsidR="00E70F21" w:rsidRPr="00CD4D9D">
              <w:rPr>
                <w:rStyle w:val="Hyperlink"/>
                <w:noProof/>
              </w:rPr>
              <w:t>Abbreviations, Acronyms, Initialisms, or Terms</w:t>
            </w:r>
            <w:r w:rsidR="00E70F21">
              <w:rPr>
                <w:noProof/>
                <w:webHidden/>
              </w:rPr>
              <w:tab/>
            </w:r>
            <w:r w:rsidR="00E70F21">
              <w:rPr>
                <w:noProof/>
                <w:webHidden/>
              </w:rPr>
              <w:fldChar w:fldCharType="begin"/>
            </w:r>
            <w:r w:rsidR="00E70F21">
              <w:rPr>
                <w:noProof/>
                <w:webHidden/>
              </w:rPr>
              <w:instrText xml:space="preserve"> PAGEREF _Toc137316922 \h </w:instrText>
            </w:r>
            <w:r w:rsidR="00E70F21">
              <w:rPr>
                <w:noProof/>
                <w:webHidden/>
              </w:rPr>
            </w:r>
            <w:r w:rsidR="00E70F21">
              <w:rPr>
                <w:noProof/>
                <w:webHidden/>
              </w:rPr>
              <w:fldChar w:fldCharType="separate"/>
            </w:r>
            <w:r w:rsidR="00E70F21">
              <w:rPr>
                <w:noProof/>
                <w:webHidden/>
              </w:rPr>
              <w:t>2</w:t>
            </w:r>
            <w:r w:rsidR="00E70F21">
              <w:rPr>
                <w:noProof/>
                <w:webHidden/>
              </w:rPr>
              <w:fldChar w:fldCharType="end"/>
            </w:r>
          </w:hyperlink>
        </w:p>
        <w:p w14:paraId="49AD1DD3" w14:textId="194C734C" w:rsidR="00E70F21" w:rsidRDefault="00000000">
          <w:pPr>
            <w:pStyle w:val="TOC1"/>
            <w:tabs>
              <w:tab w:val="right" w:pos="8494"/>
            </w:tabs>
            <w:rPr>
              <w:rFonts w:asciiTheme="minorHAnsi" w:eastAsiaTheme="minorEastAsia" w:hAnsiTheme="minorHAnsi"/>
              <w:noProof/>
              <w:color w:val="auto"/>
              <w:kern w:val="2"/>
              <w:sz w:val="22"/>
              <w:lang w:eastAsia="en-GB"/>
              <w14:ligatures w14:val="standardContextual"/>
            </w:rPr>
          </w:pPr>
          <w:hyperlink w:anchor="_Toc137316923" w:history="1">
            <w:r w:rsidR="00E70F21" w:rsidRPr="00CD4D9D">
              <w:rPr>
                <w:rStyle w:val="Hyperlink"/>
                <w:noProof/>
              </w:rPr>
              <w:t>Abstract</w:t>
            </w:r>
            <w:r w:rsidR="00E70F21">
              <w:rPr>
                <w:noProof/>
                <w:webHidden/>
              </w:rPr>
              <w:tab/>
            </w:r>
            <w:r w:rsidR="00E70F21">
              <w:rPr>
                <w:noProof/>
                <w:webHidden/>
              </w:rPr>
              <w:fldChar w:fldCharType="begin"/>
            </w:r>
            <w:r w:rsidR="00E70F21">
              <w:rPr>
                <w:noProof/>
                <w:webHidden/>
              </w:rPr>
              <w:instrText xml:space="preserve"> PAGEREF _Toc137316923 \h </w:instrText>
            </w:r>
            <w:r w:rsidR="00E70F21">
              <w:rPr>
                <w:noProof/>
                <w:webHidden/>
              </w:rPr>
            </w:r>
            <w:r w:rsidR="00E70F21">
              <w:rPr>
                <w:noProof/>
                <w:webHidden/>
              </w:rPr>
              <w:fldChar w:fldCharType="separate"/>
            </w:r>
            <w:r w:rsidR="00E70F21">
              <w:rPr>
                <w:noProof/>
                <w:webHidden/>
              </w:rPr>
              <w:t>3</w:t>
            </w:r>
            <w:r w:rsidR="00E70F21">
              <w:rPr>
                <w:noProof/>
                <w:webHidden/>
              </w:rPr>
              <w:fldChar w:fldCharType="end"/>
            </w:r>
          </w:hyperlink>
        </w:p>
        <w:p w14:paraId="115E03AB" w14:textId="30FD565E" w:rsidR="00E70F21" w:rsidRDefault="00000000">
          <w:pPr>
            <w:pStyle w:val="TOC1"/>
            <w:tabs>
              <w:tab w:val="right" w:pos="8494"/>
            </w:tabs>
            <w:rPr>
              <w:rFonts w:asciiTheme="minorHAnsi" w:eastAsiaTheme="minorEastAsia" w:hAnsiTheme="minorHAnsi"/>
              <w:noProof/>
              <w:color w:val="auto"/>
              <w:kern w:val="2"/>
              <w:sz w:val="22"/>
              <w:lang w:eastAsia="en-GB"/>
              <w14:ligatures w14:val="standardContextual"/>
            </w:rPr>
          </w:pPr>
          <w:hyperlink w:anchor="_Toc137316924" w:history="1">
            <w:r w:rsidR="00E70F21" w:rsidRPr="00CD4D9D">
              <w:rPr>
                <w:rStyle w:val="Hyperlink"/>
                <w:noProof/>
              </w:rPr>
              <w:t>Introduction</w:t>
            </w:r>
            <w:r w:rsidR="00E70F21">
              <w:rPr>
                <w:noProof/>
                <w:webHidden/>
              </w:rPr>
              <w:tab/>
            </w:r>
            <w:r w:rsidR="00E70F21">
              <w:rPr>
                <w:noProof/>
                <w:webHidden/>
              </w:rPr>
              <w:fldChar w:fldCharType="begin"/>
            </w:r>
            <w:r w:rsidR="00E70F21">
              <w:rPr>
                <w:noProof/>
                <w:webHidden/>
              </w:rPr>
              <w:instrText xml:space="preserve"> PAGEREF _Toc137316924 \h </w:instrText>
            </w:r>
            <w:r w:rsidR="00E70F21">
              <w:rPr>
                <w:noProof/>
                <w:webHidden/>
              </w:rPr>
            </w:r>
            <w:r w:rsidR="00E70F21">
              <w:rPr>
                <w:noProof/>
                <w:webHidden/>
              </w:rPr>
              <w:fldChar w:fldCharType="separate"/>
            </w:r>
            <w:r w:rsidR="00E70F21">
              <w:rPr>
                <w:noProof/>
                <w:webHidden/>
              </w:rPr>
              <w:t>4</w:t>
            </w:r>
            <w:r w:rsidR="00E70F21">
              <w:rPr>
                <w:noProof/>
                <w:webHidden/>
              </w:rPr>
              <w:fldChar w:fldCharType="end"/>
            </w:r>
          </w:hyperlink>
        </w:p>
        <w:p w14:paraId="5EBF6CB1" w14:textId="2EAC3190" w:rsidR="00E70F21" w:rsidRDefault="00000000">
          <w:pPr>
            <w:pStyle w:val="TOC1"/>
            <w:tabs>
              <w:tab w:val="right" w:pos="8494"/>
            </w:tabs>
            <w:rPr>
              <w:rFonts w:asciiTheme="minorHAnsi" w:eastAsiaTheme="minorEastAsia" w:hAnsiTheme="minorHAnsi"/>
              <w:noProof/>
              <w:color w:val="auto"/>
              <w:kern w:val="2"/>
              <w:sz w:val="22"/>
              <w:lang w:eastAsia="en-GB"/>
              <w14:ligatures w14:val="standardContextual"/>
            </w:rPr>
          </w:pPr>
          <w:hyperlink w:anchor="_Toc137316925" w:history="1">
            <w:r w:rsidR="00E70F21" w:rsidRPr="00CD4D9D">
              <w:rPr>
                <w:rStyle w:val="Hyperlink"/>
                <w:noProof/>
              </w:rPr>
              <w:t>Background</w:t>
            </w:r>
            <w:r w:rsidR="00E70F21">
              <w:rPr>
                <w:noProof/>
                <w:webHidden/>
              </w:rPr>
              <w:tab/>
            </w:r>
            <w:r w:rsidR="00E70F21">
              <w:rPr>
                <w:noProof/>
                <w:webHidden/>
              </w:rPr>
              <w:fldChar w:fldCharType="begin"/>
            </w:r>
            <w:r w:rsidR="00E70F21">
              <w:rPr>
                <w:noProof/>
                <w:webHidden/>
              </w:rPr>
              <w:instrText xml:space="preserve"> PAGEREF _Toc137316925 \h </w:instrText>
            </w:r>
            <w:r w:rsidR="00E70F21">
              <w:rPr>
                <w:noProof/>
                <w:webHidden/>
              </w:rPr>
            </w:r>
            <w:r w:rsidR="00E70F21">
              <w:rPr>
                <w:noProof/>
                <w:webHidden/>
              </w:rPr>
              <w:fldChar w:fldCharType="separate"/>
            </w:r>
            <w:r w:rsidR="00E70F21">
              <w:rPr>
                <w:noProof/>
                <w:webHidden/>
              </w:rPr>
              <w:t>5</w:t>
            </w:r>
            <w:r w:rsidR="00E70F21">
              <w:rPr>
                <w:noProof/>
                <w:webHidden/>
              </w:rPr>
              <w:fldChar w:fldCharType="end"/>
            </w:r>
          </w:hyperlink>
        </w:p>
        <w:p w14:paraId="70B9BDA1" w14:textId="79A53118" w:rsidR="00E70F21" w:rsidRDefault="00000000">
          <w:pPr>
            <w:pStyle w:val="TOC1"/>
            <w:tabs>
              <w:tab w:val="right" w:pos="8494"/>
            </w:tabs>
            <w:rPr>
              <w:rFonts w:asciiTheme="minorHAnsi" w:eastAsiaTheme="minorEastAsia" w:hAnsiTheme="minorHAnsi"/>
              <w:noProof/>
              <w:color w:val="auto"/>
              <w:kern w:val="2"/>
              <w:sz w:val="22"/>
              <w:lang w:eastAsia="en-GB"/>
              <w14:ligatures w14:val="standardContextual"/>
            </w:rPr>
          </w:pPr>
          <w:hyperlink w:anchor="_Toc137316926" w:history="1">
            <w:r w:rsidR="00E70F21" w:rsidRPr="00CD4D9D">
              <w:rPr>
                <w:rStyle w:val="Hyperlink"/>
                <w:noProof/>
              </w:rPr>
              <w:t>Method</w:t>
            </w:r>
            <w:r w:rsidR="00E70F21">
              <w:rPr>
                <w:noProof/>
                <w:webHidden/>
              </w:rPr>
              <w:tab/>
            </w:r>
            <w:r w:rsidR="00E70F21">
              <w:rPr>
                <w:noProof/>
                <w:webHidden/>
              </w:rPr>
              <w:fldChar w:fldCharType="begin"/>
            </w:r>
            <w:r w:rsidR="00E70F21">
              <w:rPr>
                <w:noProof/>
                <w:webHidden/>
              </w:rPr>
              <w:instrText xml:space="preserve"> PAGEREF _Toc137316926 \h </w:instrText>
            </w:r>
            <w:r w:rsidR="00E70F21">
              <w:rPr>
                <w:noProof/>
                <w:webHidden/>
              </w:rPr>
            </w:r>
            <w:r w:rsidR="00E70F21">
              <w:rPr>
                <w:noProof/>
                <w:webHidden/>
              </w:rPr>
              <w:fldChar w:fldCharType="separate"/>
            </w:r>
            <w:r w:rsidR="00E70F21">
              <w:rPr>
                <w:noProof/>
                <w:webHidden/>
              </w:rPr>
              <w:t>6</w:t>
            </w:r>
            <w:r w:rsidR="00E70F21">
              <w:rPr>
                <w:noProof/>
                <w:webHidden/>
              </w:rPr>
              <w:fldChar w:fldCharType="end"/>
            </w:r>
          </w:hyperlink>
        </w:p>
        <w:p w14:paraId="20ACC8F2" w14:textId="6DF6280B" w:rsidR="00E70F21" w:rsidRDefault="00000000">
          <w:pPr>
            <w:pStyle w:val="TOC1"/>
            <w:tabs>
              <w:tab w:val="right" w:pos="8494"/>
            </w:tabs>
            <w:rPr>
              <w:rFonts w:asciiTheme="minorHAnsi" w:eastAsiaTheme="minorEastAsia" w:hAnsiTheme="minorHAnsi"/>
              <w:noProof/>
              <w:color w:val="auto"/>
              <w:kern w:val="2"/>
              <w:sz w:val="22"/>
              <w:lang w:eastAsia="en-GB"/>
              <w14:ligatures w14:val="standardContextual"/>
            </w:rPr>
          </w:pPr>
          <w:hyperlink w:anchor="_Toc137316927" w:history="1">
            <w:r w:rsidR="00E70F21" w:rsidRPr="00CD4D9D">
              <w:rPr>
                <w:rStyle w:val="Hyperlink"/>
                <w:noProof/>
              </w:rPr>
              <w:t>Analysis and Discussion</w:t>
            </w:r>
            <w:r w:rsidR="00E70F21">
              <w:rPr>
                <w:noProof/>
                <w:webHidden/>
              </w:rPr>
              <w:tab/>
            </w:r>
            <w:r w:rsidR="00E70F21">
              <w:rPr>
                <w:noProof/>
                <w:webHidden/>
              </w:rPr>
              <w:fldChar w:fldCharType="begin"/>
            </w:r>
            <w:r w:rsidR="00E70F21">
              <w:rPr>
                <w:noProof/>
                <w:webHidden/>
              </w:rPr>
              <w:instrText xml:space="preserve"> PAGEREF _Toc137316927 \h </w:instrText>
            </w:r>
            <w:r w:rsidR="00E70F21">
              <w:rPr>
                <w:noProof/>
                <w:webHidden/>
              </w:rPr>
            </w:r>
            <w:r w:rsidR="00E70F21">
              <w:rPr>
                <w:noProof/>
                <w:webHidden/>
              </w:rPr>
              <w:fldChar w:fldCharType="separate"/>
            </w:r>
            <w:r w:rsidR="00E70F21">
              <w:rPr>
                <w:noProof/>
                <w:webHidden/>
              </w:rPr>
              <w:t>7</w:t>
            </w:r>
            <w:r w:rsidR="00E70F21">
              <w:rPr>
                <w:noProof/>
                <w:webHidden/>
              </w:rPr>
              <w:fldChar w:fldCharType="end"/>
            </w:r>
          </w:hyperlink>
        </w:p>
        <w:p w14:paraId="1FA59E58" w14:textId="0321E587" w:rsidR="00E70F21" w:rsidRDefault="00000000">
          <w:pPr>
            <w:pStyle w:val="TOC1"/>
            <w:tabs>
              <w:tab w:val="right" w:pos="8494"/>
            </w:tabs>
            <w:rPr>
              <w:rFonts w:asciiTheme="minorHAnsi" w:eastAsiaTheme="minorEastAsia" w:hAnsiTheme="minorHAnsi"/>
              <w:noProof/>
              <w:color w:val="auto"/>
              <w:kern w:val="2"/>
              <w:sz w:val="22"/>
              <w:lang w:eastAsia="en-GB"/>
              <w14:ligatures w14:val="standardContextual"/>
            </w:rPr>
          </w:pPr>
          <w:hyperlink w:anchor="_Toc137316928" w:history="1">
            <w:r w:rsidR="00E70F21" w:rsidRPr="00CD4D9D">
              <w:rPr>
                <w:rStyle w:val="Hyperlink"/>
                <w:noProof/>
              </w:rPr>
              <w:t>Recommendations</w:t>
            </w:r>
            <w:r w:rsidR="00E70F21">
              <w:rPr>
                <w:noProof/>
                <w:webHidden/>
              </w:rPr>
              <w:tab/>
            </w:r>
            <w:r w:rsidR="00E70F21">
              <w:rPr>
                <w:noProof/>
                <w:webHidden/>
              </w:rPr>
              <w:fldChar w:fldCharType="begin"/>
            </w:r>
            <w:r w:rsidR="00E70F21">
              <w:rPr>
                <w:noProof/>
                <w:webHidden/>
              </w:rPr>
              <w:instrText xml:space="preserve"> PAGEREF _Toc137316928 \h </w:instrText>
            </w:r>
            <w:r w:rsidR="00E70F21">
              <w:rPr>
                <w:noProof/>
                <w:webHidden/>
              </w:rPr>
            </w:r>
            <w:r w:rsidR="00E70F21">
              <w:rPr>
                <w:noProof/>
                <w:webHidden/>
              </w:rPr>
              <w:fldChar w:fldCharType="separate"/>
            </w:r>
            <w:r w:rsidR="00E70F21">
              <w:rPr>
                <w:noProof/>
                <w:webHidden/>
              </w:rPr>
              <w:t>10</w:t>
            </w:r>
            <w:r w:rsidR="00E70F21">
              <w:rPr>
                <w:noProof/>
                <w:webHidden/>
              </w:rPr>
              <w:fldChar w:fldCharType="end"/>
            </w:r>
          </w:hyperlink>
        </w:p>
        <w:p w14:paraId="2FB852D0" w14:textId="03BEA033" w:rsidR="00E70F21" w:rsidRDefault="00000000">
          <w:pPr>
            <w:pStyle w:val="TOC1"/>
            <w:tabs>
              <w:tab w:val="right" w:pos="8494"/>
            </w:tabs>
            <w:rPr>
              <w:rFonts w:asciiTheme="minorHAnsi" w:eastAsiaTheme="minorEastAsia" w:hAnsiTheme="minorHAnsi"/>
              <w:noProof/>
              <w:color w:val="auto"/>
              <w:kern w:val="2"/>
              <w:sz w:val="22"/>
              <w:lang w:eastAsia="en-GB"/>
              <w14:ligatures w14:val="standardContextual"/>
            </w:rPr>
          </w:pPr>
          <w:hyperlink w:anchor="_Toc137316929" w:history="1">
            <w:r w:rsidR="00E70F21" w:rsidRPr="00CD4D9D">
              <w:rPr>
                <w:rStyle w:val="Hyperlink"/>
                <w:noProof/>
              </w:rPr>
              <w:t>Conclusion</w:t>
            </w:r>
            <w:r w:rsidR="00E70F21">
              <w:rPr>
                <w:noProof/>
                <w:webHidden/>
              </w:rPr>
              <w:tab/>
            </w:r>
            <w:r w:rsidR="00E70F21">
              <w:rPr>
                <w:noProof/>
                <w:webHidden/>
              </w:rPr>
              <w:fldChar w:fldCharType="begin"/>
            </w:r>
            <w:r w:rsidR="00E70F21">
              <w:rPr>
                <w:noProof/>
                <w:webHidden/>
              </w:rPr>
              <w:instrText xml:space="preserve"> PAGEREF _Toc137316929 \h </w:instrText>
            </w:r>
            <w:r w:rsidR="00E70F21">
              <w:rPr>
                <w:noProof/>
                <w:webHidden/>
              </w:rPr>
            </w:r>
            <w:r w:rsidR="00E70F21">
              <w:rPr>
                <w:noProof/>
                <w:webHidden/>
              </w:rPr>
              <w:fldChar w:fldCharType="separate"/>
            </w:r>
            <w:r w:rsidR="00E70F21">
              <w:rPr>
                <w:noProof/>
                <w:webHidden/>
              </w:rPr>
              <w:t>11</w:t>
            </w:r>
            <w:r w:rsidR="00E70F21">
              <w:rPr>
                <w:noProof/>
                <w:webHidden/>
              </w:rPr>
              <w:fldChar w:fldCharType="end"/>
            </w:r>
          </w:hyperlink>
        </w:p>
        <w:p w14:paraId="4D4DBBEB" w14:textId="54A49548" w:rsidR="00E70F21" w:rsidRDefault="00000000">
          <w:pPr>
            <w:pStyle w:val="TOC1"/>
            <w:tabs>
              <w:tab w:val="right" w:pos="8494"/>
            </w:tabs>
            <w:rPr>
              <w:rFonts w:asciiTheme="minorHAnsi" w:eastAsiaTheme="minorEastAsia" w:hAnsiTheme="minorHAnsi"/>
              <w:noProof/>
              <w:color w:val="auto"/>
              <w:kern w:val="2"/>
              <w:sz w:val="22"/>
              <w:lang w:eastAsia="en-GB"/>
              <w14:ligatures w14:val="standardContextual"/>
            </w:rPr>
          </w:pPr>
          <w:hyperlink w:anchor="_Toc137316930" w:history="1">
            <w:r w:rsidR="00E70F21" w:rsidRPr="00CD4D9D">
              <w:rPr>
                <w:rStyle w:val="Hyperlink"/>
                <w:noProof/>
              </w:rPr>
              <w:t>Bibliography</w:t>
            </w:r>
            <w:r w:rsidR="00E70F21">
              <w:rPr>
                <w:noProof/>
                <w:webHidden/>
              </w:rPr>
              <w:tab/>
            </w:r>
            <w:r w:rsidR="00E70F21">
              <w:rPr>
                <w:noProof/>
                <w:webHidden/>
              </w:rPr>
              <w:fldChar w:fldCharType="begin"/>
            </w:r>
            <w:r w:rsidR="00E70F21">
              <w:rPr>
                <w:noProof/>
                <w:webHidden/>
              </w:rPr>
              <w:instrText xml:space="preserve"> PAGEREF _Toc137316930 \h </w:instrText>
            </w:r>
            <w:r w:rsidR="00E70F21">
              <w:rPr>
                <w:noProof/>
                <w:webHidden/>
              </w:rPr>
            </w:r>
            <w:r w:rsidR="00E70F21">
              <w:rPr>
                <w:noProof/>
                <w:webHidden/>
              </w:rPr>
              <w:fldChar w:fldCharType="separate"/>
            </w:r>
            <w:r w:rsidR="00E70F21">
              <w:rPr>
                <w:noProof/>
                <w:webHidden/>
              </w:rPr>
              <w:t>12</w:t>
            </w:r>
            <w:r w:rsidR="00E70F21">
              <w:rPr>
                <w:noProof/>
                <w:webHidden/>
              </w:rPr>
              <w:fldChar w:fldCharType="end"/>
            </w:r>
          </w:hyperlink>
        </w:p>
        <w:p w14:paraId="47A73C5F" w14:textId="3A2F15B7" w:rsidR="00487993" w:rsidRDefault="00487993">
          <w:r>
            <w:rPr>
              <w:b/>
              <w:bCs/>
              <w:noProof/>
            </w:rPr>
            <w:fldChar w:fldCharType="end"/>
          </w:r>
        </w:p>
      </w:sdtContent>
    </w:sdt>
    <w:p w14:paraId="75C3EF3C" w14:textId="77777777" w:rsidR="00487993" w:rsidRDefault="00487993" w:rsidP="00487993"/>
    <w:p w14:paraId="78BDD21F" w14:textId="77777777" w:rsidR="00487993" w:rsidRDefault="00487993" w:rsidP="00487993"/>
    <w:p w14:paraId="2532DCE2" w14:textId="77777777" w:rsidR="00487993" w:rsidRDefault="00487993">
      <w:pPr>
        <w:tabs>
          <w:tab w:val="clear" w:pos="567"/>
        </w:tabs>
        <w:spacing w:after="160" w:line="259" w:lineRule="auto"/>
      </w:pPr>
      <w:r>
        <w:br w:type="page"/>
      </w:r>
    </w:p>
    <w:p w14:paraId="1DC686B2" w14:textId="77777777" w:rsidR="00E70F21" w:rsidRDefault="00E70F21" w:rsidP="00E70F21">
      <w:pPr>
        <w:pStyle w:val="Heading1"/>
      </w:pPr>
      <w:bookmarkStart w:id="1" w:name="_Toc136648207"/>
      <w:bookmarkStart w:id="2" w:name="_Toc137316922"/>
      <w:r>
        <w:lastRenderedPageBreak/>
        <w:t>Abbreviations, Acronyms, Initialisms, or Terms</w:t>
      </w:r>
      <w:bookmarkEnd w:id="1"/>
      <w:bookmarkEnd w:id="2"/>
    </w:p>
    <w:tbl>
      <w:tblPr>
        <w:tblStyle w:val="TableGrid"/>
        <w:tblW w:w="8504" w:type="dxa"/>
        <w:jc w:val="center"/>
        <w:tblLook w:val="04A0" w:firstRow="1" w:lastRow="0" w:firstColumn="1" w:lastColumn="0" w:noHBand="0" w:noVBand="1"/>
      </w:tblPr>
      <w:tblGrid>
        <w:gridCol w:w="2972"/>
        <w:gridCol w:w="5532"/>
      </w:tblGrid>
      <w:tr w:rsidR="00E70F21" w:rsidRPr="00D97EA2" w14:paraId="3DC9FB13" w14:textId="77777777" w:rsidTr="00E75451">
        <w:trPr>
          <w:trHeight w:val="850"/>
          <w:jc w:val="center"/>
        </w:trPr>
        <w:tc>
          <w:tcPr>
            <w:tcW w:w="2972" w:type="dxa"/>
            <w:shd w:val="clear" w:color="auto" w:fill="D9D9D9" w:themeFill="background1" w:themeFillShade="D9"/>
          </w:tcPr>
          <w:p w14:paraId="642A22BE" w14:textId="2D2BF19D" w:rsidR="00E70F21" w:rsidRPr="00D97EA2" w:rsidRDefault="00E70F21" w:rsidP="00E75451">
            <w:pPr>
              <w:pStyle w:val="TableText"/>
              <w:rPr>
                <w:b/>
                <w:bCs/>
              </w:rPr>
            </w:pPr>
            <w:r w:rsidRPr="00D97EA2">
              <w:rPr>
                <w:b/>
                <w:bCs/>
              </w:rPr>
              <w:t>Abbreviation, Acronym,</w:t>
            </w:r>
            <w:r>
              <w:rPr>
                <w:b/>
                <w:bCs/>
              </w:rPr>
              <w:t xml:space="preserve"> </w:t>
            </w:r>
            <w:r w:rsidRPr="00D97EA2">
              <w:rPr>
                <w:b/>
                <w:bCs/>
              </w:rPr>
              <w:t>Initialism</w:t>
            </w:r>
            <w:r>
              <w:rPr>
                <w:b/>
                <w:bCs/>
              </w:rPr>
              <w:t>, or Term</w:t>
            </w:r>
          </w:p>
        </w:tc>
        <w:tc>
          <w:tcPr>
            <w:tcW w:w="5532" w:type="dxa"/>
            <w:shd w:val="clear" w:color="auto" w:fill="D9D9D9" w:themeFill="background1" w:themeFillShade="D9"/>
          </w:tcPr>
          <w:p w14:paraId="3F83C930" w14:textId="77777777" w:rsidR="00E70F21" w:rsidRPr="00D97EA2" w:rsidRDefault="00E70F21" w:rsidP="00E75451">
            <w:pPr>
              <w:pStyle w:val="TableText"/>
              <w:rPr>
                <w:b/>
                <w:bCs/>
              </w:rPr>
            </w:pPr>
            <w:r>
              <w:rPr>
                <w:b/>
                <w:bCs/>
              </w:rPr>
              <w:t>Definition</w:t>
            </w:r>
          </w:p>
        </w:tc>
      </w:tr>
      <w:tr w:rsidR="00E70F21" w14:paraId="00FF5B9C" w14:textId="77777777" w:rsidTr="00E75451">
        <w:trPr>
          <w:trHeight w:val="567"/>
          <w:jc w:val="center"/>
        </w:trPr>
        <w:tc>
          <w:tcPr>
            <w:tcW w:w="2972" w:type="dxa"/>
          </w:tcPr>
          <w:p w14:paraId="08B1CA11" w14:textId="37D0CC1A" w:rsidR="00E70F21" w:rsidRDefault="00C30AA3" w:rsidP="00711BCD">
            <w:pPr>
              <w:pStyle w:val="TableText"/>
            </w:pPr>
            <w:r>
              <w:t>NSW</w:t>
            </w:r>
          </w:p>
        </w:tc>
        <w:tc>
          <w:tcPr>
            <w:tcW w:w="5532" w:type="dxa"/>
          </w:tcPr>
          <w:p w14:paraId="27A1B090" w14:textId="4D54586A" w:rsidR="00E70F21" w:rsidRPr="00A5007A" w:rsidRDefault="00C30AA3" w:rsidP="00711BCD">
            <w:pPr>
              <w:pStyle w:val="TableText"/>
              <w:rPr>
                <w:vertAlign w:val="subscript"/>
              </w:rPr>
            </w:pPr>
            <w:r>
              <w:t>New South Wales</w:t>
            </w:r>
          </w:p>
        </w:tc>
      </w:tr>
      <w:tr w:rsidR="00E70F21" w14:paraId="5ABAEEEE" w14:textId="77777777" w:rsidTr="00E75451">
        <w:trPr>
          <w:trHeight w:val="567"/>
          <w:jc w:val="center"/>
        </w:trPr>
        <w:tc>
          <w:tcPr>
            <w:tcW w:w="2972" w:type="dxa"/>
          </w:tcPr>
          <w:p w14:paraId="5F6A143C" w14:textId="388083B1" w:rsidR="00E70F21" w:rsidRDefault="00FC7318" w:rsidP="00711BCD">
            <w:pPr>
              <w:pStyle w:val="TableText"/>
            </w:pPr>
            <w:r>
              <w:t>CPI</w:t>
            </w:r>
          </w:p>
        </w:tc>
        <w:tc>
          <w:tcPr>
            <w:tcW w:w="5532" w:type="dxa"/>
          </w:tcPr>
          <w:p w14:paraId="03973438" w14:textId="05701920" w:rsidR="00E70F21" w:rsidRDefault="00FC7318" w:rsidP="00711BCD">
            <w:pPr>
              <w:pStyle w:val="TableText"/>
            </w:pPr>
            <w:r>
              <w:t>Consumer Price Index</w:t>
            </w:r>
          </w:p>
        </w:tc>
      </w:tr>
      <w:tr w:rsidR="00E70F21" w14:paraId="5F6053D3" w14:textId="77777777" w:rsidTr="00E75451">
        <w:trPr>
          <w:trHeight w:val="567"/>
          <w:jc w:val="center"/>
        </w:trPr>
        <w:tc>
          <w:tcPr>
            <w:tcW w:w="2972" w:type="dxa"/>
          </w:tcPr>
          <w:p w14:paraId="506D0F34" w14:textId="36BD07BE" w:rsidR="00E70F21" w:rsidRDefault="00370FEE" w:rsidP="00711BCD">
            <w:pPr>
              <w:pStyle w:val="TableText"/>
              <w:rPr>
                <w:vertAlign w:val="superscript"/>
              </w:rPr>
            </w:pPr>
            <w:r>
              <w:t>LIH</w:t>
            </w:r>
          </w:p>
        </w:tc>
        <w:tc>
          <w:tcPr>
            <w:tcW w:w="5532" w:type="dxa"/>
          </w:tcPr>
          <w:p w14:paraId="02ED2991" w14:textId="732D9514" w:rsidR="00E70F21" w:rsidRDefault="00E31791" w:rsidP="00711BCD">
            <w:pPr>
              <w:pStyle w:val="TableText"/>
            </w:pPr>
            <w:r>
              <w:t>low-income household</w:t>
            </w:r>
            <w:r w:rsidR="00370FEE">
              <w:t>s</w:t>
            </w:r>
          </w:p>
        </w:tc>
      </w:tr>
      <w:tr w:rsidR="00E70F21" w14:paraId="724B9D7B" w14:textId="77777777" w:rsidTr="00E75451">
        <w:trPr>
          <w:trHeight w:val="567"/>
          <w:jc w:val="center"/>
        </w:trPr>
        <w:tc>
          <w:tcPr>
            <w:tcW w:w="2972" w:type="dxa"/>
          </w:tcPr>
          <w:p w14:paraId="0D7CAFAE" w14:textId="11108083" w:rsidR="00E70F21" w:rsidRDefault="00CF2E2B" w:rsidP="00711BCD">
            <w:pPr>
              <w:pStyle w:val="TableText"/>
            </w:pPr>
            <w:r>
              <w:t>HIH</w:t>
            </w:r>
          </w:p>
        </w:tc>
        <w:tc>
          <w:tcPr>
            <w:tcW w:w="5532" w:type="dxa"/>
          </w:tcPr>
          <w:p w14:paraId="036C7185" w14:textId="274B5BE1" w:rsidR="00E70F21" w:rsidRDefault="00CF2E2B" w:rsidP="00711BCD">
            <w:pPr>
              <w:pStyle w:val="TableText"/>
            </w:pPr>
            <w:r>
              <w:t>High</w:t>
            </w:r>
            <w:r w:rsidR="00663439">
              <w:t>-income household</w:t>
            </w:r>
            <w:r>
              <w:t>s</w:t>
            </w:r>
          </w:p>
        </w:tc>
      </w:tr>
      <w:tr w:rsidR="00E70F21" w14:paraId="4DADBE99" w14:textId="77777777" w:rsidTr="00E75451">
        <w:trPr>
          <w:trHeight w:val="567"/>
          <w:jc w:val="center"/>
        </w:trPr>
        <w:tc>
          <w:tcPr>
            <w:tcW w:w="2972" w:type="dxa"/>
          </w:tcPr>
          <w:p w14:paraId="59E5714A" w14:textId="29A0E765" w:rsidR="00E70F21" w:rsidRDefault="005A4BDD" w:rsidP="00711BCD">
            <w:pPr>
              <w:pStyle w:val="TableText"/>
            </w:pPr>
            <w:r>
              <w:t>AER</w:t>
            </w:r>
          </w:p>
        </w:tc>
        <w:tc>
          <w:tcPr>
            <w:tcW w:w="5532" w:type="dxa"/>
          </w:tcPr>
          <w:p w14:paraId="52381C97" w14:textId="47AC6DBC" w:rsidR="00E70F21" w:rsidRDefault="005A4BDD" w:rsidP="00711BCD">
            <w:pPr>
              <w:pStyle w:val="TableText"/>
            </w:pPr>
            <w:r>
              <w:t>Australian Energy Regulator</w:t>
            </w:r>
          </w:p>
        </w:tc>
      </w:tr>
      <w:tr w:rsidR="00E70F21" w14:paraId="5D9A7DC2" w14:textId="77777777" w:rsidTr="00E75451">
        <w:trPr>
          <w:trHeight w:val="567"/>
          <w:jc w:val="center"/>
        </w:trPr>
        <w:tc>
          <w:tcPr>
            <w:tcW w:w="2972" w:type="dxa"/>
          </w:tcPr>
          <w:p w14:paraId="1D75C315" w14:textId="684463ED" w:rsidR="00E70F21" w:rsidRDefault="00A20A1E" w:rsidP="00711BCD">
            <w:pPr>
              <w:pStyle w:val="TableText"/>
            </w:pPr>
            <w:r>
              <w:t>ABS</w:t>
            </w:r>
          </w:p>
        </w:tc>
        <w:tc>
          <w:tcPr>
            <w:tcW w:w="5532" w:type="dxa"/>
          </w:tcPr>
          <w:p w14:paraId="49C9CBC1" w14:textId="75D281F9" w:rsidR="00E70F21" w:rsidRDefault="00A20A1E" w:rsidP="00711BCD">
            <w:pPr>
              <w:pStyle w:val="TableText"/>
            </w:pPr>
            <w:r>
              <w:t>Australian Bureau of Statistics</w:t>
            </w:r>
          </w:p>
        </w:tc>
      </w:tr>
      <w:tr w:rsidR="00E70F21" w14:paraId="2A8E60E7" w14:textId="77777777" w:rsidTr="00E75451">
        <w:trPr>
          <w:trHeight w:val="567"/>
          <w:jc w:val="center"/>
        </w:trPr>
        <w:tc>
          <w:tcPr>
            <w:tcW w:w="2972" w:type="dxa"/>
          </w:tcPr>
          <w:p w14:paraId="0AD762BB" w14:textId="23ABADA7" w:rsidR="00E70F21" w:rsidRDefault="00CB21AA" w:rsidP="00711BCD">
            <w:pPr>
              <w:pStyle w:val="TableText"/>
            </w:pPr>
            <w:r>
              <w:t>EPI</w:t>
            </w:r>
          </w:p>
        </w:tc>
        <w:tc>
          <w:tcPr>
            <w:tcW w:w="5532" w:type="dxa"/>
          </w:tcPr>
          <w:p w14:paraId="03F35EF4" w14:textId="44F9582F" w:rsidR="00E70F21" w:rsidRDefault="00711BCD" w:rsidP="00711BCD">
            <w:pPr>
              <w:pStyle w:val="TableText"/>
            </w:pPr>
            <w:r>
              <w:t>Electrical Price Index</w:t>
            </w:r>
          </w:p>
        </w:tc>
      </w:tr>
      <w:tr w:rsidR="00E70F21" w14:paraId="36EC353F" w14:textId="77777777" w:rsidTr="00E75451">
        <w:trPr>
          <w:trHeight w:val="567"/>
          <w:jc w:val="center"/>
        </w:trPr>
        <w:tc>
          <w:tcPr>
            <w:tcW w:w="2972" w:type="dxa"/>
          </w:tcPr>
          <w:p w14:paraId="3328427A" w14:textId="6D6FFFC0" w:rsidR="00E70F21" w:rsidRDefault="00CB21AA" w:rsidP="00711BCD">
            <w:pPr>
              <w:pStyle w:val="TableText"/>
            </w:pPr>
            <w:r>
              <w:t>CPI</w:t>
            </w:r>
          </w:p>
        </w:tc>
        <w:tc>
          <w:tcPr>
            <w:tcW w:w="5532" w:type="dxa"/>
          </w:tcPr>
          <w:p w14:paraId="2A8B23E1" w14:textId="6EE896CC" w:rsidR="00E70F21" w:rsidRDefault="00711BCD" w:rsidP="00711BCD">
            <w:pPr>
              <w:pStyle w:val="TableText"/>
            </w:pPr>
            <w:r>
              <w:t>Consumer Price Index</w:t>
            </w:r>
          </w:p>
        </w:tc>
      </w:tr>
      <w:tr w:rsidR="00E70F21" w14:paraId="7091722D" w14:textId="77777777" w:rsidTr="00E75451">
        <w:trPr>
          <w:trHeight w:val="567"/>
          <w:jc w:val="center"/>
        </w:trPr>
        <w:tc>
          <w:tcPr>
            <w:tcW w:w="2972" w:type="dxa"/>
          </w:tcPr>
          <w:p w14:paraId="1EC388CE" w14:textId="06917EAA" w:rsidR="00E70F21" w:rsidRDefault="00711BCD" w:rsidP="00711BCD">
            <w:pPr>
              <w:pStyle w:val="TableText"/>
            </w:pPr>
            <w:r>
              <w:t>NEM</w:t>
            </w:r>
          </w:p>
        </w:tc>
        <w:tc>
          <w:tcPr>
            <w:tcW w:w="5532" w:type="dxa"/>
          </w:tcPr>
          <w:p w14:paraId="4E641549" w14:textId="38A7622A" w:rsidR="00E70F21" w:rsidRDefault="00711BCD" w:rsidP="00711BCD">
            <w:pPr>
              <w:pStyle w:val="TableText"/>
            </w:pPr>
            <w:r>
              <w:t>National Energy Market</w:t>
            </w:r>
          </w:p>
        </w:tc>
      </w:tr>
      <w:tr w:rsidR="00E70F21" w14:paraId="1DDB96B9" w14:textId="77777777" w:rsidTr="00E75451">
        <w:trPr>
          <w:trHeight w:val="567"/>
          <w:jc w:val="center"/>
        </w:trPr>
        <w:tc>
          <w:tcPr>
            <w:tcW w:w="2972" w:type="dxa"/>
          </w:tcPr>
          <w:p w14:paraId="16D60E54" w14:textId="2DC8072B" w:rsidR="00E70F21" w:rsidRDefault="00625262" w:rsidP="00711BCD">
            <w:pPr>
              <w:pStyle w:val="TableText"/>
            </w:pPr>
            <w:r>
              <w:t>EP</w:t>
            </w:r>
          </w:p>
        </w:tc>
        <w:tc>
          <w:tcPr>
            <w:tcW w:w="5532" w:type="dxa"/>
          </w:tcPr>
          <w:p w14:paraId="2CF0683C" w14:textId="022E84BB" w:rsidR="00E70F21" w:rsidRDefault="00532CFC" w:rsidP="00711BCD">
            <w:pPr>
              <w:pStyle w:val="TableText"/>
            </w:pPr>
            <w:r>
              <w:t>Energy Poverty</w:t>
            </w:r>
          </w:p>
        </w:tc>
      </w:tr>
      <w:tr w:rsidR="00E70F21" w14:paraId="2F0E69A8" w14:textId="77777777" w:rsidTr="00E75451">
        <w:trPr>
          <w:trHeight w:val="567"/>
          <w:jc w:val="center"/>
        </w:trPr>
        <w:tc>
          <w:tcPr>
            <w:tcW w:w="2972" w:type="dxa"/>
          </w:tcPr>
          <w:p w14:paraId="0C31F148" w14:textId="04B0DF07" w:rsidR="00E70F21" w:rsidRDefault="00185BB2" w:rsidP="00711BCD">
            <w:pPr>
              <w:pStyle w:val="TableText"/>
            </w:pPr>
            <w:r>
              <w:t>#/100k</w:t>
            </w:r>
          </w:p>
        </w:tc>
        <w:tc>
          <w:tcPr>
            <w:tcW w:w="5532" w:type="dxa"/>
          </w:tcPr>
          <w:p w14:paraId="730201DD" w14:textId="7B56B3D4" w:rsidR="00E70F21" w:rsidRDefault="0087461C" w:rsidP="00711BCD">
            <w:pPr>
              <w:pStyle w:val="TableText"/>
            </w:pPr>
            <w:r>
              <w:t>number per 100,000</w:t>
            </w:r>
          </w:p>
        </w:tc>
      </w:tr>
      <w:tr w:rsidR="00E70F21" w14:paraId="134A26AD" w14:textId="77777777" w:rsidTr="00E75451">
        <w:trPr>
          <w:trHeight w:val="567"/>
          <w:jc w:val="center"/>
        </w:trPr>
        <w:tc>
          <w:tcPr>
            <w:tcW w:w="2972" w:type="dxa"/>
          </w:tcPr>
          <w:p w14:paraId="56F81AEF" w14:textId="2AE7CA4D" w:rsidR="00E70F21" w:rsidRDefault="00E70F21" w:rsidP="00711BCD">
            <w:pPr>
              <w:pStyle w:val="TableText"/>
            </w:pPr>
          </w:p>
        </w:tc>
        <w:tc>
          <w:tcPr>
            <w:tcW w:w="5532" w:type="dxa"/>
          </w:tcPr>
          <w:p w14:paraId="072E38EA" w14:textId="1AFE5AA2" w:rsidR="00E70F21" w:rsidRDefault="00E70F21" w:rsidP="00711BCD">
            <w:pPr>
              <w:pStyle w:val="TableText"/>
            </w:pPr>
          </w:p>
        </w:tc>
      </w:tr>
    </w:tbl>
    <w:p w14:paraId="6E7B2AE1" w14:textId="0628F081" w:rsidR="003A1DE5" w:rsidRDefault="003A1DE5">
      <w:pPr>
        <w:tabs>
          <w:tab w:val="clear" w:pos="567"/>
        </w:tabs>
        <w:spacing w:after="160" w:line="259" w:lineRule="auto"/>
        <w:rPr>
          <w:rFonts w:eastAsiaTheme="majorEastAsia" w:cstheme="majorBidi"/>
          <w:b/>
          <w:color w:val="002060"/>
          <w:sz w:val="28"/>
          <w:szCs w:val="32"/>
        </w:rPr>
      </w:pPr>
      <w:r>
        <w:br w:type="page"/>
      </w:r>
    </w:p>
    <w:p w14:paraId="6B9F3497" w14:textId="77777777" w:rsidR="003A1DE5" w:rsidRDefault="003A1DE5" w:rsidP="00F91D91">
      <w:pPr>
        <w:pStyle w:val="Heading1"/>
      </w:pPr>
    </w:p>
    <w:p w14:paraId="2B509A0D" w14:textId="0A6C0EA9" w:rsidR="00487993" w:rsidRDefault="00F91D91" w:rsidP="00F91D91">
      <w:pPr>
        <w:pStyle w:val="Heading1"/>
      </w:pPr>
      <w:bookmarkStart w:id="3" w:name="_Toc137316923"/>
      <w:r>
        <w:t>Abstract</w:t>
      </w:r>
      <w:bookmarkEnd w:id="3"/>
    </w:p>
    <w:p w14:paraId="4E32B74B" w14:textId="77777777" w:rsidR="00F91D91" w:rsidRDefault="00F91D91" w:rsidP="00F91D91"/>
    <w:p w14:paraId="0AAE9888" w14:textId="77777777" w:rsidR="00F91D91" w:rsidRDefault="00F91D91" w:rsidP="00F91D91"/>
    <w:p w14:paraId="671E5C8A" w14:textId="77777777" w:rsidR="00F91D91" w:rsidRPr="00F91D91" w:rsidRDefault="00F91D91" w:rsidP="00F91D91">
      <w:r>
        <w:t>Summarise the paper and finding (300 words MAX)</w:t>
      </w:r>
    </w:p>
    <w:p w14:paraId="12D110BF" w14:textId="77777777" w:rsidR="00F91D91" w:rsidRDefault="00F91D91" w:rsidP="00F91D91"/>
    <w:p w14:paraId="797C3777" w14:textId="77777777" w:rsidR="00F91D91" w:rsidRDefault="00F91D91" w:rsidP="00F91D91"/>
    <w:p w14:paraId="2D68C665" w14:textId="77777777" w:rsidR="00F91D91" w:rsidRDefault="00F91D91" w:rsidP="00F91D91"/>
    <w:p w14:paraId="278FD567" w14:textId="77777777" w:rsidR="00F91D91" w:rsidRDefault="00F91D91">
      <w:pPr>
        <w:tabs>
          <w:tab w:val="clear" w:pos="567"/>
        </w:tabs>
        <w:spacing w:after="160" w:line="259" w:lineRule="auto"/>
      </w:pPr>
      <w:r>
        <w:br w:type="page"/>
      </w:r>
    </w:p>
    <w:p w14:paraId="53FA998C" w14:textId="77777777" w:rsidR="00F91D91" w:rsidRDefault="00F91D91" w:rsidP="00F91D91">
      <w:pPr>
        <w:pStyle w:val="Heading1"/>
      </w:pPr>
      <w:bookmarkStart w:id="4" w:name="_Toc137316924"/>
      <w:r>
        <w:lastRenderedPageBreak/>
        <w:t>Introduction</w:t>
      </w:r>
      <w:bookmarkEnd w:id="4"/>
    </w:p>
    <w:p w14:paraId="65050DE2" w14:textId="635B76F8" w:rsidR="009B7B6A" w:rsidRDefault="009B7B6A" w:rsidP="009B7B6A">
      <w:r>
        <w:t>In 2017</w:t>
      </w:r>
      <w:r w:rsidR="00C71E86">
        <w:t>, the Australian Fina</w:t>
      </w:r>
      <w:r w:rsidR="00D74CE3">
        <w:t>n</w:t>
      </w:r>
      <w:r w:rsidR="00C71E86">
        <w:t xml:space="preserve">cial Review reported that </w:t>
      </w:r>
      <w:r w:rsidR="004449F5">
        <w:t>Australia</w:t>
      </w:r>
      <w:r w:rsidR="00AA20E5">
        <w:t>n household</w:t>
      </w:r>
      <w:r w:rsidR="001C4DDD">
        <w:t>s</w:t>
      </w:r>
      <w:r w:rsidR="00AA20E5">
        <w:t xml:space="preserve"> pay </w:t>
      </w:r>
      <w:r w:rsidR="001C4DDD">
        <w:t xml:space="preserve">the highest electricity prices in the world </w:t>
      </w:r>
      <w:r w:rsidR="001C4DDD">
        <w:fldChar w:fldCharType="begin"/>
      </w:r>
      <w:r w:rsidR="001C4DDD">
        <w:instrText xml:space="preserve"> ADDIN ZOTERO_ITEM CSL_CITATION {"citationID":"DX9tqPre","properties":{"formattedCitation":"(Potter and Tillett 2017)","plainCitation":"(Potter and Tillett 2017)","noteIndex":0},"citationItems":[{"id":1243,"uris":["http://zotero.org/users/9869725/items/CUGQXWBX"],"itemData":{"id":1243,"type":"article-newspaper","container-title":"Australian Financial Review","language":"en","page":"11","source":"Zotero","title":"Australians pay highest power prices in world","author":[{"family":"Potter","given":"Ben"},{"family":"Tillett","given":"Andrew"}],"issued":{"date-parts":[["2017",8,5]]}}}],"schema":"https://github.com/citation-style-language/schema/raw/master/csl-citation.json"} </w:instrText>
      </w:r>
      <w:r w:rsidR="001C4DDD">
        <w:fldChar w:fldCharType="separate"/>
      </w:r>
      <w:r w:rsidR="001C4DDD" w:rsidRPr="001C4DDD">
        <w:t>(Potter and Tillett 2017)</w:t>
      </w:r>
      <w:r w:rsidR="001C4DDD">
        <w:fldChar w:fldCharType="end"/>
      </w:r>
      <w:r w:rsidR="00587D22">
        <w:t>.</w:t>
      </w:r>
      <w:r w:rsidR="00061BDD">
        <w:t xml:space="preserve"> </w:t>
      </w:r>
      <w:r w:rsidR="00ED50C6">
        <w:t>W</w:t>
      </w:r>
      <w:r w:rsidR="00686EE7">
        <w:t xml:space="preserve">hile </w:t>
      </w:r>
      <w:r w:rsidR="00ED50C6">
        <w:t>r</w:t>
      </w:r>
      <w:r w:rsidR="00332F5D">
        <w:t>etail electricity prices in New South Wales (NSW)</w:t>
      </w:r>
      <w:r w:rsidR="00283382">
        <w:t xml:space="preserve"> were reported as the fourth highest in the world.</w:t>
      </w:r>
      <w:r w:rsidR="00BC047E">
        <w:t xml:space="preserve"> Furthermore, in the </w:t>
      </w:r>
      <w:r w:rsidR="00D923C4">
        <w:t xml:space="preserve">decade leading up to this report, annualised retail electricity prices </w:t>
      </w:r>
      <w:r w:rsidR="009D55BA">
        <w:t xml:space="preserve">increased at a faster rate than the </w:t>
      </w:r>
      <w:r w:rsidR="00FC7318">
        <w:t>Consumer Price Index (</w:t>
      </w:r>
      <w:r w:rsidR="009D55BA">
        <w:t>CPI</w:t>
      </w:r>
      <w:r w:rsidR="00FC7318">
        <w:t>)</w:t>
      </w:r>
      <w:r w:rsidR="00025F87">
        <w:t xml:space="preserve"> or wages growth: approximately 8% per annum, compared to CPI at 2.4% and wages growth at 3.1% </w:t>
      </w:r>
      <w:r w:rsidR="00025F87">
        <w:fldChar w:fldCharType="begin"/>
      </w:r>
      <w:r w:rsidR="00DC3B81">
        <w:instrText xml:space="preserve"> ADDIN ZOTERO_ITEM CSL_CITATION {"citationID":"XPId1NRw","properties":{"formattedCitation":"(ABS 2023a; 2023b)","plainCitation":"(ABS 2023a; 2023b)","noteIndex":0},"citationItems":[{"id":746,"uris":["http://zotero.org/users/9869725/items/FWWPVV2H"],"itemData":{"id":746,"type":"webpage","container-title":"Australian Bureau of Statistics","title":"Australian Bureau of Statistics: Average Weekly Earnings, Australia,","URL":"https://www.abs.gov.au/statistics/labour/earnings-and-working-conditions/average-weekly-earnings-australia/may-2022#data-download","author":[{"literal":"ABS"}],"accessed":{"date-parts":[["2022",10,14]]},"issued":{"date-parts":[["2023"]]}}},{"id":1111,"uris":["http://zotero.org/users/9869725/items/XJ2MZDGP"],"itemData":{"id":1111,"type":"webpage","container-title":"Australian Bureau of Statistics - Consumer Price Index, Australia","language":"en","title":"Australian Bureau of Statistics: Consumer Price Index, Australia","URL":"https://www.abs.gov.au/statistics/economy/price-indexes-and-inflation/consumer-price-index-australia","author":[{"literal":"ABS"}],"accessed":{"date-parts":[["2023",5,4]]},"issued":{"date-parts":[["2023",7,26]]}}}],"schema":"https://github.com/citation-style-language/schema/raw/master/csl-citation.json"} </w:instrText>
      </w:r>
      <w:r w:rsidR="00025F87">
        <w:fldChar w:fldCharType="separate"/>
      </w:r>
      <w:r w:rsidR="00DC3B81" w:rsidRPr="00DC3B81">
        <w:t>(ABS 2023a; 2023b)</w:t>
      </w:r>
      <w:r w:rsidR="00025F87">
        <w:fldChar w:fldCharType="end"/>
      </w:r>
      <w:r w:rsidR="00025F87">
        <w:t>.</w:t>
      </w:r>
    </w:p>
    <w:p w14:paraId="359E3A11" w14:textId="77777777" w:rsidR="00BC557D" w:rsidRDefault="00BC557D" w:rsidP="00BC557D">
      <w:r w:rsidRPr="00562683">
        <w:rPr>
          <w:noProof/>
        </w:rPr>
        <w:drawing>
          <wp:inline distT="0" distB="0" distL="0" distR="0" wp14:anchorId="6672F9AF" wp14:editId="63E1A449">
            <wp:extent cx="5400040" cy="3279140"/>
            <wp:effectExtent l="0" t="0" r="0" b="0"/>
            <wp:docPr id="923272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3279140"/>
                    </a:xfrm>
                    <a:prstGeom prst="rect">
                      <a:avLst/>
                    </a:prstGeom>
                    <a:noFill/>
                    <a:ln>
                      <a:noFill/>
                    </a:ln>
                  </pic:spPr>
                </pic:pic>
              </a:graphicData>
            </a:graphic>
          </wp:inline>
        </w:drawing>
      </w:r>
    </w:p>
    <w:p w14:paraId="1226783E" w14:textId="36DC62BF" w:rsidR="00BC557D" w:rsidRDefault="00BC557D" w:rsidP="00BC557D">
      <w:pPr>
        <w:pStyle w:val="Caption"/>
      </w:pPr>
      <w:r>
        <w:t xml:space="preserve">Figure </w:t>
      </w:r>
      <w:r w:rsidR="008C46EB">
        <w:fldChar w:fldCharType="begin"/>
      </w:r>
      <w:r w:rsidR="008C46EB">
        <w:instrText xml:space="preserve"> SEQ Figure \* ARABIC </w:instrText>
      </w:r>
      <w:r w:rsidR="008C46EB">
        <w:fldChar w:fldCharType="separate"/>
      </w:r>
      <w:r w:rsidR="00A06342">
        <w:rPr>
          <w:noProof/>
        </w:rPr>
        <w:t>1</w:t>
      </w:r>
      <w:r w:rsidR="008C46EB">
        <w:rPr>
          <w:noProof/>
        </w:rPr>
        <w:fldChar w:fldCharType="end"/>
      </w:r>
      <w:r>
        <w:t xml:space="preserve">: </w:t>
      </w:r>
      <w:r w:rsidRPr="00E55982">
        <w:t xml:space="preserve">Retail Electrical Price Index versus Consumer Price Index and Wage Index: NSW 2010 </w:t>
      </w:r>
      <w:r>
        <w:t>–</w:t>
      </w:r>
      <w:r w:rsidRPr="00E55982">
        <w:t xml:space="preserve"> 2023</w:t>
      </w:r>
    </w:p>
    <w:p w14:paraId="68DFA2BC" w14:textId="50F9EA2D" w:rsidR="00BC557D" w:rsidRDefault="00BC557D" w:rsidP="00BC557D">
      <w:pPr>
        <w:rPr>
          <w:i/>
          <w:iCs/>
          <w:color w:val="44546A" w:themeColor="text2"/>
          <w:sz w:val="18"/>
          <w:szCs w:val="18"/>
        </w:rPr>
      </w:pPr>
      <w:r w:rsidRPr="00CD3ECE">
        <w:rPr>
          <w:i/>
          <w:iCs/>
          <w:color w:val="44546A" w:themeColor="text2"/>
          <w:sz w:val="18"/>
          <w:szCs w:val="18"/>
        </w:rPr>
        <w:t>Data source:</w:t>
      </w:r>
      <w:r w:rsidRPr="00CD3ECE">
        <w:rPr>
          <w:i/>
          <w:iCs/>
          <w:color w:val="44546A" w:themeColor="text2"/>
          <w:sz w:val="18"/>
          <w:szCs w:val="18"/>
        </w:rPr>
        <w:tab/>
      </w:r>
      <w:r w:rsidRPr="00CD3ECE">
        <w:rPr>
          <w:i/>
          <w:iCs/>
          <w:color w:val="44546A" w:themeColor="text2"/>
          <w:sz w:val="18"/>
          <w:szCs w:val="18"/>
        </w:rPr>
        <w:fldChar w:fldCharType="begin"/>
      </w:r>
      <w:r w:rsidR="00DC3B81">
        <w:rPr>
          <w:i/>
          <w:iCs/>
          <w:color w:val="44546A" w:themeColor="text2"/>
          <w:sz w:val="18"/>
          <w:szCs w:val="18"/>
        </w:rPr>
        <w:instrText xml:space="preserve"> ADDIN ZOTERO_ITEM CSL_CITATION {"citationID":"3fES48FB","properties":{"formattedCitation":"(ABS 2023a; 2023b)","plainCitation":"(ABS 2023a; 2023b)","noteIndex":0},"citationItems":[{"id":746,"uris":["http://zotero.org/users/9869725/items/FWWPVV2H"],"itemData":{"id":746,"type":"webpage","container-title":"Australian Bureau of Statistics","title":"Australian Bureau of Statistics: Average Weekly Earnings, Australia,","URL":"https://www.abs.gov.au/statistics/labour/earnings-and-working-conditions/average-weekly-earnings-australia/may-2022#data-download","author":[{"literal":"ABS"}],"accessed":{"date-parts":[["2022",10,14]]},"issued":{"date-parts":[["2023"]]}}},{"id":1111,"uris":["http://zotero.org/users/9869725/items/XJ2MZDGP"],"itemData":{"id":1111,"type":"webpage","container-title":"Australian Bureau of Statistics - Consumer Price Index, Australia","language":"en","title":"Australian Bureau of Statistics: Consumer Price Index, Australia","URL":"https://www.abs.gov.au/statistics/economy/price-indexes-and-inflation/consumer-price-index-australia","author":[{"literal":"ABS"}],"accessed":{"date-parts":[["2023",5,4]]},"issued":{"date-parts":[["2023",7,26]]}}}],"schema":"https://github.com/citation-style-language/schema/raw/master/csl-citation.json"} </w:instrText>
      </w:r>
      <w:r w:rsidRPr="00CD3ECE">
        <w:rPr>
          <w:i/>
          <w:iCs/>
          <w:color w:val="44546A" w:themeColor="text2"/>
          <w:sz w:val="18"/>
          <w:szCs w:val="18"/>
        </w:rPr>
        <w:fldChar w:fldCharType="separate"/>
      </w:r>
      <w:r w:rsidR="00DC3B81" w:rsidRPr="00DC3B81">
        <w:rPr>
          <w:sz w:val="18"/>
        </w:rPr>
        <w:t>(ABS 2023a; 2023b)</w:t>
      </w:r>
      <w:r w:rsidRPr="00CD3ECE">
        <w:rPr>
          <w:i/>
          <w:iCs/>
          <w:color w:val="44546A" w:themeColor="text2"/>
          <w:sz w:val="18"/>
          <w:szCs w:val="18"/>
        </w:rPr>
        <w:fldChar w:fldCharType="end"/>
      </w:r>
    </w:p>
    <w:p w14:paraId="685754E6" w14:textId="77777777" w:rsidR="004B316E" w:rsidRDefault="004B316E" w:rsidP="004B316E"/>
    <w:p w14:paraId="59C87DE7" w14:textId="56179F97" w:rsidR="00285AA3" w:rsidRDefault="001A1987" w:rsidP="00285AA3">
      <w:r w:rsidRPr="00881B80">
        <w:t xml:space="preserve">In this context of </w:t>
      </w:r>
      <w:r w:rsidR="001875AC" w:rsidRPr="00881B80">
        <w:t>rapid electricity price increase</w:t>
      </w:r>
      <w:r w:rsidR="00143B82" w:rsidRPr="00881B80">
        <w:t>s</w:t>
      </w:r>
      <w:r w:rsidR="001875AC" w:rsidRPr="00881B80">
        <w:t>, t</w:t>
      </w:r>
      <w:r w:rsidR="00523A3D" w:rsidRPr="00881B80">
        <w:t xml:space="preserve">his paper seeks to </w:t>
      </w:r>
      <w:r w:rsidR="00E05446" w:rsidRPr="00881B80">
        <w:t>quantify the relationship between electricity prices and</w:t>
      </w:r>
      <w:r w:rsidR="00063B6B" w:rsidRPr="00881B80">
        <w:t xml:space="preserve"> </w:t>
      </w:r>
      <w:r w:rsidR="00E05446" w:rsidRPr="00881B80">
        <w:t xml:space="preserve">households </w:t>
      </w:r>
      <w:r w:rsidR="00EB07EA" w:rsidRPr="00881B80">
        <w:t xml:space="preserve">experiencing </w:t>
      </w:r>
      <w:r w:rsidR="00371328" w:rsidRPr="00881B80">
        <w:t>energy poverty</w:t>
      </w:r>
      <w:r w:rsidR="00CA01B1" w:rsidRPr="00881B80">
        <w:t xml:space="preserve"> (EP)</w:t>
      </w:r>
      <w:r w:rsidR="009E7A7C" w:rsidRPr="00881B80">
        <w:t xml:space="preserve"> in New South Wales (NSW)</w:t>
      </w:r>
      <w:r w:rsidR="00371328" w:rsidRPr="00881B80">
        <w:t xml:space="preserve">. </w:t>
      </w:r>
      <w:r w:rsidR="00E67C79" w:rsidRPr="00881B80">
        <w:t xml:space="preserve">Firstly, energy poverty in Australia and its impacts will be assessed by reviewing the current literature. This is followed by discussion of the data acquisition strategy and the model used for this paper’s analysis. </w:t>
      </w:r>
      <w:r w:rsidR="00285AA3" w:rsidRPr="00881B80">
        <w:t xml:space="preserve">Then an </w:t>
      </w:r>
      <w:r w:rsidR="00214027" w:rsidRPr="00881B80">
        <w:t>analysis</w:t>
      </w:r>
      <w:r w:rsidR="00285AA3" w:rsidRPr="00881B80">
        <w:t xml:space="preserve"> of the results and their broader implications.</w:t>
      </w:r>
    </w:p>
    <w:p w14:paraId="707D18D0" w14:textId="77777777" w:rsidR="003D26DC" w:rsidRDefault="003D26DC" w:rsidP="003D26DC"/>
    <w:p w14:paraId="5B955540" w14:textId="77777777" w:rsidR="003D26DC" w:rsidRDefault="003D26DC" w:rsidP="003D26DC"/>
    <w:p w14:paraId="5D853D89" w14:textId="6AA1AD49" w:rsidR="00F91D91" w:rsidRDefault="000A0E19" w:rsidP="00F91D91">
      <w:pPr>
        <w:pStyle w:val="Heading1"/>
      </w:pPr>
      <w:r>
        <w:t>Energy Poverty</w:t>
      </w:r>
    </w:p>
    <w:p w14:paraId="19CED70C" w14:textId="58AF6989" w:rsidR="008B476D" w:rsidRPr="008B476D" w:rsidRDefault="008B476D" w:rsidP="008B476D">
      <w:pPr>
        <w:pStyle w:val="Heading2"/>
      </w:pPr>
      <w:r>
        <w:t>Background</w:t>
      </w:r>
    </w:p>
    <w:p w14:paraId="26EB697D" w14:textId="2E1022F6" w:rsidR="000A0E19" w:rsidRDefault="003C682C" w:rsidP="000A0E19">
      <w:r>
        <w:t>E</w:t>
      </w:r>
      <w:r w:rsidR="00E75C70">
        <w:t xml:space="preserve">nergy poverty </w:t>
      </w:r>
      <w:r w:rsidR="00230DF8">
        <w:t xml:space="preserve">differs from </w:t>
      </w:r>
      <w:r w:rsidR="00F90992">
        <w:t>normalised definitions of poverty</w:t>
      </w:r>
      <w:r w:rsidR="00C92A20">
        <w:t>.</w:t>
      </w:r>
      <w:r w:rsidR="005D53C6">
        <w:t xml:space="preserve"> S</w:t>
      </w:r>
      <w:r w:rsidR="00180C8F">
        <w:t xml:space="preserve">tructural </w:t>
      </w:r>
      <w:r w:rsidR="00AF03EE">
        <w:t>differ</w:t>
      </w:r>
      <w:r w:rsidR="00C92A20">
        <w:t>en</w:t>
      </w:r>
      <w:r w:rsidR="00AF03EE">
        <w:t xml:space="preserve">ces ensure </w:t>
      </w:r>
      <w:r w:rsidR="00CF2E2B">
        <w:t xml:space="preserve">that </w:t>
      </w:r>
      <w:r w:rsidR="00C7526E">
        <w:t>low</w:t>
      </w:r>
      <w:r w:rsidR="00E31791">
        <w:t>-</w:t>
      </w:r>
      <w:r w:rsidR="00C7526E">
        <w:t>income households</w:t>
      </w:r>
      <w:r w:rsidR="00E31791">
        <w:t xml:space="preserve"> (LIH)</w:t>
      </w:r>
      <w:r w:rsidR="00C7526E">
        <w:t xml:space="preserve"> pay more for the same energy outcomes as higher-income house</w:t>
      </w:r>
      <w:r w:rsidR="001A120C">
        <w:t>holds</w:t>
      </w:r>
      <w:r w:rsidR="00663439">
        <w:t xml:space="preserve"> (HIH)</w:t>
      </w:r>
      <w:r w:rsidR="001A120C">
        <w:t xml:space="preserve">. </w:t>
      </w:r>
      <w:r w:rsidR="007C5EE0">
        <w:fldChar w:fldCharType="begin"/>
      </w:r>
      <w:r w:rsidR="001A328C">
        <w:instrText xml:space="preserve"> ADDIN ZOTERO_ITEM CSL_CITATION {"citationID":"5eNIzBpN","properties":{"formattedCitation":"(Boardman 1991)","plainCitation":"(Boardman 1991)","dontUpdate":true,"noteIndex":0},"citationItems":[{"id":827,"uris":["http://zotero.org/users/9869725/items/44L97N6M"],"itemData":{"id":827,"type":"article-journal","abstract":"Fuel poverty is different from poverty. General poverty can be reduced through additional income support, but the most effective way to lessen fuel poverty is through capital investment. It is the crucial role of capital stocks - the house, heating system and other energy using equipment-in causing fuel poverty that determines the need for policies that are specific to the problem.","container-title":"Policy Studies","DOI":"10.1080/01442879108423600","ISSN":"14701006","issue":"4","note":"publisher:  Taylor &amp; Francis Group","page":"30-41","title":"Fuel poverty is different","volume":"12","author":[{"family":"Boardman","given":"Brenda"}],"issued":{"date-parts":[["1991",12,1]]}}}],"schema":"https://github.com/citation-style-language/schema/raw/master/csl-citation.json"} </w:instrText>
      </w:r>
      <w:r w:rsidR="007C5EE0">
        <w:fldChar w:fldCharType="separate"/>
      </w:r>
      <w:r w:rsidR="007C5EE0" w:rsidRPr="007C5EE0">
        <w:t xml:space="preserve">Boardman </w:t>
      </w:r>
      <w:r w:rsidR="008078D1">
        <w:t>(</w:t>
      </w:r>
      <w:r w:rsidR="007C5EE0" w:rsidRPr="007C5EE0">
        <w:t>1991)</w:t>
      </w:r>
      <w:r w:rsidR="007C5EE0">
        <w:fldChar w:fldCharType="end"/>
      </w:r>
      <w:r w:rsidR="008078D1">
        <w:t xml:space="preserve"> discussed how </w:t>
      </w:r>
      <w:r w:rsidR="00156F23">
        <w:t>low-income housing stock was less energy efficient,</w:t>
      </w:r>
      <w:r w:rsidR="00370FEE">
        <w:t xml:space="preserve"> </w:t>
      </w:r>
      <w:r w:rsidR="005D53C6">
        <w:t>which</w:t>
      </w:r>
      <w:r w:rsidR="00156F23">
        <w:t xml:space="preserve"> meant </w:t>
      </w:r>
      <w:r w:rsidR="00E31791">
        <w:t>LIH</w:t>
      </w:r>
      <w:r w:rsidR="008078D1">
        <w:t xml:space="preserve"> </w:t>
      </w:r>
      <w:r w:rsidR="00370FEE">
        <w:t xml:space="preserve">had to </w:t>
      </w:r>
      <w:r w:rsidR="00A774F2">
        <w:t>buy more energy for heating.</w:t>
      </w:r>
      <w:r w:rsidR="003B4D5D">
        <w:t xml:space="preserve"> </w:t>
      </w:r>
      <w:r w:rsidR="00A93839">
        <w:t>Nelson et</w:t>
      </w:r>
      <w:r w:rsidR="005F2274">
        <w:t xml:space="preserve"> al</w:t>
      </w:r>
      <w:r w:rsidR="0067629D">
        <w:t>.</w:t>
      </w:r>
      <w:r w:rsidR="00246FAA">
        <w:t xml:space="preserve"> (2019)</w:t>
      </w:r>
      <w:r w:rsidR="005F2274">
        <w:t>.</w:t>
      </w:r>
      <w:r w:rsidR="00A93839">
        <w:t xml:space="preserve"> </w:t>
      </w:r>
      <w:r w:rsidR="003A79FB">
        <w:t>noted that</w:t>
      </w:r>
      <w:r w:rsidR="004C6CF0">
        <w:t xml:space="preserve"> </w:t>
      </w:r>
      <w:r w:rsidR="00DE4941">
        <w:t xml:space="preserve">LIH </w:t>
      </w:r>
      <w:r w:rsidR="0043199D">
        <w:t xml:space="preserve">in </w:t>
      </w:r>
      <w:r w:rsidR="00040A54">
        <w:t>NSW</w:t>
      </w:r>
      <w:r w:rsidR="0043199D">
        <w:t xml:space="preserve"> </w:t>
      </w:r>
      <w:r w:rsidR="000C64F6">
        <w:t>consume</w:t>
      </w:r>
      <w:r w:rsidR="00040A54">
        <w:t xml:space="preserve"> </w:t>
      </w:r>
      <w:r w:rsidR="007D3D53">
        <w:t xml:space="preserve">58% </w:t>
      </w:r>
      <w:r w:rsidR="0043199D">
        <w:t xml:space="preserve">more </w:t>
      </w:r>
      <w:r w:rsidR="000C0CA9">
        <w:t xml:space="preserve">energy </w:t>
      </w:r>
      <w:r w:rsidR="007D3D53">
        <w:t xml:space="preserve">on average </w:t>
      </w:r>
      <w:r w:rsidR="000C0CA9">
        <w:t xml:space="preserve">than the rest of the population </w:t>
      </w:r>
      <w:r w:rsidR="000C0CA9">
        <w:fldChar w:fldCharType="begin"/>
      </w:r>
      <w:r w:rsidR="000C0CA9">
        <w:instrText xml:space="preserve"> ADDIN ZOTERO_ITEM CSL_CITATION {"citationID":"F8nY0mb2","properties":{"formattedCitation":"(Nelson et al. 2019, 267)","plainCitation":"(Nelson et al. 2019, 267)","noteIndex":0},"citationItems":[{"id":820,"uris":["http://zotero.org/users/9869725/items/W6H4XHBS"],"itemData":{"id":820,"type":"article-journal","abstract":"(2017) demonstrated that income levels are inadequate for some Australian households to maintain a basic standard of living. Analysing utility bills can extend this consideration of income adequacy issues given the essential nature of services such as electricity, telephony and water. This article builds on the work presented by Simshauser and Nelson (2014) about key demographic cohorts in Australia that have a high incidence of energy-related financial hardship. Our analysis indicates that energy related financial hardship is likely to be related to a combination of the following: family formation demographics; low-income (often reliant upon government income support); higher household size; and higher than average consumption. Our policy recommendations are relatively straightforward: development of tools to allow easier 'shopping around' by energy customers; cessation of credit-checking by energy retailers as a means of restricting access to energy offers; reform of state-based concessions frameworks; a lifting of income support for some key cohorts (e.g. unemployed); improvements to energy-efficiency standards; and amendments to tenancy laws to overcome potential principal-agent issues associated with uptake of new energy products and services such as embedded solar PV and battery storage.","container-title":"Energy Policy","DOI":"10.1016/j.enpol.2018.10.003","page":"Pages 262-271","title":"The drivers of energy-related financial hardship in Australia-understanding the role of income, consumption and housing.","volume":"124","author":[{"family":"Nelson","given":"Tim"},{"family":"McCracken-Hewson","given":"Eleanor"},{"family":"Sundstrom","given":"Gabby"},{"family":"Hawthorne","given":"Marianne"}],"issued":{"date-parts":[["2019"]]}},"locator":"267","label":"page"}],"schema":"https://github.com/citation-style-language/schema/raw/master/csl-citation.json"} </w:instrText>
      </w:r>
      <w:r w:rsidR="000C0CA9">
        <w:fldChar w:fldCharType="separate"/>
      </w:r>
      <w:r w:rsidR="000C0CA9" w:rsidRPr="000C0CA9">
        <w:t>(Nelson et al. 2019, 267)</w:t>
      </w:r>
      <w:r w:rsidR="000C0CA9">
        <w:fldChar w:fldCharType="end"/>
      </w:r>
      <w:r w:rsidR="00B2016C">
        <w:t xml:space="preserve">, which confirms Boardman’s original thesis regarding the structural differences between </w:t>
      </w:r>
      <w:r w:rsidR="0023285D">
        <w:t>EP</w:t>
      </w:r>
      <w:r w:rsidR="001A1945">
        <w:t xml:space="preserve"> and normalised definitions of poverty.</w:t>
      </w:r>
      <w:r w:rsidR="00630FC5">
        <w:t xml:space="preserve"> Additionally, because LIH were considered a greater credit risk, they were </w:t>
      </w:r>
      <w:r w:rsidR="00FB61F2">
        <w:t>more likely to be forced to use higher</w:t>
      </w:r>
      <w:r w:rsidR="005D53C6">
        <w:t>-</w:t>
      </w:r>
      <w:r w:rsidR="00FB61F2">
        <w:t>cost</w:t>
      </w:r>
      <w:r w:rsidR="001906D1">
        <w:t xml:space="preserve"> plans </w:t>
      </w:r>
      <w:r w:rsidR="00501A10">
        <w:fldChar w:fldCharType="begin"/>
      </w:r>
      <w:r w:rsidR="00501A10">
        <w:instrText xml:space="preserve"> ADDIN ZOTERO_ITEM CSL_CITATION {"citationID":"Vd56qqzn","properties":{"formattedCitation":"(Nelson et al. 2019, 268)","plainCitation":"(Nelson et al. 2019, 268)","noteIndex":0},"citationItems":[{"id":820,"uris":["http://zotero.org/users/9869725/items/W6H4XHBS"],"itemData":{"id":820,"type":"article-journal","abstract":"(2017) demonstrated that income levels are inadequate for some Australian households to maintain a basic standard of living. Analysing utility bills can extend this consideration of income adequacy issues given the essential nature of services such as electricity, telephony and water. This article builds on the work presented by Simshauser and Nelson (2014) about key demographic cohorts in Australia that have a high incidence of energy-related financial hardship. Our analysis indicates that energy related financial hardship is likely to be related to a combination of the following: family formation demographics; low-income (often reliant upon government income support); higher household size; and higher than average consumption. Our policy recommendations are relatively straightforward: development of tools to allow easier 'shopping around' by energy customers; cessation of credit-checking by energy retailers as a means of restricting access to energy offers; reform of state-based concessions frameworks; a lifting of income support for some key cohorts (e.g. unemployed); improvements to energy-efficiency standards; and amendments to tenancy laws to overcome potential principal-agent issues associated with uptake of new energy products and services such as embedded solar PV and battery storage.","container-title":"Energy Policy","DOI":"10.1016/j.enpol.2018.10.003","page":"Pages 262-271","title":"The drivers of energy-related financial hardship in Australia-understanding the role of income, consumption and housing.","volume":"124","author":[{"family":"Nelson","given":"Tim"},{"family":"McCracken-Hewson","given":"Eleanor"},{"family":"Sundstrom","given":"Gabby"},{"family":"Hawthorne","given":"Marianne"}],"issued":{"date-parts":[["2019"]]}},"locator":"268"}],"schema":"https://github.com/citation-style-language/schema/raw/master/csl-citation.json"} </w:instrText>
      </w:r>
      <w:r w:rsidR="00501A10">
        <w:fldChar w:fldCharType="separate"/>
      </w:r>
      <w:r w:rsidR="00501A10" w:rsidRPr="00501A10">
        <w:t>(Nelson et al. 2019, 268)</w:t>
      </w:r>
      <w:r w:rsidR="00501A10">
        <w:fldChar w:fldCharType="end"/>
      </w:r>
      <w:r w:rsidR="001906D1">
        <w:t xml:space="preserve"> </w:t>
      </w:r>
      <w:r w:rsidR="00FB61F2">
        <w:t xml:space="preserve"> </w:t>
      </w:r>
      <w:r w:rsidR="007D055F">
        <w:t xml:space="preserve">or </w:t>
      </w:r>
      <w:r w:rsidR="00FB61F2">
        <w:t xml:space="preserve">pre-paid </w:t>
      </w:r>
      <w:r w:rsidR="00671E2C">
        <w:t>electricity plans</w:t>
      </w:r>
      <w:r w:rsidR="00DB0EE2">
        <w:t xml:space="preserve">, which preclude </w:t>
      </w:r>
      <w:r w:rsidR="000A4F35">
        <w:t>cost smoothing between high and lower expenditure periods</w:t>
      </w:r>
      <w:r w:rsidR="00B1613C">
        <w:t xml:space="preserve"> </w:t>
      </w:r>
      <w:r w:rsidR="00B1613C">
        <w:fldChar w:fldCharType="begin"/>
      </w:r>
      <w:r w:rsidR="009D23A7">
        <w:instrText xml:space="preserve"> ADDIN ZOTERO_ITEM CSL_CITATION {"citationID":"4kZbi81R","properties":{"formattedCitation":"(Boardman 2015, 274)","plainCitation":"(Boardman 2015, 274)","noteIndex":0},"citationItems":[{"id":1013,"uris":["http://zotero.org/users/9869725/items/TC3M5TMB"],"itemData":{"id":1013,"type":"chapter","container-title":"The Routledge Handbook of Planning for Health and Well-Being.","page":"pp. 305-316","publisher":"Routledge","title":"Housing, energy efficiency and fuel poverty.","URL":"https://doi.org/10.4324/9781315728261-31","author":[{"family":"Boardman","given":"Brenda"}],"issued":{"date-parts":[["2015"]]}},"locator":"274","label":"page"}],"schema":"https://github.com/citation-style-language/schema/raw/master/csl-citation.json"} </w:instrText>
      </w:r>
      <w:r w:rsidR="00B1613C">
        <w:fldChar w:fldCharType="separate"/>
      </w:r>
      <w:r w:rsidR="009D23A7" w:rsidRPr="009D23A7">
        <w:t>(Boardman 2015, 274)</w:t>
      </w:r>
      <w:r w:rsidR="00B1613C">
        <w:fldChar w:fldCharType="end"/>
      </w:r>
      <w:r w:rsidR="000A4F35">
        <w:t>.</w:t>
      </w:r>
    </w:p>
    <w:p w14:paraId="081221B4" w14:textId="77777777" w:rsidR="008A42D3" w:rsidRDefault="008A42D3" w:rsidP="000A0E19"/>
    <w:p w14:paraId="23BCBB13" w14:textId="46C369D6" w:rsidR="007852E3" w:rsidRDefault="00713594" w:rsidP="007852E3">
      <w:r w:rsidRPr="00EF5B6A">
        <w:t xml:space="preserve">Differing definitions of </w:t>
      </w:r>
      <w:r w:rsidR="00FF1C14" w:rsidRPr="00EF5B6A">
        <w:t>EP</w:t>
      </w:r>
      <w:r w:rsidRPr="00EF5B6A">
        <w:t xml:space="preserve"> exist</w:t>
      </w:r>
      <w:r w:rsidR="00901402" w:rsidRPr="00EF5B6A">
        <w:t>. Boardman defined it as spending more than 10% of househ</w:t>
      </w:r>
      <w:r w:rsidR="004878FF" w:rsidRPr="00EF5B6A">
        <w:t>old expenditure on energy</w:t>
      </w:r>
      <w:r w:rsidR="00512CDE" w:rsidRPr="00EF5B6A">
        <w:t>, while Chai et al.</w:t>
      </w:r>
      <w:r w:rsidR="0022028D" w:rsidRPr="00EF5B6A">
        <w:t xml:space="preserve"> set the expenditure threshold at 7% </w:t>
      </w:r>
      <w:r w:rsidR="00250381" w:rsidRPr="00EF5B6A">
        <w:fldChar w:fldCharType="begin"/>
      </w:r>
      <w:r w:rsidR="003854F8" w:rsidRPr="00EF5B6A">
        <w:instrText xml:space="preserve"> ADDIN ZOTERO_ITEM CSL_CITATION {"citationID":"tdwhdg6H","properties":{"formattedCitation":"(Boardman 1991, 32; 2015, 271; Chai, Ratnasiri, and Wagner 2021, 57)","plainCitation":"(Boardman 1991, 32; 2015, 271; Chai, Ratnasiri, and Wagner 2021, 57)","noteIndex":0},"citationItems":[{"id":827,"uris":["http://zotero.org/users/9869725/items/44L97N6M"],"itemData":{"id":827,"type":"article-journal","abstract":"Fuel poverty is different from poverty. General poverty can be reduced through additional income support, but the most effective way to lessen fuel poverty is through capital investment. It is the crucial role of capital stocks - the house, heating system and other energy using equipment-in causing fuel poverty that determines the need for policies that are specific to the problem.","container-title":"Policy Studies","DOI":"10.1080/01442879108423600","ISSN":"14701006","issue":"4","note":"publisher:  Taylor &amp; Francis Group","page":"30-41","title":"Fuel poverty is different","volume":"12","author":[{"family":"Boardman","given":"Brenda"}],"issued":{"date-parts":[["1991",12,1]]}},"locator":"32","label":"page"},{"id":1013,"uris":["http://zotero.org/users/9869725/items/TC3M5TMB"],"itemData":{"id":1013,"type":"chapter","container-title":"The Routledge Handbook of Planning for Health and Well-Being.","page":"pp. 305-316","publisher":"Routledge","title":"Housing, energy efficiency and fuel poverty.","URL":"https://doi.org/10.4324/9781315728261-31","author":[{"family":"Boardman","given":"Brenda"}],"issued":{"date-parts":[["2015"]]}},"locator":"271","label":"page"},{"id":748,"uris":["http://zotero.org/users/9869725/items/PU7DSNCJ"],"itemData":{"id":748,"type":"article-journal","abstract":"This study empirically estimates energy poverty levels across Queensland regions. It includes estimates of the number of households experiencing energy poverty in a region and the ability of households across regions to adapt to rising prices (price elasticity). We use these results to conduct a microsimulation exercise to examine how further rises in electricity prices could trigger a rise in energy poverty. It is estimated that 3.42% of all Queensland households-approximately 63,128 households-experience energy poverty, most of them being in the lowest income quintile. Energy poverty appears to be concentrated in certain regions, including Gladstone, Logan and Far North Queensland. A range of contributing factors may account for this pattern: high levels of income insecurity, weather and demographic differences. Beyond the distribution, our results also provide evidence that energy poverty is concentrated in certain groups, including large households. Policy implications are discussed.","container-title":"Economic Analysis and Policy","DOI":"10.1016/j.eap.2021.03.014","page":"Pages 57-72","title":"The impact of rising energy prices on energy poverty in Queensland: A microsimulation exercise","volume":"71","author":[{"family":"Chai","given":"Andreas"},{"family":"Ratnasiri","given":"Shyama"},{"family":"Wagner","given":"Liam"}],"issued":{"date-parts":[["2021"]]}},"locator":"57","label":"page"}],"schema":"https://github.com/citation-style-language/schema/raw/master/csl-citation.json"} </w:instrText>
      </w:r>
      <w:r w:rsidR="00250381" w:rsidRPr="00EF5B6A">
        <w:fldChar w:fldCharType="separate"/>
      </w:r>
      <w:r w:rsidR="003854F8" w:rsidRPr="00EF5B6A">
        <w:t>(Boardman 1991, 32; 2015, 271; Chai, Ratnasiri, and Wagner 2021, 57)</w:t>
      </w:r>
      <w:r w:rsidR="00250381" w:rsidRPr="00EF5B6A">
        <w:fldChar w:fldCharType="end"/>
      </w:r>
      <w:r w:rsidR="004C6907" w:rsidRPr="00EF5B6A">
        <w:t xml:space="preserve">. </w:t>
      </w:r>
      <w:r w:rsidR="00962EB0" w:rsidRPr="00EF5B6A">
        <w:t>In comparison,</w:t>
      </w:r>
      <w:r w:rsidR="004C6907" w:rsidRPr="00EF5B6A">
        <w:t xml:space="preserve"> </w:t>
      </w:r>
      <w:r w:rsidR="007852E3" w:rsidRPr="00EF5B6A">
        <w:fldChar w:fldCharType="begin"/>
      </w:r>
      <w:r w:rsidR="007C5EE0" w:rsidRPr="00EF5B6A">
        <w:instrText xml:space="preserve"> ADDIN ZOTERO_ITEM CSL_CITATION {"citationID":"tUPTTRou","properties":{"formattedCitation":"(Churchill and Smyth 2020, 1)","plainCitation":"(Churchill and Smyth 2020, 1)","dontUpdate":true,"noteIndex":0},"citationItems":[{"id":992,"uris":["http://zotero.org/users/9869725/items/76WR27TV"],"itemData":{"id":992,"type":"article-journal","container-title":"Energy economics","DOI":"10.1016/j.eneco.2020.104663","ISSN":"0140-9883","language":"eng","page":"104663-","source":"multisearch.mq.edu.au","title":"Ethnic diversity, energy poverty and the mediating role of trust: Evidence from household panel data for Australia","title-short":"Ethnic diversity, energy poverty and the mediating role of trust","volume":"86","author":[{"family":"Churchill","given":"Sefa Awaworyi"},{"family":"Smyth","given":"Russell"}],"issued":{"date-parts":[["2020"]]}},"locator":"1","label":"page"}],"schema":"https://github.com/citation-style-language/schema/raw/master/csl-citation.json"} </w:instrText>
      </w:r>
      <w:r w:rsidR="007852E3" w:rsidRPr="00EF5B6A">
        <w:fldChar w:fldCharType="separate"/>
      </w:r>
      <w:r w:rsidR="007852E3" w:rsidRPr="00EF5B6A">
        <w:t>Churchill and Smyth (2020, 1)</w:t>
      </w:r>
      <w:r w:rsidR="007852E3" w:rsidRPr="00EF5B6A">
        <w:fldChar w:fldCharType="end"/>
      </w:r>
      <w:r w:rsidR="00AA2429" w:rsidRPr="00EF5B6A">
        <w:t xml:space="preserve"> define</w:t>
      </w:r>
      <w:r w:rsidR="00962EB0" w:rsidRPr="00EF5B6A">
        <w:t>s</w:t>
      </w:r>
      <w:r w:rsidR="00AA2429" w:rsidRPr="00EF5B6A">
        <w:t xml:space="preserve"> it as</w:t>
      </w:r>
      <w:r w:rsidR="007852E3" w:rsidRPr="00EF5B6A">
        <w:t xml:space="preserve"> “…</w:t>
      </w:r>
      <w:r w:rsidR="00E37D62" w:rsidRPr="00EF5B6A">
        <w:t xml:space="preserve">the </w:t>
      </w:r>
      <w:r w:rsidR="007852E3" w:rsidRPr="00EF5B6A">
        <w:t>inability of households to remain connected to energy-related basic utilities…”</w:t>
      </w:r>
      <w:r w:rsidR="003854F8" w:rsidRPr="00EF5B6A">
        <w:t>.</w:t>
      </w:r>
      <w:r w:rsidR="00937A81" w:rsidRPr="00EF5B6A">
        <w:t xml:space="preserve"> For the sake of this study, </w:t>
      </w:r>
      <w:r w:rsidR="00156B50" w:rsidRPr="00EF5B6A">
        <w:t xml:space="preserve">Churchill and Smyth’s definition will be adapted, and energy poverty will </w:t>
      </w:r>
      <w:r w:rsidR="007852E3" w:rsidRPr="00EF5B6A">
        <w:t>mean households experiencing financial stress related to energy expenditure.</w:t>
      </w:r>
    </w:p>
    <w:p w14:paraId="1FA5F7F7" w14:textId="77777777" w:rsidR="00975D64" w:rsidRDefault="00975D64" w:rsidP="007852E3"/>
    <w:p w14:paraId="02D796B1" w14:textId="4B0AAD2A" w:rsidR="007852E3" w:rsidRDefault="002C0B43" w:rsidP="008B476D">
      <w:pPr>
        <w:pStyle w:val="Heading2"/>
      </w:pPr>
      <w:r>
        <w:t>Price Elasticity</w:t>
      </w:r>
      <w:r w:rsidR="00204BD3">
        <w:t xml:space="preserve"> and Demand</w:t>
      </w:r>
    </w:p>
    <w:p w14:paraId="1C2C2C04" w14:textId="1E98EB74" w:rsidR="008964EC" w:rsidRDefault="00D858BF" w:rsidP="00F91D91">
      <w:r>
        <w:t xml:space="preserve">The problem with electricity is that it is not an easily </w:t>
      </w:r>
      <w:r w:rsidR="006F76F1">
        <w:t xml:space="preserve">substitutable good. </w:t>
      </w:r>
      <w:r w:rsidR="00D6432A">
        <w:t>For this reason</w:t>
      </w:r>
      <w:r w:rsidR="00405701">
        <w:t>, p</w:t>
      </w:r>
      <w:r w:rsidR="00F91D91">
        <w:t>rice elasticity</w:t>
      </w:r>
      <w:r w:rsidR="00405701">
        <w:t>, or a consumer</w:t>
      </w:r>
      <w:r w:rsidR="00FC3C87">
        <w:t>'</w:t>
      </w:r>
      <w:r w:rsidR="00405701">
        <w:t>s ability to reduce demand</w:t>
      </w:r>
      <w:r w:rsidR="00FC3C87">
        <w:t xml:space="preserve"> when prices increase, is very low.</w:t>
      </w:r>
      <w:r w:rsidR="00AD36FB">
        <w:t xml:space="preserve"> </w:t>
      </w:r>
      <w:r w:rsidR="00E61683">
        <w:fldChar w:fldCharType="begin"/>
      </w:r>
      <w:r w:rsidR="001A328C">
        <w:instrText xml:space="preserve"> ADDIN ZOTERO_ITEM CSL_CITATION {"citationID":"hZ3tPa4c","properties":{"formattedCitation":"(Chai, Ratnasiri, and Wagner 2021, 64\\uc0\\u8211{}68)","plainCitation":"(Chai, Ratnasiri, and Wagner 2021, 64–68)","dontUpdate":true,"noteIndex":0},"citationItems":[{"id":748,"uris":["http://zotero.org/users/9869725/items/PU7DSNCJ"],"itemData":{"id":748,"type":"article-journal","abstract":"This study empirically estimates energy poverty levels across Queensland regions. It includes estimates of the number of households experiencing energy poverty in a region and the ability of households across regions to adapt to rising prices (price elasticity). We use these results to conduct a microsimulation exercise to examine how further rises in electricity prices could trigger a rise in energy poverty. It is estimated that 3.42% of all Queensland households-approximately 63,128 households-experience energy poverty, most of them being in the lowest income quintile. Energy poverty appears to be concentrated in certain regions, including Gladstone, Logan and Far North Queensland. A range of contributing factors may account for this pattern: high levels of income insecurity, weather and demographic differences. Beyond the distribution, our results also provide evidence that energy poverty is concentrated in certain groups, including large households. Policy implications are discussed.","container-title":"Economic Analysis and Policy","DOI":"10.1016/j.eap.2021.03.014","page":"Pages 57-72","title":"The impact of rising energy prices on energy poverty in Queensland: A microsimulation exercise","volume":"71","author":[{"family":"Chai","given":"Andreas"},{"family":"Ratnasiri","given":"Shyama"},{"family":"Wagner","given":"Liam"}],"issued":{"date-parts":[["2021"]]}},"locator":"64-68","label":"page"}],"schema":"https://github.com/citation-style-language/schema/raw/master/csl-citation.json"} </w:instrText>
      </w:r>
      <w:r w:rsidR="00E61683">
        <w:fldChar w:fldCharType="separate"/>
      </w:r>
      <w:r w:rsidR="00E61683" w:rsidRPr="00E61683">
        <w:rPr>
          <w:rFonts w:cs="Times New Roman"/>
          <w:szCs w:val="24"/>
        </w:rPr>
        <w:t xml:space="preserve">Chai, Ratnasiri, and Wagner </w:t>
      </w:r>
      <w:r w:rsidR="00940488">
        <w:rPr>
          <w:rFonts w:cs="Times New Roman"/>
          <w:szCs w:val="24"/>
        </w:rPr>
        <w:t>(</w:t>
      </w:r>
      <w:r w:rsidR="00E61683" w:rsidRPr="00E61683">
        <w:rPr>
          <w:rFonts w:cs="Times New Roman"/>
          <w:szCs w:val="24"/>
        </w:rPr>
        <w:t>2021, 64–68)</w:t>
      </w:r>
      <w:r w:rsidR="00E61683">
        <w:fldChar w:fldCharType="end"/>
      </w:r>
      <w:r w:rsidR="00940488">
        <w:t xml:space="preserve"> noted </w:t>
      </w:r>
      <w:r w:rsidR="00940488">
        <w:lastRenderedPageBreak/>
        <w:t xml:space="preserve">that </w:t>
      </w:r>
      <w:r w:rsidR="004C098B">
        <w:t>price el</w:t>
      </w:r>
      <w:r w:rsidR="0034492D">
        <w:t>a</w:t>
      </w:r>
      <w:r w:rsidR="004C098B">
        <w:t>sticity</w:t>
      </w:r>
      <w:r w:rsidR="00E652D9">
        <w:t xml:space="preserve"> for LIH</w:t>
      </w:r>
      <w:r w:rsidR="004C098B">
        <w:t xml:space="preserve"> was </w:t>
      </w:r>
      <w:r w:rsidR="00E652D9">
        <w:t>a</w:t>
      </w:r>
      <w:r w:rsidR="006B0AD9">
        <w:t>p</w:t>
      </w:r>
      <w:r w:rsidR="00E652D9">
        <w:t xml:space="preserve">proximately </w:t>
      </w:r>
      <w:r w:rsidR="006B0AD9">
        <w:t>0.647</w:t>
      </w:r>
      <w:r w:rsidR="00A5514B">
        <w:rPr>
          <w:rStyle w:val="FootnoteReference"/>
        </w:rPr>
        <w:footnoteReference w:id="1"/>
      </w:r>
      <w:r w:rsidR="000C0AD4">
        <w:t>.</w:t>
      </w:r>
      <w:r w:rsidR="005542E2">
        <w:t xml:space="preserve"> </w:t>
      </w:r>
      <w:r w:rsidR="00137C0A">
        <w:t>They also noted that HIH had a greater abil</w:t>
      </w:r>
      <w:r w:rsidR="001F44B6">
        <w:t>it</w:t>
      </w:r>
      <w:r w:rsidR="00137C0A">
        <w:t>y to reduce demand through</w:t>
      </w:r>
      <w:r w:rsidR="001C3B76">
        <w:t xml:space="preserve"> </w:t>
      </w:r>
      <w:r w:rsidR="002D1ACA">
        <w:t>more efficient appliances</w:t>
      </w:r>
      <w:r w:rsidR="00B33BF6">
        <w:t xml:space="preserve"> and housing</w:t>
      </w:r>
      <w:r w:rsidR="002D1ACA">
        <w:t xml:space="preserve">, </w:t>
      </w:r>
      <w:r w:rsidR="00B33BF6">
        <w:t xml:space="preserve">and the purchase of </w:t>
      </w:r>
      <w:r w:rsidR="00CA53A7">
        <w:t>solar phot</w:t>
      </w:r>
      <w:r w:rsidR="00B33BF6">
        <w:t>o</w:t>
      </w:r>
      <w:r w:rsidR="00CA53A7">
        <w:t>voltaic panels</w:t>
      </w:r>
      <w:r w:rsidR="005B4BB5">
        <w:t>.</w:t>
      </w:r>
    </w:p>
    <w:p w14:paraId="79B0CA86" w14:textId="77777777" w:rsidR="008964EC" w:rsidRDefault="008964EC" w:rsidP="00F91D91"/>
    <w:p w14:paraId="3C69B0A6" w14:textId="5A46940E" w:rsidR="00F91D91" w:rsidRDefault="00CC7E97" w:rsidP="00F91D91">
      <w:r>
        <w:fldChar w:fldCharType="begin"/>
      </w:r>
      <w:r w:rsidR="001A328C">
        <w:instrText xml:space="preserve"> ADDIN ZOTERO_ITEM CSL_CITATION {"citationID":"nq1sonzW","properties":{"formattedCitation":"(Chester 2013)","plainCitation":"(Chester 2013)","dontUpdate":true,"noteIndex":0},"citationItems":[{"id":690,"uris":["http://zotero.org/users/9869725/items/2ZAGX5WU"],"itemData":{"id":690,"type":"report","publisher":"University of Sydney","title":"The Impacts and Consequences for Low-Income Australian Households of Rising Energy Prices","author":[{"family":"Chester","given":"Lynne"}],"issued":{"date-parts":[["2013",10]]}}}],"schema":"https://github.com/citation-style-language/schema/raw/master/csl-citation.json"} </w:instrText>
      </w:r>
      <w:r>
        <w:fldChar w:fldCharType="separate"/>
      </w:r>
      <w:r w:rsidRPr="00CC7E97">
        <w:t xml:space="preserve">Chester </w:t>
      </w:r>
      <w:r>
        <w:t>(</w:t>
      </w:r>
      <w:r w:rsidRPr="00CC7E97">
        <w:t>2013)</w:t>
      </w:r>
      <w:r>
        <w:fldChar w:fldCharType="end"/>
      </w:r>
      <w:r>
        <w:t xml:space="preserve"> </w:t>
      </w:r>
      <w:r w:rsidR="004C60BD">
        <w:t xml:space="preserve">noted that </w:t>
      </w:r>
      <w:r w:rsidR="00636D25">
        <w:t>LIH had already reduced demand as much as possible</w:t>
      </w:r>
      <w:r w:rsidR="00874E97">
        <w:t xml:space="preserve"> and responded to price increases </w:t>
      </w:r>
      <w:r w:rsidR="00A970B3">
        <w:t xml:space="preserve">through other means. This included </w:t>
      </w:r>
      <w:r w:rsidR="00516CF5">
        <w:t xml:space="preserve">not using </w:t>
      </w:r>
      <w:r w:rsidR="00D20257">
        <w:t>appliances</w:t>
      </w:r>
      <w:r w:rsidR="00952B38">
        <w:t xml:space="preserve"> like</w:t>
      </w:r>
      <w:r w:rsidR="00295DB4">
        <w:t xml:space="preserve"> water heaters,</w:t>
      </w:r>
      <w:r w:rsidR="00952B38">
        <w:t xml:space="preserve"> refrigerators</w:t>
      </w:r>
      <w:r w:rsidR="00295DB4">
        <w:t>,</w:t>
      </w:r>
      <w:r w:rsidR="00952B38">
        <w:t xml:space="preserve"> or </w:t>
      </w:r>
      <w:r w:rsidR="00295DB4">
        <w:t xml:space="preserve">space </w:t>
      </w:r>
      <w:r w:rsidR="00952B38">
        <w:t>heating</w:t>
      </w:r>
      <w:r w:rsidR="00295DB4">
        <w:t>,</w:t>
      </w:r>
      <w:r w:rsidR="00516CF5">
        <w:t xml:space="preserve"> or forgoing other </w:t>
      </w:r>
      <w:r w:rsidR="002633CD">
        <w:t>purchases like food and medication.</w:t>
      </w:r>
      <w:r w:rsidR="00955099">
        <w:t xml:space="preserve"> Chester</w:t>
      </w:r>
      <w:r w:rsidR="008964EC">
        <w:t xml:space="preserve"> also</w:t>
      </w:r>
      <w:r w:rsidR="00955099">
        <w:t xml:space="preserve"> noted that these decisions</w:t>
      </w:r>
      <w:r w:rsidR="00E04D69">
        <w:t xml:space="preserve"> often lead to further costs</w:t>
      </w:r>
      <w:r w:rsidR="00B60EA5">
        <w:t xml:space="preserve">, especially </w:t>
      </w:r>
      <w:r w:rsidR="00295DB4">
        <w:t>regarding</w:t>
      </w:r>
      <w:r w:rsidR="00B60EA5">
        <w:t xml:space="preserve"> health and mental well</w:t>
      </w:r>
      <w:r w:rsidR="00FC3F45">
        <w:t>-</w:t>
      </w:r>
      <w:r w:rsidR="00B60EA5">
        <w:t xml:space="preserve">being </w:t>
      </w:r>
      <w:r w:rsidR="00B60EA5">
        <w:fldChar w:fldCharType="begin"/>
      </w:r>
      <w:r w:rsidR="00B60EA5">
        <w:instrText xml:space="preserve"> ADDIN ZOTERO_ITEM CSL_CITATION {"citationID":"4wgJqsFw","properties":{"formattedCitation":"(Chester 2013, 67\\uc0\\u8211{}101)","plainCitation":"(Chester 2013, 67–101)","noteIndex":0},"citationItems":[{"id":690,"uris":["http://zotero.org/users/9869725/items/2ZAGX5WU"],"itemData":{"id":690,"type":"report","publisher":"University of Sydney","title":"The Impacts and Consequences for Low-Income Australian Households of Rising Energy Prices","author":[{"family":"Chester","given":"Lynne"}],"issued":{"date-parts":[["2013",10]]}},"locator":"67-101","label":"page"}],"schema":"https://github.com/citation-style-language/schema/raw/master/csl-citation.json"} </w:instrText>
      </w:r>
      <w:r w:rsidR="00B60EA5">
        <w:fldChar w:fldCharType="separate"/>
      </w:r>
      <w:r w:rsidR="00B60EA5" w:rsidRPr="00B60EA5">
        <w:rPr>
          <w:rFonts w:cs="Times New Roman"/>
          <w:szCs w:val="24"/>
        </w:rPr>
        <w:t>(Chester 2013, 67–101)</w:t>
      </w:r>
      <w:r w:rsidR="00B60EA5">
        <w:fldChar w:fldCharType="end"/>
      </w:r>
      <w:r w:rsidR="00B60EA5">
        <w:t>.</w:t>
      </w:r>
    </w:p>
    <w:p w14:paraId="3E3B8E7E" w14:textId="77777777" w:rsidR="009A5D63" w:rsidRDefault="009A5D63" w:rsidP="00F91D91"/>
    <w:p w14:paraId="71874B65" w14:textId="5AA0B2B5" w:rsidR="009A5D63" w:rsidRDefault="009A5D63" w:rsidP="00F91D91">
      <w:r>
        <w:t xml:space="preserve">Because electricity is </w:t>
      </w:r>
      <w:r w:rsidR="006536EB">
        <w:t xml:space="preserve">an essential service, and the inability of LIH to reduce demand further, </w:t>
      </w:r>
      <w:r w:rsidR="0052115E">
        <w:t xml:space="preserve">increasing prices have a deleterious impact on household budgets and </w:t>
      </w:r>
      <w:r w:rsidR="005F1CD1">
        <w:t>financial stress.</w:t>
      </w:r>
    </w:p>
    <w:p w14:paraId="16298F89" w14:textId="77777777" w:rsidR="00512585" w:rsidRDefault="00512585" w:rsidP="00F91D91"/>
    <w:p w14:paraId="0F2A8A4E" w14:textId="18E9A5FF" w:rsidR="00975D64" w:rsidRDefault="002174AE" w:rsidP="008B476D">
      <w:pPr>
        <w:pStyle w:val="Heading2"/>
      </w:pPr>
      <w:r>
        <w:t>Hardship Programs</w:t>
      </w:r>
      <w:r w:rsidR="00F20F26">
        <w:t xml:space="preserve"> and Government Assistance</w:t>
      </w:r>
    </w:p>
    <w:p w14:paraId="74E12381" w14:textId="2D6BF4CC" w:rsidR="002174AE" w:rsidRDefault="00EC48A5" w:rsidP="002174AE">
      <w:r>
        <w:t>Because electricity is</w:t>
      </w:r>
      <w:r w:rsidR="006D48EA">
        <w:t xml:space="preserve"> considered a</w:t>
      </w:r>
      <w:r w:rsidR="00EC5918">
        <w:t>n essential service</w:t>
      </w:r>
      <w:r w:rsidR="003860C8">
        <w:t xml:space="preserve">, all </w:t>
      </w:r>
      <w:r w:rsidR="00D74BBC">
        <w:t xml:space="preserve">Australian </w:t>
      </w:r>
      <w:r w:rsidR="00AA16AF">
        <w:t xml:space="preserve">energy retailers are mandated to </w:t>
      </w:r>
      <w:r w:rsidR="00257948">
        <w:t>maintain customer hardship policies</w:t>
      </w:r>
      <w:r w:rsidR="00D80EF3">
        <w:t>. The</w:t>
      </w:r>
      <w:r w:rsidR="001A328C">
        <w:t>y aim</w:t>
      </w:r>
      <w:r w:rsidR="00D80EF3">
        <w:t xml:space="preserve"> to </w:t>
      </w:r>
      <w:r w:rsidR="00257948">
        <w:t>prevent disconnection</w:t>
      </w:r>
      <w:r w:rsidR="002D7873">
        <w:t xml:space="preserve"> </w:t>
      </w:r>
      <w:r w:rsidR="00462D2D">
        <w:t xml:space="preserve">by </w:t>
      </w:r>
      <w:r w:rsidR="00D80EF3">
        <w:t xml:space="preserve">providing </w:t>
      </w:r>
      <w:r w:rsidR="006F6261">
        <w:t xml:space="preserve">flexible </w:t>
      </w:r>
      <w:r w:rsidR="001A328C">
        <w:t xml:space="preserve">payment options for households experiencing financial stress </w:t>
      </w:r>
      <w:r w:rsidR="001A328C">
        <w:fldChar w:fldCharType="begin"/>
      </w:r>
      <w:r w:rsidR="001A328C">
        <w:instrText xml:space="preserve"> ADDIN ZOTERO_ITEM CSL_CITATION {"citationID":"J9AU15o9","properties":{"formattedCitation":"(AER 2014)","plainCitation":"(AER 2014)","noteIndex":0},"citationItems":[{"id":1244,"uris":["http://zotero.org/users/9869725/items/WPS6JB9J"],"itemData":{"id":1244,"type":"webpage","abstract":"Under the Retail Law, authorised retailers must develop, maintain and implement customer hardship policies for their residential customers. The purpose of a retailer’s customer hardship policy is prescribed in the Retail Law—to identify customers experiencing payment difficulties due to hardship and to assist those customers to better manage their energy bills on an ongoing basis. [TOC:ul] AER approval of retailers' customer hardship policies The AER approves retailers' compliant customer hardship policies in accordance with the Customer Hardship Policy Guideline (the Guideline).","container-title":"Australian Energy Regulator","language":"en","title":"Australian Energy Regulator: Customer Hardship Policies","URL":"https://www.aer.gov.au/retail-markets/customer-hardship-policies","author":[{"literal":"AER"}],"accessed":{"date-parts":[["2023",6,15]]},"issued":{"date-parts":[["2014",9,4]]}}}],"schema":"https://github.com/citation-style-language/schema/raw/master/csl-citation.json"} </w:instrText>
      </w:r>
      <w:r w:rsidR="001A328C">
        <w:fldChar w:fldCharType="separate"/>
      </w:r>
      <w:r w:rsidR="001A328C" w:rsidRPr="001A328C">
        <w:t>(AER 2014)</w:t>
      </w:r>
      <w:r w:rsidR="001A328C">
        <w:fldChar w:fldCharType="end"/>
      </w:r>
      <w:r w:rsidR="000923AA">
        <w:t>.</w:t>
      </w:r>
    </w:p>
    <w:p w14:paraId="44C136ED" w14:textId="77777777" w:rsidR="000923AA" w:rsidRDefault="000923AA" w:rsidP="002174AE"/>
    <w:p w14:paraId="5BCA2886" w14:textId="03DCCC24" w:rsidR="00B73E6D" w:rsidRDefault="00D767FA" w:rsidP="002174AE">
      <w:r>
        <w:t xml:space="preserve">A study of households on hardship programs in 2019 found </w:t>
      </w:r>
      <w:r w:rsidR="00495F7A">
        <w:t xml:space="preserve">that: </w:t>
      </w:r>
      <w:r w:rsidR="0074521B">
        <w:t xml:space="preserve">14% of </w:t>
      </w:r>
      <w:r w:rsidR="00993B7B">
        <w:t xml:space="preserve">hardship </w:t>
      </w:r>
      <w:r w:rsidR="00E15D3C">
        <w:t xml:space="preserve">program consumers are on plans </w:t>
      </w:r>
      <w:r w:rsidR="00924356">
        <w:t xml:space="preserve">that </w:t>
      </w:r>
      <w:r w:rsidR="0074521B">
        <w:t>pay for both ongoing energy</w:t>
      </w:r>
      <w:r w:rsidR="00F63950">
        <w:t xml:space="preserve"> use and accrued debt, whereas 20% are on plans </w:t>
      </w:r>
      <w:r w:rsidR="00E15D3C">
        <w:t>that</w:t>
      </w:r>
      <w:r w:rsidR="00F1059F">
        <w:t xml:space="preserve"> </w:t>
      </w:r>
      <w:r w:rsidR="001A7B48">
        <w:t xml:space="preserve">only </w:t>
      </w:r>
      <w:r w:rsidR="0065539F">
        <w:t>cover</w:t>
      </w:r>
      <w:r w:rsidR="001A7B48">
        <w:t xml:space="preserve"> the cost of ongoing consumption, but do</w:t>
      </w:r>
      <w:r w:rsidR="0065539F">
        <w:t xml:space="preserve"> </w:t>
      </w:r>
      <w:r w:rsidR="001A7B48">
        <w:t>not pay off any debt</w:t>
      </w:r>
      <w:r w:rsidR="00773C6F">
        <w:t xml:space="preserve">. </w:t>
      </w:r>
      <w:r w:rsidR="004B10E4">
        <w:t>Further</w:t>
      </w:r>
      <w:r w:rsidR="000C16FB">
        <w:t xml:space="preserve">, over 60% of hardship program consumers are on plans that account for neither consumption nor accrued debt, meaning these households </w:t>
      </w:r>
      <w:r w:rsidR="00821FD9">
        <w:t xml:space="preserve">continue to </w:t>
      </w:r>
      <w:r w:rsidR="00A12013">
        <w:t>increase</w:t>
      </w:r>
      <w:r w:rsidR="00A225FD">
        <w:t xml:space="preserve"> </w:t>
      </w:r>
      <w:r w:rsidR="005F5621">
        <w:t>energy-related</w:t>
      </w:r>
      <w:r w:rsidR="00821FD9">
        <w:t xml:space="preserve"> debt </w:t>
      </w:r>
      <w:r w:rsidR="00821FD9">
        <w:fldChar w:fldCharType="begin"/>
      </w:r>
      <w:r w:rsidR="00821FD9">
        <w:instrText xml:space="preserve"> ADDIN ZOTERO_ITEM CSL_CITATION {"citationID":"4vyLHpkY","properties":{"formattedCitation":"(Nelson et al. 2019, 266\\uc0\\u8211{}67)","plainCitation":"(Nelson et al. 2019, 266–67)","noteIndex":0},"citationItems":[{"id":820,"uris":["http://zotero.org/users/9869725/items/W6H4XHBS"],"itemData":{"id":820,"type":"article-journal","abstract":"(2017) demonstrated that income levels are inadequate for some Australian households to maintain a basic standard of living. Analysing utility bills can extend this consideration of income adequacy issues given the essential nature of services such as electricity, telephony and water. This article builds on the work presented by Simshauser and Nelson (2014) about key demographic cohorts in Australia that have a high incidence of energy-related financial hardship. Our analysis indicates that energy related financial hardship is likely to be related to a combination of the following: family formation demographics; low-income (often reliant upon government income support); higher household size; and higher than average consumption. Our policy recommendations are relatively straightforward: development of tools to allow easier 'shopping around' by energy customers; cessation of credit-checking by energy retailers as a means of restricting access to energy offers; reform of state-based concessions frameworks; a lifting of income support for some key cohorts (e.g. unemployed); improvements to energy-efficiency standards; and amendments to tenancy laws to overcome potential principal-agent issues associated with uptake of new energy products and services such as embedded solar PV and battery storage.","container-title":"Energy Policy","DOI":"10.1016/j.enpol.2018.10.003","page":"Pages 262-271","title":"The drivers of energy-related financial hardship in Australia-understanding the role of income, consumption and housing.","volume":"124","author":[{"family":"Nelson","given":"Tim"},{"family":"McCracken-Hewson","given":"Eleanor"},{"family":"Sundstrom","given":"Gabby"},{"family":"Hawthorne","given":"Marianne"}],"issued":{"date-parts":[["2019"]]}},"locator":"266-267","label":"page"}],"schema":"https://github.com/citation-style-language/schema/raw/master/csl-citation.json"} </w:instrText>
      </w:r>
      <w:r w:rsidR="00821FD9">
        <w:fldChar w:fldCharType="separate"/>
      </w:r>
      <w:r w:rsidR="00821FD9" w:rsidRPr="00821FD9">
        <w:rPr>
          <w:rFonts w:cs="Times New Roman"/>
          <w:szCs w:val="24"/>
        </w:rPr>
        <w:t>(Nelson et al. 2019, 266–67)</w:t>
      </w:r>
      <w:r w:rsidR="00821FD9">
        <w:fldChar w:fldCharType="end"/>
      </w:r>
      <w:r w:rsidR="000C16FB">
        <w:t>.</w:t>
      </w:r>
    </w:p>
    <w:p w14:paraId="13336299" w14:textId="77777777" w:rsidR="000923AA" w:rsidRPr="002174AE" w:rsidRDefault="000923AA" w:rsidP="002174AE"/>
    <w:p w14:paraId="693ED8AD" w14:textId="4C1EC3C2" w:rsidR="00FC3F45" w:rsidRDefault="00F20F26" w:rsidP="00F91D91">
      <w:r>
        <w:lastRenderedPageBreak/>
        <w:t xml:space="preserve">Direct </w:t>
      </w:r>
      <w:r w:rsidR="006D576D">
        <w:t xml:space="preserve">government </w:t>
      </w:r>
      <w:r w:rsidR="00E77722">
        <w:t>support</w:t>
      </w:r>
      <w:r w:rsidR="006D576D">
        <w:t xml:space="preserve"> through rebates and transfer payments </w:t>
      </w:r>
      <w:r w:rsidR="00A43CAC">
        <w:t>is</w:t>
      </w:r>
      <w:r w:rsidR="006D576D">
        <w:t xml:space="preserve"> another</w:t>
      </w:r>
      <w:r w:rsidR="00E77722">
        <w:t xml:space="preserve"> way to assist LIH experiencing </w:t>
      </w:r>
      <w:r w:rsidR="00FF1C14">
        <w:t>EP</w:t>
      </w:r>
      <w:r w:rsidR="00A43CAC">
        <w:t>.</w:t>
      </w:r>
      <w:r w:rsidR="00E56758">
        <w:t xml:space="preserve"> </w:t>
      </w:r>
      <w:r w:rsidR="00E57A61">
        <w:t xml:space="preserve">As the inclusion criteria in these programs are </w:t>
      </w:r>
      <w:r w:rsidR="005D05CA">
        <w:t xml:space="preserve">usually income-based, </w:t>
      </w:r>
      <w:r w:rsidR="00474760">
        <w:t>i</w:t>
      </w:r>
      <w:r w:rsidR="005D05CA">
        <w:t xml:space="preserve">nclusion and exclusion error </w:t>
      </w:r>
      <w:proofErr w:type="gramStart"/>
      <w:r w:rsidR="005D05CA">
        <w:t>is</w:t>
      </w:r>
      <w:proofErr w:type="gramEnd"/>
      <w:r w:rsidR="005D05CA">
        <w:t xml:space="preserve"> a problem.</w:t>
      </w:r>
      <w:r w:rsidR="00C62EAA">
        <w:t xml:space="preserve"> Nelson (2019) </w:t>
      </w:r>
      <w:r w:rsidR="009A7B11">
        <w:t>noted that</w:t>
      </w:r>
      <w:r w:rsidR="00905109">
        <w:t xml:space="preserve"> only</w:t>
      </w:r>
      <w:r w:rsidR="009A7B11">
        <w:t xml:space="preserve"> </w:t>
      </w:r>
      <w:r w:rsidR="004129E8">
        <w:t>~25% of hardship program customer</w:t>
      </w:r>
      <w:r w:rsidR="007564A8">
        <w:t>s were eligible for</w:t>
      </w:r>
      <w:r w:rsidR="004129E8">
        <w:t xml:space="preserve"> government assistance</w:t>
      </w:r>
      <w:r w:rsidR="00AB3B1F">
        <w:t>. They concluded that income m</w:t>
      </w:r>
      <w:r w:rsidR="007564A8">
        <w:t>ight</w:t>
      </w:r>
      <w:r w:rsidR="00AB3B1F">
        <w:t xml:space="preserve"> not be the only factor determining </w:t>
      </w:r>
      <w:r w:rsidR="00FF1C14">
        <w:t>EP</w:t>
      </w:r>
      <w:r w:rsidR="007564A8">
        <w:t xml:space="preserve"> </w:t>
      </w:r>
      <w:r w:rsidR="007564A8">
        <w:fldChar w:fldCharType="begin"/>
      </w:r>
      <w:r w:rsidR="007564A8">
        <w:instrText xml:space="preserve"> ADDIN ZOTERO_ITEM CSL_CITATION {"citationID":"bzDKn9vs","properties":{"formattedCitation":"(Nelson et al. 2019, 266)","plainCitation":"(Nelson et al. 2019, 266)","noteIndex":0},"citationItems":[{"id":820,"uris":["http://zotero.org/users/9869725/items/W6H4XHBS"],"itemData":{"id":820,"type":"article-journal","abstract":"(2017) demonstrated that income levels are inadequate for some Australian households to maintain a basic standard of living. Analysing utility bills can extend this consideration of income adequacy issues given the essential nature of services such as electricity, telephony and water. This article builds on the work presented by Simshauser and Nelson (2014) about key demographic cohorts in Australia that have a high incidence of energy-related financial hardship. Our analysis indicates that energy related financial hardship is likely to be related to a combination of the following: family formation demographics; low-income (often reliant upon government income support); higher household size; and higher than average consumption. Our policy recommendations are relatively straightforward: development of tools to allow easier 'shopping around' by energy customers; cessation of credit-checking by energy retailers as a means of restricting access to energy offers; reform of state-based concessions frameworks; a lifting of income support for some key cohorts (e.g. unemployed); improvements to energy-efficiency standards; and amendments to tenancy laws to overcome potential principal-agent issues associated with uptake of new energy products and services such as embedded solar PV and battery storage.","container-title":"Energy Policy","DOI":"10.1016/j.enpol.2018.10.003","page":"Pages 262-271","title":"The drivers of energy-related financial hardship in Australia-understanding the role of income, consumption and housing.","volume":"124","author":[{"family":"Nelson","given":"Tim"},{"family":"McCracken-Hewson","given":"Eleanor"},{"family":"Sundstrom","given":"Gabby"},{"family":"Hawthorne","given":"Marianne"}],"issued":{"date-parts":[["2019"]]}},"locator":"266","label":"page"}],"schema":"https://github.com/citation-style-language/schema/raw/master/csl-citation.json"} </w:instrText>
      </w:r>
      <w:r w:rsidR="007564A8">
        <w:fldChar w:fldCharType="separate"/>
      </w:r>
      <w:r w:rsidR="007564A8" w:rsidRPr="007564A8">
        <w:t>(Nelson et al. 2019, 266)</w:t>
      </w:r>
      <w:r w:rsidR="007564A8">
        <w:fldChar w:fldCharType="end"/>
      </w:r>
      <w:r w:rsidR="005D609B">
        <w:t>. Other studies supported this</w:t>
      </w:r>
      <w:r w:rsidR="00E366ED">
        <w:t>, concluding a range of determinants</w:t>
      </w:r>
      <w:r w:rsidR="006B0FF9">
        <w:t xml:space="preserve"> for </w:t>
      </w:r>
      <w:r w:rsidR="00FF1C14">
        <w:t>EP</w:t>
      </w:r>
      <w:r w:rsidR="006B0FF9">
        <w:t>,</w:t>
      </w:r>
      <w:r w:rsidR="00E366ED">
        <w:t xml:space="preserve"> </w:t>
      </w:r>
      <w:r w:rsidR="001436FF">
        <w:t xml:space="preserve">such as ethnicity, household size and type, </w:t>
      </w:r>
      <w:r w:rsidR="00ED4FE0">
        <w:t>residential mode</w:t>
      </w:r>
      <w:r w:rsidR="00ED4FE0">
        <w:rPr>
          <w:rStyle w:val="FootnoteReference"/>
        </w:rPr>
        <w:footnoteReference w:id="2"/>
      </w:r>
      <w:r w:rsidR="00B5752D">
        <w:t>, and other factors</w:t>
      </w:r>
      <w:r w:rsidR="00BA6C4A">
        <w:t xml:space="preserve"> </w:t>
      </w:r>
      <w:r w:rsidR="00B5752D">
        <w:t xml:space="preserve"> </w:t>
      </w:r>
      <w:r w:rsidR="00B5752D">
        <w:fldChar w:fldCharType="begin"/>
      </w:r>
      <w:r w:rsidR="00B5752D">
        <w:instrText xml:space="preserve"> ADDIN ZOTERO_ITEM CSL_CITATION {"citationID":"qyYG08TK","properties":{"formattedCitation":"(Churchill and Smyth 2020; Chester 2013; Chester and Elliot 2019; Best and Burke 2019; Best et al. 2021; Nance 2017)","plainCitation":"(Churchill and Smyth 2020; Chester 2013; Chester and Elliot 2019; Best and Burke 2019; Best et al. 2021; Nance 2017)","noteIndex":0},"citationItems":[{"id":992,"uris":["http://zotero.org/users/9869725/items/76WR27TV"],"itemData":{"id":992,"type":"article-journal","container-title":"Energy economics","DOI":"10.1016/j.eneco.2020.104663","ISSN":"0140-9883","language":"eng","page":"104663-","source":"multisearch.mq.edu.au","title":"Ethnic diversity, energy poverty and the mediating role of trust: Evidence from household panel data for Australia","title-short":"Ethnic diversity, energy poverty and the mediating role of trust","volume":"86","author":[{"family":"Churchill","given":"Sefa Awaworyi"},{"family":"Smyth","given":"Russell"}],"issued":{"date-parts":[["2020"]]}}},{"id":690,"uris":["http://zotero.org/users/9869725/items/2ZAGX5WU"],"itemData":{"id":690,"type":"report","publisher":"University of Sydney","title":"The Impacts and Consequences for Low-Income Australian Households of Rising Energy Prices","author":[{"family":"Chester","given":"Lynne"}],"issued":{"date-parts":[["2013",10]]}}},{"id":733,"uris":["http://zotero.org/users/9869725/items/3GPT74GM"],"itemData":{"id":733,"type":"article-journal","abstract":"This article contributes to the discussion of frameworks for conducting energy policy analysis. The article considers the influence of epistemic frames on energy policy decisions, and particularly the representation of energy problems, using a social constructionist approach and a case study of Australian electricity policy, the cornerstone of the nation's energy policy. Rather than contributing to the debate about the future of a country-specific electricity sector or a classification of differing conceptualisations of energy, the article focuses on ‘the explanation of energy’ by investigating the framing of Australian electricity policy from early 20th century Federation to the contemporary era. A six-question analytical grid is deployed to examine how debates and policies about electricity provisioning—and the ‘energy problem’—have been constructed and reconstructed. The article concludes that the framing and reframing of the problem of ‘energy’ over time represents a key mechanism through which the state has represented, constituted and configured its role in the nation and reflects broader transformations in ‘governing’.","container-title":"Energy Policy","DOI":"10.1016/J.ENPOL.2018.12.052","ISSN":"03014215","note":"publisher: Elsevier Ltd","page":"102-113","title":"Energy problem representation: The historical and contemporary framing of Australian electricity policy","volume":"128","author":[{"family":"Chester","given":"Lynne"},{"family":"Elliot","given":"Amanda"}],"issued":{"date-parts":[["2019",5,1]]}}},{"id":807,"uris":["http://zotero.org/users/9869725/items/H8LNBWPZ"],"itemData":{"id":807,"type":"article-journal","abstract":"This paper quantifies factors affecting energy-related financialstress in Australia, a key economic challenge facing a minority ofhouseholds. We find that low net wealth is a particularly importantfactor affecting difficulty in paying energy bills. Having insulationreduces reported difficulties in being able to heat and cool homes.The odds of not paying energy bills on time are doubled byhouseholds not having solar panels. Other important factorscontributing to energy-related financial stress include being arenter, being a mortgage holder, having a large number ofoccupants in a household, and having a resident who requiresenergy-consuming medical equipment","container-title":"Economic Record","issue":"311","page":"426-479","title":"Factors Contributing to Energy-related Financial Stress in Australia","volume":"95","author":[{"family":"Best","given":"Rohan"},{"family":"Burke","given":"Paul J."}],"issued":{"date-parts":[["2019",12]]}}},{"id":1145,"uris":["http://zotero.org/users/9869725/items/QT5HIXGU"],"itemData":{"id":1145,"type":"article-journal","abstract":"Governments face considerable challenges in ensuring that public funds for energy assistance programs are allocated to households with the greatest need of assistance. The difficulty relates to the complexity of household energy challenges with their many contributing causes, which contrasts with the need for policy approaches to have relatively simple criteria to be feasible. We use a multiple-indicator approach to define energy poverty and develop methods from the literature on income poverty to analyse energy poverty according to its incidence, intensity, and inequality. We show that common approaches to targeting based on income or welfare status result in high diversion of public funds to households that do not experience major energy stress. Alternatively, setting wealth thresholds or targeting only some categories of welfare recipients could more consistently identify households that face energy poverty.","container-title":"Energy Economics","DOI":"10.1016/j.eneco.2021.105311","ISSN":"0140-9883","journalAbbreviation":"Energy Economics","language":"en","page":"105311","source":"ScienceDirect","title":"Targeting household energy assistance","volume":"99","author":[{"family":"Best","given":"Rohan"},{"family":"Hammerle","given":"Mara"},{"family":"Mukhopadhaya","given":"Pundarik"},{"family":"Silber","given":"Jacques"}],"issued":{"date-parts":[["2021",7,1]]}}},{"id":697,"uris":["http://zotero.org/users/9869725/items/VCYZJSCK"],"itemData":{"id":697,"type":"report","abstract":"This research report was commissioned by The Climate Institute, the Australian Council of Social Service and Brotherhood of St Laurence to inform their joint project Empowering low income households through electricity decarbonisation. This report argues for five policy outcomes that reflect the interaction between household energy bills and energy, climate and social policies: electricity priced efficiently (including integrated climate policy); informed and engaged consumers; energy consumed efficiently and productively; robust consumer protections; and all households have a capacity to pay their energy bills. These five outcomes, pursued in broadly equal measure, can help ensure effective decarbonisation of the electricity supply chain while preserving universal access to affordable energy services. The research report will be used to inform national consultations with Community and Environment sectors for the purpose of developing policies focused on the needs of vulnerable, low-income households through the transformation and decarbonisation of the electricity system. Recommendations from the consultations will be submitted to the Federal Government's 2017 review of climate policies. Acknowledgements:","publisher":"Energy Consumers Australia Limited","title":"Energy Access and Affordability Policy Research","URL":"http://aemc.gov.au/News-Center/What-s-New/Announcements/AEMC-submission-to-the-","author":[{"family":"Nance","given":"Andrew"}],"accessed":{"date-parts":[["2022",9,8]]},"issued":{"date-parts":[["2017",3,17]]}}}],"schema":"https://github.com/citation-style-language/schema/raw/master/csl-citation.json"} </w:instrText>
      </w:r>
      <w:r w:rsidR="00B5752D">
        <w:fldChar w:fldCharType="separate"/>
      </w:r>
      <w:r w:rsidR="00B5752D" w:rsidRPr="00B5752D">
        <w:t>(Churchill and Smyth 2020; Chester 2013; Chester and Elliot 2019; Best and Burke 2019; Best et al. 2021; Nance 2017)</w:t>
      </w:r>
      <w:r w:rsidR="00B5752D">
        <w:fldChar w:fldCharType="end"/>
      </w:r>
      <w:r w:rsidR="00620655">
        <w:t>.</w:t>
      </w:r>
      <w:r w:rsidR="00386B96">
        <w:t xml:space="preserve"> Another study by </w:t>
      </w:r>
      <w:r w:rsidR="00386B96">
        <w:fldChar w:fldCharType="begin"/>
      </w:r>
      <w:r w:rsidR="00DC3B81">
        <w:instrText xml:space="preserve"> ADDIN ZOTERO_ITEM CSL_CITATION {"citationID":"sQ8urli2","properties":{"formattedCitation":"(Simshauser 2023)","plainCitation":"(Simshauser 2023)","dontUpdate":true,"noteIndex":0},"citationItems":[{"id":1227,"uris":["http://zotero.org/users/9869725/items/NKTX2KZL"],"itemData":{"id":1227,"type":"article-journal","abstract":"The war in Ukraine and associated 2022 energy crisis had far-reaching effects, with seaborne prices for coal and gas reaching multiples of their historic averages. While Europe was the epicentre, countries as far away as Australia were impacted. Governments across multiple jurisdictions have since orchestrated very material energy subsidies for households to reduce the adverse effects, with fiscal estimates across EU member states ranging from 0.5 to 7% of GDP. As a major energy exporter, the Australian Government took a different policy pathway by targeting the source of electricity tariff increases, viz. imposing price caps of $125/t and $12/GJ for coal and gas, respectively. Some state governments in Australia also revised their household energy hardship policies. This article analyses the level of fuel poverty before- and after- the array of Commonwealth and State policy interventions. Commonwealth policy had the effect of moderating forecast electricity tariff increases from 35% to 16.5%, which benefits all customers. However, State Government customer hardship policy remains vitally important and makes the dominant contribution in reducing fuel poverty.","container-title":"Energy Economics","DOI":"10.1016/j.eneco.2023.106660","ISSN":"0140-9883","journalAbbreviation":"Energy Economics","language":"en","page":"106660","source":"ScienceDirect","title":"The 2022 energy crisis: Fuel poverty and the impact of policy interventions in Australia's National Electricity Market","title-short":"The 2022 energy crisis","volume":"121","author":[{"family":"Simshauser","given":"Paul"}],"issued":{"date-parts":[["2023",5,1]]}}}],"schema":"https://github.com/citation-style-language/schema/raw/master/csl-citation.json"} </w:instrText>
      </w:r>
      <w:r w:rsidR="00386B96">
        <w:fldChar w:fldCharType="separate"/>
      </w:r>
      <w:r w:rsidR="00386B96" w:rsidRPr="00386B96">
        <w:t xml:space="preserve">Simshauser </w:t>
      </w:r>
      <w:r w:rsidR="00E27B5B">
        <w:t>(</w:t>
      </w:r>
      <w:r w:rsidR="00386B96" w:rsidRPr="00386B96">
        <w:t>2023)</w:t>
      </w:r>
      <w:r w:rsidR="00386B96">
        <w:fldChar w:fldCharType="end"/>
      </w:r>
      <w:r w:rsidR="00E27B5B">
        <w:t xml:space="preserve"> found </w:t>
      </w:r>
      <w:r w:rsidR="001655D2">
        <w:t>exclusion error</w:t>
      </w:r>
      <w:r w:rsidR="006B0FF9">
        <w:t xml:space="preserve"> for government assistance</w:t>
      </w:r>
      <w:r w:rsidR="001655D2">
        <w:t xml:space="preserve"> </w:t>
      </w:r>
      <w:r w:rsidR="00496CDC">
        <w:t>for</w:t>
      </w:r>
      <w:r w:rsidR="001655D2">
        <w:t xml:space="preserve"> Queensland </w:t>
      </w:r>
      <w:r w:rsidR="0082518F">
        <w:t>hou</w:t>
      </w:r>
      <w:r w:rsidR="00BB2A85">
        <w:t xml:space="preserve">seholds experiencing </w:t>
      </w:r>
      <w:r w:rsidR="00FF1C14">
        <w:t>EP</w:t>
      </w:r>
      <w:r w:rsidR="001655D2">
        <w:t xml:space="preserve"> was </w:t>
      </w:r>
      <w:r w:rsidR="00FE1A91">
        <w:t>~5.4%</w:t>
      </w:r>
      <w:r w:rsidR="001655D2">
        <w:t xml:space="preserve"> </w:t>
      </w:r>
      <w:r w:rsidR="001655D2">
        <w:fldChar w:fldCharType="begin"/>
      </w:r>
      <w:r w:rsidR="001655D2">
        <w:instrText xml:space="preserve"> ADDIN ZOTERO_ITEM CSL_CITATION {"citationID":"PmeY5EbU","properties":{"formattedCitation":"(Simshauser 2023, 10)","plainCitation":"(Simshauser 2023, 10)","noteIndex":0},"citationItems":[{"id":1227,"uris":["http://zotero.org/users/9869725/items/NKTX2KZL"],"itemData":{"id":1227,"type":"article-journal","abstract":"The war in Ukraine and associated 2022 energy crisis had far-reaching effects, with seaborne prices for coal and gas reaching multiples of their historic averages. While Europe was the epicentre, countries as far away as Australia were impacted. Governments across multiple jurisdictions have since orchestrated very material energy subsidies for households to reduce the adverse effects, with fiscal estimates across EU member states ranging from 0.5 to 7% of GDP. As a major energy exporter, the Australian Government took a different policy pathway by targeting the source of electricity tariff increases, viz. imposing price caps of $125/t and $12/GJ for coal and gas, respectively. Some state governments in Australia also revised their household energy hardship policies. This article analyses the level of fuel poverty before- and after- the array of Commonwealth and State policy interventions. Commonwealth policy had the effect of moderating forecast electricity tariff increases from 35% to 16.5%, which benefits all customers. However, State Government customer hardship policy remains vitally important and makes the dominant contribution in reducing fuel poverty.","container-title":"Energy Economics","DOI":"10.1016/j.eneco.2023.106660","ISSN":"0140-9883","journalAbbreviation":"Energy Economics","language":"en","page":"106660","source":"ScienceDirect","title":"The 2022 energy crisis: Fuel poverty and the impact of policy interventions in Australia's National Electricity Market","title-short":"The 2022 energy crisis","volume":"121","author":[{"family":"Simshauser","given":"Paul"}],"issued":{"date-parts":[["2023",5,1]]}},"locator":"10","label":"page"}],"schema":"https://github.com/citation-style-language/schema/raw/master/csl-citation.json"} </w:instrText>
      </w:r>
      <w:r w:rsidR="001655D2">
        <w:fldChar w:fldCharType="separate"/>
      </w:r>
      <w:r w:rsidR="001655D2" w:rsidRPr="001655D2">
        <w:t>(Simshauser 2023, 10)</w:t>
      </w:r>
      <w:r w:rsidR="001655D2">
        <w:fldChar w:fldCharType="end"/>
      </w:r>
      <w:r w:rsidR="00E806D1">
        <w:t>.</w:t>
      </w:r>
    </w:p>
    <w:p w14:paraId="42A52DC7" w14:textId="77777777" w:rsidR="00412C3B" w:rsidRDefault="00412C3B" w:rsidP="00F91D91"/>
    <w:p w14:paraId="3587C413" w14:textId="1EB701F4" w:rsidR="00275791" w:rsidRDefault="001E227C" w:rsidP="00275791">
      <w:r>
        <w:t xml:space="preserve">Hardship programs and government assistance alleviate </w:t>
      </w:r>
      <w:r w:rsidR="00735301">
        <w:t xml:space="preserve">the impacts of </w:t>
      </w:r>
      <w:r w:rsidR="00FF1C14">
        <w:t>EP</w:t>
      </w:r>
      <w:r w:rsidR="00735301">
        <w:t xml:space="preserve">. </w:t>
      </w:r>
      <w:r w:rsidR="00E12921">
        <w:t>H</w:t>
      </w:r>
      <w:r w:rsidR="00735301">
        <w:t>owever, rapidly rising electricity prices</w:t>
      </w:r>
      <w:r w:rsidR="00BC7C75">
        <w:t xml:space="preserve"> </w:t>
      </w:r>
      <w:r w:rsidR="0093409A">
        <w:t xml:space="preserve">result in a larger cohort of households experiencing </w:t>
      </w:r>
      <w:r w:rsidR="00625262">
        <w:t>EP</w:t>
      </w:r>
      <w:r w:rsidR="0093409A">
        <w:t xml:space="preserve">, especially in households excluded from current </w:t>
      </w:r>
      <w:r w:rsidR="00577AC6">
        <w:t>policy settings.</w:t>
      </w:r>
      <w:bookmarkStart w:id="5" w:name="_Toc137316926"/>
    </w:p>
    <w:p w14:paraId="4182109F" w14:textId="77777777" w:rsidR="00275791" w:rsidRDefault="00275791" w:rsidP="00275791"/>
    <w:p w14:paraId="4D4737CC" w14:textId="77777777" w:rsidR="00275791" w:rsidRDefault="00275791" w:rsidP="00275791"/>
    <w:p w14:paraId="650F50BC" w14:textId="35C47848" w:rsidR="00F91D91" w:rsidRDefault="00F91D91" w:rsidP="00275791">
      <w:pPr>
        <w:pStyle w:val="Heading1"/>
      </w:pPr>
      <w:r>
        <w:t>Method</w:t>
      </w:r>
      <w:bookmarkEnd w:id="5"/>
    </w:p>
    <w:p w14:paraId="003EDAA8" w14:textId="7F0C11F3" w:rsidR="00D36718" w:rsidRDefault="00D36718" w:rsidP="00F91D91">
      <w:r>
        <w:t>T</w:t>
      </w:r>
      <w:r w:rsidR="00680E93">
        <w:t>his paper uses data from The Australian Energy Regulator</w:t>
      </w:r>
      <w:r w:rsidR="005A4BDD">
        <w:t xml:space="preserve"> (AER)</w:t>
      </w:r>
      <w:r w:rsidR="00680E93">
        <w:t xml:space="preserve"> and the Australian Bureau of Statistics</w:t>
      </w:r>
      <w:r w:rsidR="005A4BDD">
        <w:t xml:space="preserve"> (ABS)</w:t>
      </w:r>
      <w:r w:rsidR="00680E93">
        <w:t xml:space="preserve"> to measure the impact of electricity price rises on NSW households experiencing energy-related financial stres</w:t>
      </w:r>
      <w:r w:rsidR="0033796F">
        <w:t>s.</w:t>
      </w:r>
      <w:r w:rsidR="001B030E">
        <w:t xml:space="preserve"> </w:t>
      </w:r>
      <w:r w:rsidR="005C74F3">
        <w:t xml:space="preserve">After the data was </w:t>
      </w:r>
      <w:r w:rsidR="005A2790">
        <w:t xml:space="preserve">extracted, </w:t>
      </w:r>
      <w:r w:rsidR="002823B5">
        <w:t xml:space="preserve">a </w:t>
      </w:r>
      <w:r w:rsidR="00D956B6">
        <w:t>log-log regression</w:t>
      </w:r>
      <w:r w:rsidR="00490838">
        <w:t xml:space="preserve"> </w:t>
      </w:r>
      <w:r w:rsidR="00D956B6">
        <w:t>model was</w:t>
      </w:r>
      <w:r w:rsidR="00A4660F">
        <w:t xml:space="preserve"> used to understand </w:t>
      </w:r>
      <w:r w:rsidR="00E91E10">
        <w:t xml:space="preserve">and predict the impact of </w:t>
      </w:r>
      <w:r w:rsidR="00334583">
        <w:t>electricity price rises.</w:t>
      </w:r>
    </w:p>
    <w:p w14:paraId="3ADC3C75" w14:textId="77777777" w:rsidR="00334583" w:rsidRDefault="00334583" w:rsidP="00F91D91"/>
    <w:p w14:paraId="09A7A600" w14:textId="707359BA" w:rsidR="00334583" w:rsidRDefault="00334583" w:rsidP="00334583">
      <w:pPr>
        <w:pStyle w:val="Heading2"/>
      </w:pPr>
      <w:r>
        <w:t>Data</w:t>
      </w:r>
    </w:p>
    <w:p w14:paraId="62697870" w14:textId="230325B2" w:rsidR="00334583" w:rsidRPr="00334583" w:rsidRDefault="00E161D5" w:rsidP="00334583">
      <w:r>
        <w:t>Data was extracted from two sources</w:t>
      </w:r>
      <w:r w:rsidR="00A91DCC">
        <w:t xml:space="preserve"> </w:t>
      </w:r>
      <w:r w:rsidR="008873B4">
        <w:t>for this study</w:t>
      </w:r>
      <w:r w:rsidR="005A4BDD">
        <w:t xml:space="preserve">. </w:t>
      </w:r>
      <w:r w:rsidR="005D72BA">
        <w:t xml:space="preserve">The </w:t>
      </w:r>
      <w:r w:rsidR="000D7D41">
        <w:t>AER</w:t>
      </w:r>
      <w:r w:rsidR="005D72BA">
        <w:t xml:space="preserve"> releases a quarterly </w:t>
      </w:r>
      <w:r w:rsidR="00AA0E18">
        <w:t>market perfo</w:t>
      </w:r>
      <w:r w:rsidR="00DF79F3">
        <w:t>rma</w:t>
      </w:r>
      <w:r w:rsidR="00AA0E18">
        <w:t>nce report</w:t>
      </w:r>
      <w:r w:rsidR="003176A1">
        <w:t xml:space="preserve">, including </w:t>
      </w:r>
      <w:r w:rsidR="00AA0E18">
        <w:t>Hardship Program metr</w:t>
      </w:r>
      <w:r w:rsidR="00DF79F3">
        <w:t>ics</w:t>
      </w:r>
      <w:r w:rsidR="003176A1">
        <w:t>.</w:t>
      </w:r>
      <w:r w:rsidR="006E1B81">
        <w:t xml:space="preserve"> </w:t>
      </w:r>
      <w:r w:rsidR="005A4BDD">
        <w:lastRenderedPageBreak/>
        <w:t xml:space="preserve">While the </w:t>
      </w:r>
      <w:r w:rsidR="000D7D41">
        <w:t xml:space="preserve">ABS releases </w:t>
      </w:r>
      <w:r w:rsidR="00930A53">
        <w:t>quarterly price data</w:t>
      </w:r>
      <w:r w:rsidR="002F43B4">
        <w:t xml:space="preserve">, including an </w:t>
      </w:r>
      <w:r w:rsidR="00CB21AA">
        <w:t>electrical price index (EPI) and a consumer price index (CPI)</w:t>
      </w:r>
      <w:r w:rsidR="00173CDB">
        <w:t xml:space="preserve"> </w:t>
      </w:r>
      <w:r w:rsidR="00173CDB">
        <w:fldChar w:fldCharType="begin"/>
      </w:r>
      <w:r w:rsidR="00DC3B81">
        <w:instrText xml:space="preserve"> ADDIN ZOTERO_ITEM CSL_CITATION {"citationID":"RZDWWMN3","properties":{"formattedCitation":"(ABS 2023b; AER 2023a)","plainCitation":"(ABS 2023b; AER 2023a)","noteIndex":0},"citationItems":[{"id":1111,"uris":["http://zotero.org/users/9869725/items/XJ2MZDGP"],"itemData":{"id":1111,"type":"webpage","container-title":"Australian Bureau of Statistics - Consumer Price Index, Australia","language":"en","title":"Australian Bureau of Statistics: Consumer Price Index, Australia","URL":"https://www.abs.gov.au/statistics/economy/price-indexes-and-inflation/consumer-price-index-australia","author":[{"literal":"ABS"}],"accessed":{"date-parts":[["2023",5,4]]},"issued":{"date-parts":[["2023",7,26]]}}},{"id":1109,"uris":["http://zotero.org/users/9869725/items/UNFJYER6"],"itemData":{"id":1109,"type":"webpage","abstract":"The AER is responsible for reporting on energy retailer performance under the National Energy Retail Law. We publish data on a range of performance indicators including; customer numbers, contract types, complaints, energy debt, payment plans, hardship programs, disconnections and reconnections. We publish this data on a quarterly and annual basis. In our Annual Report we also publish data relating to energy affordability. Retailers are required to report a series of metrics related to their performance to the AER on a regular basis; these requirements are set out in our guidance note.","container-title":"Australian Energy Regulator","language":"en","title":"Australian Energy Regulator - Performance Reporting","URL":"https://www.aer.gov.au/retail-markets/performance-reporting","author":[{"literal":"AER"}],"accessed":{"date-parts":[["2023",5,4]]},"issued":{"date-parts":[["2023"]]}}}],"schema":"https://github.com/citation-style-language/schema/raw/master/csl-citation.json"} </w:instrText>
      </w:r>
      <w:r w:rsidR="00173CDB">
        <w:fldChar w:fldCharType="separate"/>
      </w:r>
      <w:r w:rsidR="00DC3B81" w:rsidRPr="00DC3B81">
        <w:t>(ABS 2023b; AER 2023a)</w:t>
      </w:r>
      <w:r w:rsidR="00173CDB">
        <w:fldChar w:fldCharType="end"/>
      </w:r>
      <w:r w:rsidR="00DB7B84">
        <w:t>.</w:t>
      </w:r>
    </w:p>
    <w:p w14:paraId="54F51C55" w14:textId="77777777" w:rsidR="00D36718" w:rsidRDefault="00D36718" w:rsidP="00F91D91"/>
    <w:p w14:paraId="42005132" w14:textId="4DE0BEB0" w:rsidR="008257C6" w:rsidRDefault="008257C6" w:rsidP="00F91D91">
      <w:r>
        <w:t xml:space="preserve">The </w:t>
      </w:r>
      <w:r w:rsidR="00455FA3">
        <w:t>AER</w:t>
      </w:r>
      <w:r>
        <w:t xml:space="preserve"> </w:t>
      </w:r>
      <w:r w:rsidR="00985B53">
        <w:t xml:space="preserve">started reporting </w:t>
      </w:r>
      <w:r>
        <w:t>Hardship Program metrics</w:t>
      </w:r>
      <w:r w:rsidR="006473CB">
        <w:t xml:space="preserve"> in the second quarter of 2015. </w:t>
      </w:r>
      <w:r w:rsidR="007B010A">
        <w:t xml:space="preserve">The </w:t>
      </w:r>
      <w:r w:rsidR="00D84BD3">
        <w:t xml:space="preserve">data </w:t>
      </w:r>
      <w:r w:rsidR="0003575E">
        <w:t xml:space="preserve">covers </w:t>
      </w:r>
      <w:r w:rsidR="00711BCD">
        <w:t>all states</w:t>
      </w:r>
      <w:r w:rsidR="00D45455">
        <w:rPr>
          <w:rStyle w:val="FootnoteReference"/>
        </w:rPr>
        <w:footnoteReference w:id="3"/>
      </w:r>
      <w:r w:rsidR="00711BCD">
        <w:t xml:space="preserve"> in the National Energy Market (NEM)</w:t>
      </w:r>
      <w:r w:rsidR="001D5E0E">
        <w:t xml:space="preserve"> and </w:t>
      </w:r>
      <w:r w:rsidR="00B442FB">
        <w:t xml:space="preserve">reports </w:t>
      </w:r>
      <w:r w:rsidR="005F2C05">
        <w:t>numerically and as a percentage of total households</w:t>
      </w:r>
      <w:r w:rsidR="00294814">
        <w:t xml:space="preserve">. </w:t>
      </w:r>
      <w:r w:rsidR="0047585B">
        <w:t xml:space="preserve">The Hardship Program data was chosen </w:t>
      </w:r>
      <w:r w:rsidR="00D853F6">
        <w:t xml:space="preserve">as the dependent variable for </w:t>
      </w:r>
      <w:r w:rsidR="00625262">
        <w:t>EP</w:t>
      </w:r>
      <w:r w:rsidR="00D853F6">
        <w:t xml:space="preserve"> because </w:t>
      </w:r>
      <w:r w:rsidR="00745A66">
        <w:t xml:space="preserve">it </w:t>
      </w:r>
      <w:r w:rsidR="004C401D">
        <w:t>i</w:t>
      </w:r>
      <w:r w:rsidR="00DA7AF2">
        <w:t>ndicates</w:t>
      </w:r>
      <w:r w:rsidR="004C401D">
        <w:t xml:space="preserve"> households experiencing energy</w:t>
      </w:r>
      <w:r w:rsidR="00F04C6F">
        <w:t>-</w:t>
      </w:r>
      <w:r w:rsidR="004C401D">
        <w:t>related fin</w:t>
      </w:r>
      <w:r w:rsidR="00F04C6F">
        <w:t>anc</w:t>
      </w:r>
      <w:r w:rsidR="004C401D">
        <w:t>ial stress</w:t>
      </w:r>
      <w:r w:rsidR="00FE4384">
        <w:t>; also, it</w:t>
      </w:r>
      <w:r w:rsidR="00F04C6F">
        <w:t xml:space="preserve"> is</w:t>
      </w:r>
      <w:r w:rsidR="00BB3DA0">
        <w:t xml:space="preserve"> </w:t>
      </w:r>
      <w:r w:rsidR="00BD23F6">
        <w:t xml:space="preserve">consistent </w:t>
      </w:r>
      <w:r w:rsidR="000B36B1">
        <w:t>longitud</w:t>
      </w:r>
      <w:r w:rsidR="00BD23F6">
        <w:t>inal data</w:t>
      </w:r>
      <w:r w:rsidR="00E3426D">
        <w:t xml:space="preserve"> reported </w:t>
      </w:r>
      <w:proofErr w:type="gramStart"/>
      <w:r w:rsidR="00E3426D">
        <w:t>in</w:t>
      </w:r>
      <w:proofErr w:type="gramEnd"/>
      <w:r w:rsidR="00E3426D">
        <w:t xml:space="preserve"> the same time </w:t>
      </w:r>
      <w:r w:rsidR="00BE36CE">
        <w:t>increments as the CPI and EPI data.</w:t>
      </w:r>
      <w:r w:rsidR="00BD23F6">
        <w:t xml:space="preserve"> </w:t>
      </w:r>
      <w:r w:rsidR="00294814">
        <w:t xml:space="preserve">The </w:t>
      </w:r>
      <w:r w:rsidR="008A7AF8">
        <w:t xml:space="preserve">NSW </w:t>
      </w:r>
      <w:r w:rsidR="00294814">
        <w:t xml:space="preserve">percentage data was used to </w:t>
      </w:r>
      <w:r w:rsidR="00727812">
        <w:t>create a number per 100,000</w:t>
      </w:r>
      <w:r w:rsidR="0087461C">
        <w:t xml:space="preserve"> (#/100k)</w:t>
      </w:r>
      <w:r w:rsidR="00727812">
        <w:t xml:space="preserve"> </w:t>
      </w:r>
      <w:r w:rsidR="008A7AF8">
        <w:t xml:space="preserve">NSW </w:t>
      </w:r>
      <w:r w:rsidR="00727812">
        <w:t>households in Hardship Programs.</w:t>
      </w:r>
    </w:p>
    <w:p w14:paraId="3D690034" w14:textId="77777777" w:rsidR="006A2CD9" w:rsidRDefault="006A2CD9" w:rsidP="00F91D91"/>
    <w:p w14:paraId="3BDC495A" w14:textId="4EFB8278" w:rsidR="006A2CD9" w:rsidRDefault="006A2CD9" w:rsidP="00F91D91">
      <w:r>
        <w:t xml:space="preserve">The ABS price index data </w:t>
      </w:r>
      <w:r w:rsidR="007E099B">
        <w:t>is also reported quarterly</w:t>
      </w:r>
      <w:r w:rsidR="00912332">
        <w:t>, as an index and as a percentage change to the previous quarter.</w:t>
      </w:r>
      <w:r w:rsidR="004B601B">
        <w:t xml:space="preserve"> Because the </w:t>
      </w:r>
      <w:r w:rsidR="00650FD3">
        <w:t>indexes for electrical and consumer prices have di</w:t>
      </w:r>
      <w:r w:rsidR="004A48B0">
        <w:t>f</w:t>
      </w:r>
      <w:r w:rsidR="00650FD3">
        <w:t>ferent starting</w:t>
      </w:r>
      <w:r w:rsidR="00DF6D6D">
        <w:t xml:space="preserve"> </w:t>
      </w:r>
      <w:r w:rsidR="00D618D3">
        <w:t>years</w:t>
      </w:r>
      <w:r w:rsidR="00D618D3">
        <w:rPr>
          <w:rStyle w:val="FootnoteReference"/>
        </w:rPr>
        <w:footnoteReference w:id="4"/>
      </w:r>
      <w:r w:rsidR="009B7AB0">
        <w:t xml:space="preserve">, it was decided to use the </w:t>
      </w:r>
      <w:r w:rsidR="00487357">
        <w:t>percentage cha</w:t>
      </w:r>
      <w:r w:rsidR="004F4DB5">
        <w:t>n</w:t>
      </w:r>
      <w:r w:rsidR="00487357">
        <w:t xml:space="preserve">ge from the </w:t>
      </w:r>
      <w:r w:rsidR="00360F01">
        <w:t xml:space="preserve">previous quarter to </w:t>
      </w:r>
      <w:r w:rsidR="004A48B0">
        <w:t xml:space="preserve">devise </w:t>
      </w:r>
      <w:r w:rsidR="00E935B4">
        <w:t xml:space="preserve">index data with a common starting </w:t>
      </w:r>
      <w:r w:rsidR="00CF6A34">
        <w:t>point</w:t>
      </w:r>
      <w:r w:rsidR="00D47549">
        <w:t>.</w:t>
      </w:r>
      <w:r w:rsidR="00B77AFD">
        <w:t xml:space="preserve"> This </w:t>
      </w:r>
      <w:r w:rsidR="00253BC6">
        <w:t xml:space="preserve">obviated any potential </w:t>
      </w:r>
      <w:r w:rsidR="00B77AFD">
        <w:t xml:space="preserve">issues </w:t>
      </w:r>
      <w:r w:rsidR="00E370DD">
        <w:t>with scale</w:t>
      </w:r>
      <w:r w:rsidR="00223BF0">
        <w:t xml:space="preserve"> and </w:t>
      </w:r>
      <w:r w:rsidR="00B77AFD">
        <w:t xml:space="preserve">using </w:t>
      </w:r>
      <w:r w:rsidR="00E370DD">
        <w:t>natural logs</w:t>
      </w:r>
      <w:r w:rsidR="00223BF0">
        <w:t>.</w:t>
      </w:r>
      <w:r w:rsidR="00945882">
        <w:t xml:space="preserve"> The CPI was included in the model, as there is a high probability </w:t>
      </w:r>
      <w:r w:rsidR="00A75DCF">
        <w:t xml:space="preserve">that </w:t>
      </w:r>
      <w:r w:rsidR="00EC2B81">
        <w:t xml:space="preserve">CPI is also statistically significant </w:t>
      </w:r>
      <w:r w:rsidR="00A75DCF">
        <w:t>in measuring poverty.</w:t>
      </w:r>
    </w:p>
    <w:p w14:paraId="5A1A2BD8" w14:textId="77777777" w:rsidR="009E4977" w:rsidRDefault="009E4977" w:rsidP="00F91D91"/>
    <w:p w14:paraId="163BF60E" w14:textId="4FC254FA" w:rsidR="0005571B" w:rsidRDefault="009E4977" w:rsidP="00F91D91">
      <w:r>
        <w:t>Another issue with the data was population</w:t>
      </w:r>
      <w:r w:rsidR="006E14D7">
        <w:t xml:space="preserve"> size</w:t>
      </w:r>
      <w:r>
        <w:t>.</w:t>
      </w:r>
      <w:r w:rsidR="00041216">
        <w:t xml:space="preserve"> The </w:t>
      </w:r>
      <w:r w:rsidR="006E14D7">
        <w:t>ABS data for NSW covers only the Sydney metropolitan region</w:t>
      </w:r>
      <w:r w:rsidR="000449C9">
        <w:t>, whereas the AER data covers all of NSW.</w:t>
      </w:r>
      <w:r w:rsidR="004F7418">
        <w:t xml:space="preserve"> </w:t>
      </w:r>
      <w:r w:rsidR="00C153AB">
        <w:t>However, t</w:t>
      </w:r>
      <w:r w:rsidR="009C1722">
        <w:t>he ABS</w:t>
      </w:r>
      <w:r w:rsidR="0007257A">
        <w:t xml:space="preserve"> National </w:t>
      </w:r>
      <w:r w:rsidR="00961AB3">
        <w:t xml:space="preserve">and Sydney CPI </w:t>
      </w:r>
      <w:r w:rsidR="00747DC2">
        <w:t xml:space="preserve">and EPI </w:t>
      </w:r>
      <w:r w:rsidR="00961AB3">
        <w:t xml:space="preserve">are </w:t>
      </w:r>
      <w:r w:rsidR="001C00E7">
        <w:t>highly correlated</w:t>
      </w:r>
      <w:r w:rsidR="0005571B">
        <w:t>:</w:t>
      </w:r>
    </w:p>
    <w:p w14:paraId="7AD35A4E" w14:textId="77777777" w:rsidR="00F00DAF" w:rsidRDefault="00F00DAF" w:rsidP="00F91D91"/>
    <w:p w14:paraId="5A6AD1F8" w14:textId="1B12018F" w:rsidR="009E4977" w:rsidRPr="003C2401" w:rsidRDefault="003C2401" w:rsidP="00F91D91">
      <w:pPr>
        <w:rPr>
          <w:rFonts w:eastAsiaTheme="minorEastAsia"/>
        </w:rPr>
      </w:pPr>
      <m:oMathPara>
        <m:oMath>
          <m:r>
            <m:rPr>
              <m:sty m:val="p"/>
            </m:rPr>
            <w:rPr>
              <w:rFonts w:ascii="Cambria Math" w:hAnsi="Cambria Math"/>
            </w:rPr>
            <m:t>corr</m:t>
          </m:r>
          <m:d>
            <m:dPr>
              <m:ctrlPr>
                <w:rPr>
                  <w:rFonts w:ascii="Cambria Math" w:hAnsi="Cambria Math"/>
                </w:rPr>
              </m:ctrlPr>
            </m:dPr>
            <m:e>
              <m:r>
                <m:rPr>
                  <m:sty m:val="p"/>
                </m:rPr>
                <w:rPr>
                  <w:rFonts w:ascii="Cambria Math" w:hAnsi="Cambria Math"/>
                </w:rPr>
                <m:t>CPI-National, CPI-Sydney</m:t>
              </m:r>
            </m:e>
          </m:d>
          <m:r>
            <m:rPr>
              <m:sty m:val="p"/>
            </m:rPr>
            <w:rPr>
              <w:rFonts w:ascii="Cambria Math" w:hAnsi="Cambria Math"/>
            </w:rPr>
            <m:t>=0.999286285</m:t>
          </m:r>
        </m:oMath>
      </m:oMathPara>
    </w:p>
    <w:p w14:paraId="258738A1" w14:textId="0ECBF3A2" w:rsidR="00747DC2" w:rsidRPr="0050424D" w:rsidRDefault="0050424D" w:rsidP="00F91D91">
      <w:pPr>
        <w:rPr>
          <w:rFonts w:eastAsiaTheme="minorEastAsia"/>
          <w:iCs/>
        </w:rPr>
      </w:pPr>
      <m:oMathPara>
        <m:oMath>
          <m:r>
            <m:rPr>
              <m:sty m:val="p"/>
            </m:rPr>
            <w:rPr>
              <w:rFonts w:ascii="Cambria Math" w:eastAsiaTheme="minorEastAsia" w:hAnsi="Cambria Math"/>
            </w:rPr>
            <m:t>corr(EPI-National, EPI-Sydney) = 0.992389377</m:t>
          </m:r>
        </m:oMath>
      </m:oMathPara>
    </w:p>
    <w:p w14:paraId="6539C3A1" w14:textId="77777777" w:rsidR="00F00DAF" w:rsidRPr="00747DC2" w:rsidRDefault="00F00DAF" w:rsidP="00F91D91">
      <w:pPr>
        <w:rPr>
          <w:rFonts w:eastAsiaTheme="minorEastAsia"/>
        </w:rPr>
      </w:pPr>
    </w:p>
    <w:p w14:paraId="57E7ECA1" w14:textId="2FE40456" w:rsidR="00DE49CC" w:rsidRDefault="000D35C3" w:rsidP="00F91D91">
      <w:pPr>
        <w:rPr>
          <w:rFonts w:eastAsiaTheme="minorEastAsia"/>
        </w:rPr>
      </w:pPr>
      <w:r>
        <w:rPr>
          <w:rFonts w:eastAsiaTheme="minorEastAsia"/>
        </w:rPr>
        <w:t>T</w:t>
      </w:r>
      <w:r w:rsidR="001F67DD">
        <w:rPr>
          <w:rFonts w:eastAsiaTheme="minorEastAsia"/>
        </w:rPr>
        <w:t>herefore, t</w:t>
      </w:r>
      <w:r w:rsidR="000C0E45">
        <w:rPr>
          <w:rFonts w:eastAsiaTheme="minorEastAsia"/>
        </w:rPr>
        <w:t xml:space="preserve">his study will assume </w:t>
      </w:r>
      <w:r w:rsidR="00D41E1C">
        <w:rPr>
          <w:rFonts w:eastAsiaTheme="minorEastAsia"/>
        </w:rPr>
        <w:t xml:space="preserve">that the </w:t>
      </w:r>
      <w:r w:rsidR="00537629">
        <w:rPr>
          <w:rFonts w:eastAsiaTheme="minorEastAsia"/>
        </w:rPr>
        <w:t xml:space="preserve">Sydney </w:t>
      </w:r>
      <w:r w:rsidR="005E13FA">
        <w:rPr>
          <w:rFonts w:eastAsiaTheme="minorEastAsia"/>
        </w:rPr>
        <w:t xml:space="preserve">indexes </w:t>
      </w:r>
      <w:r w:rsidR="00C153AB">
        <w:rPr>
          <w:rFonts w:eastAsiaTheme="minorEastAsia"/>
        </w:rPr>
        <w:t>sufficiently correlate</w:t>
      </w:r>
      <w:r w:rsidR="00B62C39">
        <w:rPr>
          <w:rFonts w:eastAsiaTheme="minorEastAsia"/>
        </w:rPr>
        <w:t xml:space="preserve"> with </w:t>
      </w:r>
      <w:r w:rsidR="000C0E45">
        <w:rPr>
          <w:rFonts w:eastAsiaTheme="minorEastAsia"/>
        </w:rPr>
        <w:t xml:space="preserve">the rest </w:t>
      </w:r>
      <w:r>
        <w:rPr>
          <w:rFonts w:eastAsiaTheme="minorEastAsia"/>
        </w:rPr>
        <w:t>of</w:t>
      </w:r>
      <w:r w:rsidR="00650D2E">
        <w:rPr>
          <w:rFonts w:eastAsiaTheme="minorEastAsia"/>
        </w:rPr>
        <w:t xml:space="preserve"> NSW for </w:t>
      </w:r>
      <w:r>
        <w:rPr>
          <w:rFonts w:eastAsiaTheme="minorEastAsia"/>
        </w:rPr>
        <w:t>measuring the relationship between electrical prices and energy poverty</w:t>
      </w:r>
      <w:r w:rsidR="00826939">
        <w:rPr>
          <w:rFonts w:eastAsiaTheme="minorEastAsia"/>
        </w:rPr>
        <w:t>.</w:t>
      </w:r>
    </w:p>
    <w:p w14:paraId="696546FF" w14:textId="77777777" w:rsidR="00904B3D" w:rsidRDefault="00904B3D" w:rsidP="00F91D91">
      <w:pPr>
        <w:rPr>
          <w:rFonts w:eastAsiaTheme="minorEastAsia"/>
        </w:rPr>
      </w:pPr>
    </w:p>
    <w:p w14:paraId="50D07965" w14:textId="6DDE1A02" w:rsidR="00904B3D" w:rsidRDefault="00904B3D" w:rsidP="00F91D91">
      <w:pPr>
        <w:rPr>
          <w:rFonts w:eastAsiaTheme="minorEastAsia"/>
        </w:rPr>
      </w:pPr>
      <w:r>
        <w:rPr>
          <w:rFonts w:eastAsiaTheme="minorEastAsia"/>
        </w:rPr>
        <w:t>A</w:t>
      </w:r>
      <w:r w:rsidR="0050317A">
        <w:rPr>
          <w:rFonts w:eastAsiaTheme="minorEastAsia"/>
        </w:rPr>
        <w:t xml:space="preserve"> COVID-19 binary variable </w:t>
      </w:r>
      <w:r>
        <w:rPr>
          <w:rFonts w:eastAsiaTheme="minorEastAsia"/>
        </w:rPr>
        <w:t>explanatory variable was</w:t>
      </w:r>
      <w:r w:rsidR="0050317A">
        <w:rPr>
          <w:rFonts w:eastAsiaTheme="minorEastAsia"/>
        </w:rPr>
        <w:t xml:space="preserve"> also</w:t>
      </w:r>
      <w:r>
        <w:rPr>
          <w:rFonts w:eastAsiaTheme="minorEastAsia"/>
        </w:rPr>
        <w:t xml:space="preserve"> included in the model</w:t>
      </w:r>
      <w:r w:rsidR="0050317A">
        <w:rPr>
          <w:rFonts w:eastAsiaTheme="minorEastAsia"/>
        </w:rPr>
        <w:t>. W</w:t>
      </w:r>
      <w:r w:rsidR="00CC6243">
        <w:rPr>
          <w:rFonts w:eastAsiaTheme="minorEastAsia"/>
        </w:rPr>
        <w:t xml:space="preserve">here </w:t>
      </w:r>
      <w:r w:rsidR="00D97B60">
        <w:rPr>
          <w:rFonts w:eastAsiaTheme="minorEastAsia"/>
        </w:rPr>
        <w:t xml:space="preserve">1 </w:t>
      </w:r>
      <w:r w:rsidR="00937641">
        <w:rPr>
          <w:rFonts w:eastAsiaTheme="minorEastAsia"/>
        </w:rPr>
        <w:t xml:space="preserve">is the period covering the </w:t>
      </w:r>
      <w:r w:rsidR="00CA7872">
        <w:rPr>
          <w:rFonts w:eastAsiaTheme="minorEastAsia"/>
        </w:rPr>
        <w:t xml:space="preserve">Federal Government's </w:t>
      </w:r>
      <w:r w:rsidR="00937641">
        <w:rPr>
          <w:rFonts w:eastAsiaTheme="minorEastAsia"/>
        </w:rPr>
        <w:t xml:space="preserve">special </w:t>
      </w:r>
      <w:r w:rsidR="00CA7872">
        <w:rPr>
          <w:rFonts w:eastAsiaTheme="minorEastAsia"/>
        </w:rPr>
        <w:t xml:space="preserve">financial </w:t>
      </w:r>
      <w:r w:rsidR="00937641">
        <w:rPr>
          <w:rFonts w:eastAsiaTheme="minorEastAsia"/>
        </w:rPr>
        <w:t>measures during the COVID-19 pandemic</w:t>
      </w:r>
      <w:r w:rsidR="00A01609">
        <w:rPr>
          <w:rFonts w:eastAsiaTheme="minorEastAsia"/>
        </w:rPr>
        <w:t>.</w:t>
      </w:r>
    </w:p>
    <w:p w14:paraId="4EEBC1FF" w14:textId="77777777" w:rsidR="00C749A4" w:rsidRDefault="00C749A4" w:rsidP="00F91D91">
      <w:pPr>
        <w:rPr>
          <w:rFonts w:eastAsiaTheme="minorEastAsia"/>
        </w:rPr>
      </w:pPr>
    </w:p>
    <w:p w14:paraId="12BDA8DA" w14:textId="1F38A6C5" w:rsidR="00C749A4" w:rsidRDefault="00C749A4" w:rsidP="00C749A4">
      <w:pPr>
        <w:pStyle w:val="Heading2"/>
        <w:rPr>
          <w:rFonts w:eastAsiaTheme="minorEastAsia"/>
        </w:rPr>
      </w:pPr>
      <w:r>
        <w:rPr>
          <w:rFonts w:eastAsiaTheme="minorEastAsia"/>
        </w:rPr>
        <w:t>Model</w:t>
      </w:r>
    </w:p>
    <w:p w14:paraId="7005AA18" w14:textId="2BB06A92" w:rsidR="00C749A4" w:rsidRDefault="00542D6A" w:rsidP="00C749A4">
      <w:r>
        <w:t>A log-log linear model was used to determine the relationship between electrical prices and energy-related household financial stress in percentage terms</w:t>
      </w:r>
      <w:r w:rsidR="001A7EE0">
        <w:t xml:space="preserve">. </w:t>
      </w:r>
      <w:r w:rsidR="007F70BA">
        <w:t>The depend</w:t>
      </w:r>
      <w:r w:rsidR="002B5C11">
        <w:t>e</w:t>
      </w:r>
      <w:r w:rsidR="007F70BA">
        <w:t>nt variable</w:t>
      </w:r>
      <w:r w:rsidR="008F5770">
        <w:rPr>
          <w:rStyle w:val="FootnoteReference"/>
        </w:rPr>
        <w:footnoteReference w:id="5"/>
      </w:r>
      <w:r w:rsidR="008D1BCB">
        <w:t xml:space="preserve"> </w:t>
      </w:r>
      <w:r w:rsidR="002B5C11">
        <w:t xml:space="preserve">was lagged by one quarter. This accounts for </w:t>
      </w:r>
      <w:r w:rsidR="00C127FF">
        <w:t xml:space="preserve">a delay between using the electricity, receiving the </w:t>
      </w:r>
      <w:r w:rsidR="00BA41D0">
        <w:t xml:space="preserve">bill, and </w:t>
      </w:r>
      <w:r w:rsidR="006435F4">
        <w:t>requesting assistance</w:t>
      </w:r>
      <w:r w:rsidR="008D1BCB">
        <w:t xml:space="preserve"> through retailer Hardship Programs.</w:t>
      </w:r>
    </w:p>
    <w:p w14:paraId="2761B24D" w14:textId="77777777" w:rsidR="00682E44" w:rsidRDefault="00682E44" w:rsidP="00C749A4"/>
    <w:p w14:paraId="6BB0780B" w14:textId="6F5F88BE" w:rsidR="00682E44" w:rsidRDefault="00A50849" w:rsidP="00C749A4">
      <m:oMathPara>
        <m:oMath>
          <m:r>
            <w:rPr>
              <w:rFonts w:ascii="Cambria Math" w:eastAsiaTheme="minorEastAsia" w:hAnsi="Cambria Math"/>
            </w:rPr>
            <m:t>log</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h</m:t>
                  </m:r>
                </m:e>
              </m:d>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log</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n</m:t>
                  </m:r>
                </m:e>
              </m:d>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log</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e</m:t>
                  </m:r>
                </m:e>
              </m:d>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μ</m:t>
              </m:r>
            </m:e>
            <m:sub>
              <m:r>
                <w:rPr>
                  <w:rFonts w:ascii="Cambria Math" w:eastAsiaTheme="minorEastAsia" w:hAnsi="Cambria Math"/>
                </w:rPr>
                <m:t>t</m:t>
              </m:r>
            </m:sub>
          </m:sSub>
        </m:oMath>
      </m:oMathPara>
    </w:p>
    <w:p w14:paraId="53B67192" w14:textId="77777777" w:rsidR="00D74DE4" w:rsidRDefault="00D74DE4" w:rsidP="00C749A4"/>
    <w:p w14:paraId="5C2A50D8" w14:textId="66294C8D" w:rsidR="00D74DE4" w:rsidRDefault="00682E44" w:rsidP="00C749A4">
      <w:r>
        <w:t>Where</w:t>
      </w:r>
      <w:r w:rsidR="00730727">
        <w:t>:</w:t>
      </w:r>
    </w:p>
    <w:p w14:paraId="3E68A9D2" w14:textId="233A3689" w:rsidR="004906C4" w:rsidRDefault="004906C4" w:rsidP="00C749A4">
      <w:r>
        <w:tab/>
      </w:r>
      <w:r w:rsidR="00F95E40">
        <w:t xml:space="preserve">h is </w:t>
      </w:r>
      <w:r w:rsidR="00440413">
        <w:t xml:space="preserve">the </w:t>
      </w:r>
      <w:r w:rsidR="004B64A7">
        <w:t>#/100k</w:t>
      </w:r>
      <w:r w:rsidR="00F95E40">
        <w:t xml:space="preserve"> NSW households in Hardship Programs</w:t>
      </w:r>
    </w:p>
    <w:p w14:paraId="2669F961" w14:textId="68757BE0" w:rsidR="000F4895" w:rsidRDefault="000F4895" w:rsidP="00C749A4">
      <w:r>
        <w:tab/>
        <w:t xml:space="preserve">n is the NSW </w:t>
      </w:r>
      <w:r w:rsidR="0047688B">
        <w:t>consumer price index</w:t>
      </w:r>
    </w:p>
    <w:p w14:paraId="67FDC3D0" w14:textId="3D200AD0" w:rsidR="0047688B" w:rsidRDefault="0047688B" w:rsidP="00C749A4">
      <w:r>
        <w:tab/>
        <w:t>e is the NSW electrical price index</w:t>
      </w:r>
    </w:p>
    <w:p w14:paraId="1D5977FD" w14:textId="4B253FF0" w:rsidR="00A74946" w:rsidRDefault="00A74946" w:rsidP="00C749A4">
      <w:r>
        <w:tab/>
        <w:t>c is the COVID-19 binary variable</w:t>
      </w:r>
    </w:p>
    <w:p w14:paraId="37F4DA31" w14:textId="77777777" w:rsidR="006E2961" w:rsidRDefault="006E2961" w:rsidP="00C749A4"/>
    <w:p w14:paraId="383AF537" w14:textId="1CF3B768" w:rsidR="00DD781B" w:rsidRDefault="00051EC5" w:rsidP="00F91D91">
      <w:r>
        <w:t xml:space="preserve">The model </w:t>
      </w:r>
      <w:r w:rsidR="00CE47E0">
        <w:t>used</w:t>
      </w:r>
      <w:r>
        <w:t xml:space="preserve"> a Newey-West estimator</w:t>
      </w:r>
      <w:r w:rsidR="007B0578">
        <w:t xml:space="preserve"> to account for </w:t>
      </w:r>
      <w:r w:rsidR="00E33E7F">
        <w:t>autocorrelation with</w:t>
      </w:r>
      <w:r w:rsidR="00BB23B2">
        <w:t>in the data.</w:t>
      </w:r>
    </w:p>
    <w:p w14:paraId="33C5FCEF" w14:textId="77777777" w:rsidR="004361C5" w:rsidRDefault="004361C5" w:rsidP="00F91D91"/>
    <w:p w14:paraId="0ACE2697" w14:textId="5827895B" w:rsidR="004361C5" w:rsidRDefault="004361C5" w:rsidP="00F91D91">
      <w:r>
        <w:t xml:space="preserve">The R code and </w:t>
      </w:r>
      <w:r w:rsidR="00C86130">
        <w:t xml:space="preserve">data table </w:t>
      </w:r>
      <w:r w:rsidR="009D01A1">
        <w:t xml:space="preserve">used for the study are </w:t>
      </w:r>
      <w:r w:rsidR="008E6010">
        <w:t xml:space="preserve">in Appendix </w:t>
      </w:r>
      <w:r w:rsidR="00712DA9">
        <w:t>One.</w:t>
      </w:r>
    </w:p>
    <w:p w14:paraId="0DBF5A24" w14:textId="77777777" w:rsidR="00E82D57" w:rsidRDefault="00E82D57" w:rsidP="00F91D91"/>
    <w:p w14:paraId="567EA08F" w14:textId="77777777" w:rsidR="00E82D57" w:rsidRDefault="00E82D57" w:rsidP="00F91D91"/>
    <w:p w14:paraId="52360766" w14:textId="77777777" w:rsidR="00F91D91" w:rsidRDefault="00F91D91" w:rsidP="00F91D91">
      <w:pPr>
        <w:pStyle w:val="Heading1"/>
      </w:pPr>
      <w:bookmarkStart w:id="6" w:name="_Toc137316927"/>
      <w:r>
        <w:t>Analysis and Discussion</w:t>
      </w:r>
      <w:bookmarkEnd w:id="6"/>
    </w:p>
    <w:p w14:paraId="42C49810" w14:textId="01CA5632" w:rsidR="00B675CE" w:rsidRDefault="00594749" w:rsidP="00F91D91">
      <w:r>
        <w:t xml:space="preserve">The results indicated </w:t>
      </w:r>
      <w:r w:rsidR="00795BE7">
        <w:t xml:space="preserve">that </w:t>
      </w:r>
      <w:r w:rsidR="007F675A">
        <w:t>all exp</w:t>
      </w:r>
      <w:r w:rsidR="00795BE7">
        <w:t>l</w:t>
      </w:r>
      <w:r w:rsidR="007F675A">
        <w:t>anatory variable</w:t>
      </w:r>
      <w:r w:rsidR="00795BE7">
        <w:t>s</w:t>
      </w:r>
      <w:r w:rsidR="007F675A">
        <w:t xml:space="preserve"> were </w:t>
      </w:r>
      <w:r w:rsidR="00BF28B1">
        <w:t>statistical</w:t>
      </w:r>
      <w:r w:rsidR="00795BE7">
        <w:t xml:space="preserve">ly </w:t>
      </w:r>
      <w:r w:rsidR="00BF28B1">
        <w:t>significan</w:t>
      </w:r>
      <w:r w:rsidR="009D01A1">
        <w:t>t</w:t>
      </w:r>
      <w:r w:rsidR="00795BE7">
        <w:t>.</w:t>
      </w:r>
    </w:p>
    <w:p w14:paraId="6239CDFA" w14:textId="77777777" w:rsidR="009D01A1" w:rsidRDefault="009D01A1" w:rsidP="00F91D91"/>
    <w:p w14:paraId="0643668B" w14:textId="77777777" w:rsidR="00A06342" w:rsidRDefault="008F38F8" w:rsidP="008E4B2C">
      <w:pPr>
        <w:pStyle w:val="Heading2"/>
      </w:pPr>
      <w:r>
        <w:lastRenderedPageBreak/>
        <w:t>Results</w:t>
      </w:r>
    </w:p>
    <w:p w14:paraId="73ED8B0C" w14:textId="77777777" w:rsidR="00A06342" w:rsidRDefault="00A06342" w:rsidP="00A06342">
      <w:pPr>
        <w:pStyle w:val="Caption"/>
      </w:pPr>
    </w:p>
    <w:p w14:paraId="2DFB980E" w14:textId="53F1D734" w:rsidR="00B675CE" w:rsidRDefault="00A06342" w:rsidP="00A06342">
      <w:pPr>
        <w:pStyle w:val="Caption"/>
      </w:pPr>
      <w:r>
        <w:rPr>
          <w:noProof/>
        </w:rPr>
        <mc:AlternateContent>
          <mc:Choice Requires="wps">
            <w:drawing>
              <wp:anchor distT="45720" distB="45720" distL="114300" distR="114300" simplePos="0" relativeHeight="251659264" behindDoc="0" locked="0" layoutInCell="1" allowOverlap="1" wp14:anchorId="4689EE57" wp14:editId="643FE5D1">
                <wp:simplePos x="0" y="0"/>
                <wp:positionH relativeFrom="margin">
                  <wp:posOffset>-5080</wp:posOffset>
                </wp:positionH>
                <wp:positionV relativeFrom="paragraph">
                  <wp:posOffset>173355</wp:posOffset>
                </wp:positionV>
                <wp:extent cx="5399405" cy="6205220"/>
                <wp:effectExtent l="0" t="0" r="10795" b="241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6205220"/>
                        </a:xfrm>
                        <a:prstGeom prst="rect">
                          <a:avLst/>
                        </a:prstGeom>
                        <a:solidFill>
                          <a:srgbClr val="FFFFFF"/>
                        </a:solidFill>
                        <a:ln w="9525">
                          <a:solidFill>
                            <a:srgbClr val="000000"/>
                          </a:solidFill>
                          <a:miter lim="800000"/>
                          <a:headEnd/>
                          <a:tailEnd/>
                        </a:ln>
                      </wps:spPr>
                      <wps:txbx>
                        <w:txbxContent>
                          <w:p w14:paraId="1C2A629F" w14:textId="77777777" w:rsidR="009316CC" w:rsidRDefault="009316CC" w:rsidP="00636B49">
                            <w:pPr>
                              <w:rPr>
                                <w:i/>
                                <w:iCs/>
                              </w:rPr>
                            </w:pPr>
                          </w:p>
                          <w:p w14:paraId="3CCC29FA" w14:textId="3E24930E" w:rsidR="00636B49" w:rsidRPr="005D26A9" w:rsidRDefault="00636B49" w:rsidP="00636B49">
                            <w:pPr>
                              <w:rPr>
                                <w:i/>
                                <w:iCs/>
                              </w:rPr>
                            </w:pPr>
                            <w:r w:rsidRPr="005D26A9">
                              <w:rPr>
                                <w:i/>
                                <w:iCs/>
                              </w:rPr>
                              <w:t>Time series regression: Start = 2015(4), End = 2023(2)</w:t>
                            </w:r>
                          </w:p>
                          <w:p w14:paraId="7F731E81" w14:textId="77777777" w:rsidR="00636B49" w:rsidRPr="005D26A9" w:rsidRDefault="00636B49" w:rsidP="00636B49">
                            <w:pPr>
                              <w:rPr>
                                <w:i/>
                                <w:iCs/>
                              </w:rPr>
                            </w:pPr>
                            <w:r w:rsidRPr="005D26A9">
                              <w:rPr>
                                <w:i/>
                                <w:iCs/>
                              </w:rPr>
                              <w:t>Call: dynlm(formula = log(h) ~ log(n) + log(e) + c, data = df.ts)</w:t>
                            </w:r>
                          </w:p>
                          <w:p w14:paraId="7E662E06" w14:textId="77777777" w:rsidR="00636B49" w:rsidRPr="005D26A9" w:rsidRDefault="00636B49" w:rsidP="00636B49">
                            <w:pPr>
                              <w:rPr>
                                <w:i/>
                                <w:iCs/>
                              </w:rPr>
                            </w:pPr>
                          </w:p>
                          <w:p w14:paraId="3100A36D" w14:textId="16A59D38" w:rsidR="00636B49" w:rsidRPr="005D26A9" w:rsidRDefault="00636B49" w:rsidP="00636B49">
                            <w:pPr>
                              <w:rPr>
                                <w:i/>
                                <w:iCs/>
                              </w:rPr>
                            </w:pPr>
                            <w:r w:rsidRPr="005D26A9">
                              <w:rPr>
                                <w:i/>
                                <w:iCs/>
                              </w:rPr>
                              <w:t>Residuals:</w:t>
                            </w:r>
                          </w:p>
                          <w:p w14:paraId="008A6132" w14:textId="77777777" w:rsidR="00636B49" w:rsidRPr="005D26A9" w:rsidRDefault="00636B49" w:rsidP="00636B49">
                            <w:pPr>
                              <w:rPr>
                                <w:i/>
                                <w:iCs/>
                              </w:rPr>
                            </w:pPr>
                            <w:r w:rsidRPr="005D26A9">
                              <w:rPr>
                                <w:i/>
                                <w:iCs/>
                              </w:rPr>
                              <w:t>Min</w:t>
                            </w:r>
                            <w:r w:rsidRPr="005D26A9">
                              <w:rPr>
                                <w:i/>
                                <w:iCs/>
                              </w:rPr>
                              <w:tab/>
                            </w:r>
                            <w:r w:rsidRPr="005D26A9">
                              <w:rPr>
                                <w:i/>
                                <w:iCs/>
                              </w:rPr>
                              <w:tab/>
                            </w:r>
                            <w:r w:rsidRPr="005D26A9">
                              <w:rPr>
                                <w:i/>
                                <w:iCs/>
                              </w:rPr>
                              <w:tab/>
                              <w:t>1Q</w:t>
                            </w:r>
                            <w:r w:rsidRPr="005D26A9">
                              <w:rPr>
                                <w:i/>
                                <w:iCs/>
                              </w:rPr>
                              <w:tab/>
                            </w:r>
                            <w:r w:rsidRPr="005D26A9">
                              <w:rPr>
                                <w:i/>
                                <w:iCs/>
                              </w:rPr>
                              <w:tab/>
                              <w:t>Median</w:t>
                            </w:r>
                            <w:r w:rsidRPr="005D26A9">
                              <w:rPr>
                                <w:i/>
                                <w:iCs/>
                              </w:rPr>
                              <w:tab/>
                              <w:t>3Q</w:t>
                            </w:r>
                            <w:r w:rsidRPr="005D26A9">
                              <w:rPr>
                                <w:i/>
                                <w:iCs/>
                              </w:rPr>
                              <w:tab/>
                            </w:r>
                            <w:r w:rsidRPr="005D26A9">
                              <w:rPr>
                                <w:i/>
                                <w:iCs/>
                              </w:rPr>
                              <w:tab/>
                              <w:t>Max</w:t>
                            </w:r>
                            <w:r w:rsidRPr="005D26A9">
                              <w:rPr>
                                <w:i/>
                                <w:iCs/>
                              </w:rPr>
                              <w:tab/>
                            </w:r>
                          </w:p>
                          <w:p w14:paraId="46448687" w14:textId="77777777" w:rsidR="008A1CFC" w:rsidRDefault="00BD6535" w:rsidP="00636B49">
                            <w:pPr>
                              <w:rPr>
                                <w:i/>
                                <w:iCs/>
                              </w:rPr>
                            </w:pPr>
                            <w:r w:rsidRPr="00BD6535">
                              <w:rPr>
                                <w:i/>
                                <w:iCs/>
                              </w:rPr>
                              <w:t>-0.11840</w:t>
                            </w:r>
                            <w:r w:rsidRPr="00BD6535">
                              <w:rPr>
                                <w:i/>
                                <w:iCs/>
                              </w:rPr>
                              <w:tab/>
                              <w:t>-0.04420</w:t>
                            </w:r>
                            <w:r w:rsidRPr="00BD6535">
                              <w:rPr>
                                <w:i/>
                                <w:iCs/>
                              </w:rPr>
                              <w:tab/>
                              <w:t>0.00570</w:t>
                            </w:r>
                            <w:r w:rsidRPr="00BD6535">
                              <w:rPr>
                                <w:i/>
                                <w:iCs/>
                              </w:rPr>
                              <w:tab/>
                              <w:t>0.03500</w:t>
                            </w:r>
                            <w:r w:rsidRPr="00BD6535">
                              <w:rPr>
                                <w:i/>
                                <w:iCs/>
                              </w:rPr>
                              <w:tab/>
                              <w:t>0.14263</w:t>
                            </w:r>
                          </w:p>
                          <w:p w14:paraId="666EB677" w14:textId="706C90A2" w:rsidR="00636B49" w:rsidRPr="005D26A9" w:rsidRDefault="00636B49" w:rsidP="00636B49">
                            <w:pPr>
                              <w:rPr>
                                <w:i/>
                                <w:iCs/>
                              </w:rPr>
                            </w:pPr>
                          </w:p>
                          <w:p w14:paraId="3B4EF47E" w14:textId="77777777" w:rsidR="00FF6FBB" w:rsidRDefault="00636B49" w:rsidP="00554495">
                            <w:pPr>
                              <w:rPr>
                                <w:i/>
                                <w:iCs/>
                              </w:rPr>
                            </w:pPr>
                            <w:r w:rsidRPr="005D26A9">
                              <w:rPr>
                                <w:i/>
                                <w:iCs/>
                              </w:rPr>
                              <w:t>Coefficients:</w:t>
                            </w:r>
                            <w:r w:rsidRPr="005D26A9">
                              <w:rPr>
                                <w:i/>
                                <w:iCs/>
                              </w:rPr>
                              <w:tab/>
                            </w:r>
                            <w:r w:rsidRPr="005D26A9">
                              <w:rPr>
                                <w:i/>
                                <w:iCs/>
                              </w:rPr>
                              <w:tab/>
                              <w:t>Estimate</w:t>
                            </w:r>
                            <w:r w:rsidRPr="005D26A9">
                              <w:rPr>
                                <w:i/>
                                <w:iCs/>
                              </w:rPr>
                              <w:tab/>
                              <w:t>Std.Error</w:t>
                            </w:r>
                            <w:r w:rsidRPr="005D26A9">
                              <w:rPr>
                                <w:i/>
                                <w:iCs/>
                              </w:rPr>
                              <w:tab/>
                              <w:t>t value</w:t>
                            </w:r>
                            <w:r w:rsidRPr="005D26A9">
                              <w:rPr>
                                <w:i/>
                                <w:iCs/>
                              </w:rPr>
                              <w:tab/>
                              <w:t>Pr(&gt;|t|)</w:t>
                            </w:r>
                          </w:p>
                          <w:p w14:paraId="35EC6CA4" w14:textId="0FF57A23" w:rsidR="00554495" w:rsidRPr="00554495" w:rsidRDefault="00554495" w:rsidP="00554495">
                            <w:pPr>
                              <w:rPr>
                                <w:i/>
                                <w:iCs/>
                              </w:rPr>
                            </w:pPr>
                            <w:r w:rsidRPr="00554495">
                              <w:rPr>
                                <w:i/>
                                <w:iCs/>
                              </w:rPr>
                              <w:t>(Intercept)</w:t>
                            </w:r>
                            <w:r w:rsidRPr="00554495">
                              <w:rPr>
                                <w:i/>
                                <w:iCs/>
                              </w:rPr>
                              <w:tab/>
                            </w:r>
                            <w:r w:rsidR="008A1CFC">
                              <w:rPr>
                                <w:i/>
                                <w:iCs/>
                              </w:rPr>
                              <w:tab/>
                            </w:r>
                            <w:r w:rsidRPr="00554495">
                              <w:rPr>
                                <w:i/>
                                <w:iCs/>
                              </w:rPr>
                              <w:t>-5.73731</w:t>
                            </w:r>
                            <w:r w:rsidRPr="00554495">
                              <w:rPr>
                                <w:i/>
                                <w:iCs/>
                              </w:rPr>
                              <w:tab/>
                              <w:t>1.22318</w:t>
                            </w:r>
                            <w:r w:rsidRPr="00554495">
                              <w:rPr>
                                <w:i/>
                                <w:iCs/>
                              </w:rPr>
                              <w:tab/>
                              <w:t>-4.69049</w:t>
                            </w:r>
                            <w:r w:rsidRPr="00554495">
                              <w:rPr>
                                <w:i/>
                                <w:iCs/>
                              </w:rPr>
                              <w:tab/>
                              <w:t>7.61E-05</w:t>
                            </w:r>
                            <w:r w:rsidRPr="00554495">
                              <w:rPr>
                                <w:i/>
                                <w:iCs/>
                              </w:rPr>
                              <w:tab/>
                              <w:t>***</w:t>
                            </w:r>
                          </w:p>
                          <w:p w14:paraId="4A108DB2" w14:textId="6176B2F0" w:rsidR="00554495" w:rsidRPr="00554495" w:rsidRDefault="00554495" w:rsidP="00554495">
                            <w:pPr>
                              <w:rPr>
                                <w:i/>
                                <w:iCs/>
                              </w:rPr>
                            </w:pPr>
                            <w:r w:rsidRPr="00554495">
                              <w:rPr>
                                <w:i/>
                                <w:iCs/>
                              </w:rPr>
                              <w:t>log(n)</w:t>
                            </w:r>
                            <w:r w:rsidR="008A1CFC">
                              <w:rPr>
                                <w:i/>
                                <w:iCs/>
                              </w:rPr>
                              <w:tab/>
                            </w:r>
                            <w:r w:rsidR="008A1CFC">
                              <w:rPr>
                                <w:i/>
                                <w:iCs/>
                              </w:rPr>
                              <w:tab/>
                            </w:r>
                            <w:r w:rsidRPr="00554495">
                              <w:rPr>
                                <w:i/>
                                <w:iCs/>
                              </w:rPr>
                              <w:tab/>
                              <w:t>1.64922</w:t>
                            </w:r>
                            <w:r w:rsidRPr="00554495">
                              <w:rPr>
                                <w:i/>
                                <w:iCs/>
                              </w:rPr>
                              <w:tab/>
                              <w:t>0.28181</w:t>
                            </w:r>
                            <w:r w:rsidRPr="00554495">
                              <w:rPr>
                                <w:i/>
                                <w:iCs/>
                              </w:rPr>
                              <w:tab/>
                              <w:t>5.85222</w:t>
                            </w:r>
                            <w:r w:rsidRPr="00554495">
                              <w:rPr>
                                <w:i/>
                                <w:iCs/>
                              </w:rPr>
                              <w:tab/>
                              <w:t>3.61E-06</w:t>
                            </w:r>
                            <w:r w:rsidRPr="00554495">
                              <w:rPr>
                                <w:i/>
                                <w:iCs/>
                              </w:rPr>
                              <w:tab/>
                              <w:t>***</w:t>
                            </w:r>
                          </w:p>
                          <w:p w14:paraId="7818AF64" w14:textId="3522D6E6" w:rsidR="00554495" w:rsidRPr="00554495" w:rsidRDefault="00554495" w:rsidP="00554495">
                            <w:pPr>
                              <w:rPr>
                                <w:i/>
                                <w:iCs/>
                              </w:rPr>
                            </w:pPr>
                            <w:r w:rsidRPr="00554495">
                              <w:rPr>
                                <w:i/>
                                <w:iCs/>
                              </w:rPr>
                              <w:t>log(e)</w:t>
                            </w:r>
                            <w:r w:rsidR="008A1CFC">
                              <w:rPr>
                                <w:i/>
                                <w:iCs/>
                              </w:rPr>
                              <w:tab/>
                            </w:r>
                            <w:r w:rsidR="008A1CFC">
                              <w:rPr>
                                <w:i/>
                                <w:iCs/>
                              </w:rPr>
                              <w:tab/>
                            </w:r>
                            <w:r w:rsidRPr="00554495">
                              <w:rPr>
                                <w:i/>
                                <w:iCs/>
                              </w:rPr>
                              <w:tab/>
                              <w:t>0.84143</w:t>
                            </w:r>
                            <w:r w:rsidRPr="00554495">
                              <w:rPr>
                                <w:i/>
                                <w:iCs/>
                              </w:rPr>
                              <w:tab/>
                              <w:t>0.14545</w:t>
                            </w:r>
                            <w:r w:rsidRPr="00554495">
                              <w:rPr>
                                <w:i/>
                                <w:iCs/>
                              </w:rPr>
                              <w:tab/>
                              <w:t>5.78514</w:t>
                            </w:r>
                            <w:r w:rsidRPr="00554495">
                              <w:rPr>
                                <w:i/>
                                <w:iCs/>
                              </w:rPr>
                              <w:tab/>
                              <w:t>4.29E-06</w:t>
                            </w:r>
                            <w:r w:rsidRPr="00554495">
                              <w:rPr>
                                <w:i/>
                                <w:iCs/>
                              </w:rPr>
                              <w:tab/>
                              <w:t>***</w:t>
                            </w:r>
                          </w:p>
                          <w:p w14:paraId="0DEE17EC" w14:textId="0524E765" w:rsidR="00636B49" w:rsidRPr="005D26A9" w:rsidRDefault="00554495" w:rsidP="00554495">
                            <w:pPr>
                              <w:rPr>
                                <w:i/>
                                <w:iCs/>
                              </w:rPr>
                            </w:pPr>
                            <w:r w:rsidRPr="00554495">
                              <w:rPr>
                                <w:i/>
                                <w:iCs/>
                              </w:rPr>
                              <w:t>c</w:t>
                            </w:r>
                            <w:r w:rsidRPr="00554495">
                              <w:rPr>
                                <w:i/>
                                <w:iCs/>
                              </w:rPr>
                              <w:tab/>
                            </w:r>
                            <w:r w:rsidR="008A1CFC">
                              <w:rPr>
                                <w:i/>
                                <w:iCs/>
                              </w:rPr>
                              <w:tab/>
                            </w:r>
                            <w:r w:rsidR="008A1CFC">
                              <w:rPr>
                                <w:i/>
                                <w:iCs/>
                              </w:rPr>
                              <w:tab/>
                            </w:r>
                            <w:r w:rsidR="008A1CFC">
                              <w:rPr>
                                <w:i/>
                                <w:iCs/>
                              </w:rPr>
                              <w:tab/>
                            </w:r>
                            <w:r w:rsidRPr="00554495">
                              <w:rPr>
                                <w:i/>
                                <w:iCs/>
                              </w:rPr>
                              <w:t>-0.09114</w:t>
                            </w:r>
                            <w:r w:rsidRPr="00554495">
                              <w:rPr>
                                <w:i/>
                                <w:iCs/>
                              </w:rPr>
                              <w:tab/>
                              <w:t>0.03204</w:t>
                            </w:r>
                            <w:r w:rsidRPr="00554495">
                              <w:rPr>
                                <w:i/>
                                <w:iCs/>
                              </w:rPr>
                              <w:tab/>
                              <w:t>-2.84461</w:t>
                            </w:r>
                            <w:r w:rsidRPr="00554495">
                              <w:rPr>
                                <w:i/>
                                <w:iCs/>
                              </w:rPr>
                              <w:tab/>
                              <w:t>0.00855</w:t>
                            </w:r>
                            <w:r w:rsidRPr="00554495">
                              <w:rPr>
                                <w:i/>
                                <w:iCs/>
                              </w:rPr>
                              <w:tab/>
                              <w:t>**</w:t>
                            </w:r>
                          </w:p>
                          <w:p w14:paraId="021878F4" w14:textId="77777777" w:rsidR="00636B49" w:rsidRPr="005D26A9" w:rsidRDefault="00636B49" w:rsidP="00636B49">
                            <w:pPr>
                              <w:rPr>
                                <w:i/>
                                <w:iCs/>
                              </w:rPr>
                            </w:pPr>
                            <w:r w:rsidRPr="005D26A9">
                              <w:rPr>
                                <w:i/>
                                <w:iCs/>
                              </w:rPr>
                              <w:t>Signif. codes:</w:t>
                            </w:r>
                            <w:r w:rsidRPr="005D26A9">
                              <w:rPr>
                                <w:i/>
                                <w:iCs/>
                              </w:rPr>
                              <w:tab/>
                              <w:t>*** 0.001</w:t>
                            </w:r>
                            <w:r w:rsidRPr="005D26A9">
                              <w:rPr>
                                <w:i/>
                                <w:iCs/>
                              </w:rPr>
                              <w:tab/>
                              <w:t>** 0.01</w:t>
                            </w:r>
                            <w:r w:rsidRPr="005D26A9">
                              <w:rPr>
                                <w:i/>
                                <w:iCs/>
                              </w:rPr>
                              <w:tab/>
                            </w:r>
                            <w:r w:rsidRPr="005D26A9">
                              <w:rPr>
                                <w:i/>
                                <w:iCs/>
                              </w:rPr>
                              <w:tab/>
                              <w:t>* 0.05</w:t>
                            </w:r>
                            <w:r w:rsidRPr="005D26A9">
                              <w:rPr>
                                <w:i/>
                                <w:iCs/>
                              </w:rPr>
                              <w:tab/>
                            </w:r>
                            <w:r w:rsidRPr="005D26A9">
                              <w:rPr>
                                <w:i/>
                                <w:iCs/>
                              </w:rPr>
                              <w:tab/>
                              <w:t>. 0.1</w:t>
                            </w:r>
                          </w:p>
                          <w:p w14:paraId="7FE4CF4D" w14:textId="77777777" w:rsidR="00636B49" w:rsidRPr="005D26A9" w:rsidRDefault="00636B49" w:rsidP="00636B49">
                            <w:pPr>
                              <w:rPr>
                                <w:i/>
                                <w:iCs/>
                              </w:rPr>
                            </w:pPr>
                          </w:p>
                          <w:p w14:paraId="07F1B2B1" w14:textId="4545B8F5" w:rsidR="00636B49" w:rsidRPr="005D26A9" w:rsidRDefault="00636B49" w:rsidP="00636B49">
                            <w:pPr>
                              <w:rPr>
                                <w:i/>
                                <w:iCs/>
                              </w:rPr>
                            </w:pPr>
                            <w:r w:rsidRPr="005D26A9">
                              <w:rPr>
                                <w:i/>
                                <w:iCs/>
                              </w:rPr>
                              <w:t>Residual standard error:</w:t>
                            </w:r>
                            <w:r w:rsidRPr="005D26A9">
                              <w:rPr>
                                <w:i/>
                                <w:iCs/>
                              </w:rPr>
                              <w:tab/>
                            </w:r>
                            <w:r w:rsidR="00087941" w:rsidRPr="00087941">
                              <w:rPr>
                                <w:i/>
                                <w:iCs/>
                              </w:rPr>
                              <w:t>0.05909</w:t>
                            </w:r>
                            <w:r w:rsidR="00087941">
                              <w:rPr>
                                <w:i/>
                                <w:iCs/>
                              </w:rPr>
                              <w:t xml:space="preserve"> on </w:t>
                            </w:r>
                            <w:r w:rsidRPr="005D26A9">
                              <w:rPr>
                                <w:i/>
                                <w:iCs/>
                              </w:rPr>
                              <w:t>2</w:t>
                            </w:r>
                            <w:r w:rsidR="008A5FCE">
                              <w:rPr>
                                <w:i/>
                                <w:iCs/>
                              </w:rPr>
                              <w:t>6</w:t>
                            </w:r>
                            <w:r w:rsidRPr="005D26A9">
                              <w:rPr>
                                <w:i/>
                                <w:iCs/>
                              </w:rPr>
                              <w:t xml:space="preserve"> degrees of freedom</w:t>
                            </w:r>
                          </w:p>
                          <w:p w14:paraId="5E60E220" w14:textId="7D332EBF" w:rsidR="00636B49" w:rsidRPr="005D26A9" w:rsidRDefault="00636B49" w:rsidP="00636B49">
                            <w:pPr>
                              <w:rPr>
                                <w:i/>
                                <w:iCs/>
                              </w:rPr>
                            </w:pPr>
                            <w:r w:rsidRPr="005D26A9">
                              <w:rPr>
                                <w:i/>
                                <w:iCs/>
                              </w:rPr>
                              <w:t>Multiple R-squared:</w:t>
                            </w:r>
                            <w:r w:rsidRPr="005D26A9">
                              <w:rPr>
                                <w:i/>
                                <w:iCs/>
                              </w:rPr>
                              <w:tab/>
                            </w:r>
                            <w:r w:rsidRPr="005D26A9">
                              <w:rPr>
                                <w:i/>
                                <w:iCs/>
                              </w:rPr>
                              <w:tab/>
                            </w:r>
                            <w:r w:rsidR="00A01C26" w:rsidRPr="00A01C26">
                              <w:rPr>
                                <w:i/>
                                <w:iCs/>
                              </w:rPr>
                              <w:t>0.83271</w:t>
                            </w:r>
                          </w:p>
                          <w:p w14:paraId="04827A18" w14:textId="77777777" w:rsidR="00E5435D" w:rsidRDefault="00636B49" w:rsidP="00636B49">
                            <w:pPr>
                              <w:rPr>
                                <w:i/>
                                <w:iCs/>
                              </w:rPr>
                            </w:pPr>
                            <w:r w:rsidRPr="005D26A9">
                              <w:rPr>
                                <w:i/>
                                <w:iCs/>
                              </w:rPr>
                              <w:t>Adjusted R-squared:</w:t>
                            </w:r>
                            <w:r w:rsidRPr="005D26A9">
                              <w:rPr>
                                <w:i/>
                                <w:iCs/>
                              </w:rPr>
                              <w:tab/>
                            </w:r>
                            <w:r w:rsidR="00E5435D" w:rsidRPr="00E5435D">
                              <w:rPr>
                                <w:i/>
                                <w:iCs/>
                              </w:rPr>
                              <w:t>0.81341</w:t>
                            </w:r>
                          </w:p>
                          <w:p w14:paraId="527D3586" w14:textId="3B957E5D" w:rsidR="00636B49" w:rsidRPr="005D26A9" w:rsidRDefault="00636B49" w:rsidP="00636B49">
                            <w:pPr>
                              <w:rPr>
                                <w:i/>
                                <w:iCs/>
                              </w:rPr>
                            </w:pPr>
                            <w:r w:rsidRPr="005D26A9">
                              <w:rPr>
                                <w:i/>
                                <w:iCs/>
                              </w:rPr>
                              <w:t>F-statistic:</w:t>
                            </w:r>
                            <w:r w:rsidRPr="005D26A9">
                              <w:rPr>
                                <w:i/>
                                <w:iCs/>
                              </w:rPr>
                              <w:tab/>
                            </w:r>
                            <w:r w:rsidRPr="005D26A9">
                              <w:rPr>
                                <w:i/>
                                <w:iCs/>
                              </w:rPr>
                              <w:tab/>
                            </w:r>
                            <w:r w:rsidR="009316CC">
                              <w:rPr>
                                <w:i/>
                                <w:iCs/>
                              </w:rPr>
                              <w:tab/>
                            </w:r>
                            <w:r w:rsidR="00E5435D" w:rsidRPr="00E5435D">
                              <w:rPr>
                                <w:i/>
                                <w:iCs/>
                              </w:rPr>
                              <w:t>43.13936</w:t>
                            </w:r>
                            <w:r w:rsidR="006A43A2">
                              <w:rPr>
                                <w:i/>
                                <w:iCs/>
                              </w:rPr>
                              <w:t xml:space="preserve"> o </w:t>
                            </w:r>
                            <w:r w:rsidRPr="005D26A9">
                              <w:rPr>
                                <w:i/>
                                <w:iCs/>
                              </w:rPr>
                              <w:t>3 and 2</w:t>
                            </w:r>
                            <w:r w:rsidR="002C7758">
                              <w:rPr>
                                <w:i/>
                                <w:iCs/>
                              </w:rPr>
                              <w:t>6</w:t>
                            </w:r>
                            <w:r w:rsidRPr="005D26A9">
                              <w:rPr>
                                <w:i/>
                                <w:iCs/>
                              </w:rPr>
                              <w:t xml:space="preserve"> degrees of freedom</w:t>
                            </w:r>
                          </w:p>
                          <w:p w14:paraId="287B4207" w14:textId="7A5A3DED" w:rsidR="00636B49" w:rsidRPr="005D26A9" w:rsidRDefault="00636B49" w:rsidP="00636B49">
                            <w:pPr>
                              <w:rPr>
                                <w:i/>
                                <w:iCs/>
                              </w:rPr>
                            </w:pPr>
                            <w:r w:rsidRPr="005D26A9">
                              <w:rPr>
                                <w:i/>
                                <w:iCs/>
                              </w:rPr>
                              <w:t>p-value:</w:t>
                            </w:r>
                            <w:r w:rsidRPr="005D26A9">
                              <w:rPr>
                                <w:i/>
                                <w:iCs/>
                              </w:rPr>
                              <w:tab/>
                            </w:r>
                            <w:r w:rsidRPr="005D26A9">
                              <w:rPr>
                                <w:i/>
                                <w:iCs/>
                              </w:rPr>
                              <w:tab/>
                            </w:r>
                            <w:r w:rsidR="009316CC">
                              <w:rPr>
                                <w:i/>
                                <w:iCs/>
                              </w:rPr>
                              <w:tab/>
                            </w:r>
                            <w:r w:rsidR="006F2BA5" w:rsidRPr="006F2BA5">
                              <w:rPr>
                                <w:i/>
                                <w:iCs/>
                              </w:rPr>
                              <w:t>3.091059E-10</w:t>
                            </w:r>
                          </w:p>
                          <w:p w14:paraId="64AE5795" w14:textId="4D54696C" w:rsidR="00636B49" w:rsidRDefault="00636B4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89EE57" id="_x0000_t202" coordsize="21600,21600" o:spt="202" path="m,l,21600r21600,l21600,xe">
                <v:stroke joinstyle="miter"/>
                <v:path gradientshapeok="t" o:connecttype="rect"/>
              </v:shapetype>
              <v:shape id="Text Box 2" o:spid="_x0000_s1026" type="#_x0000_t202" style="position:absolute;margin-left:-.4pt;margin-top:13.65pt;width:425.15pt;height:488.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">
                <v:textbox style="mso-fit-shape-to-text:t">
                  <w:txbxContent>
                    <w:p w14:paraId="1C2A629F" w14:textId="77777777" w:rsidR="009316CC" w:rsidRDefault="009316CC" w:rsidP="00636B49">
                      <w:pPr>
                        <w:rPr>
                          <w:i/>
                          <w:iCs/>
                        </w:rPr>
                      </w:pPr>
                    </w:p>
                    <w:p w14:paraId="3CCC29FA" w14:textId="3E24930E" w:rsidR="00636B49" w:rsidRPr="005D26A9" w:rsidRDefault="00636B49" w:rsidP="00636B49">
                      <w:pPr>
                        <w:rPr>
                          <w:i/>
                          <w:iCs/>
                        </w:rPr>
                      </w:pPr>
                      <w:r w:rsidRPr="005D26A9">
                        <w:rPr>
                          <w:i/>
                          <w:iCs/>
                        </w:rPr>
                        <w:t>Time series regression: Start = 2015(4), End = 2023(2)</w:t>
                      </w:r>
                    </w:p>
                    <w:p w14:paraId="7F731E81" w14:textId="77777777" w:rsidR="00636B49" w:rsidRPr="005D26A9" w:rsidRDefault="00636B49" w:rsidP="00636B49">
                      <w:pPr>
                        <w:rPr>
                          <w:i/>
                          <w:iCs/>
                        </w:rPr>
                      </w:pPr>
                      <w:r w:rsidRPr="005D26A9">
                        <w:rPr>
                          <w:i/>
                          <w:iCs/>
                        </w:rPr>
                        <w:t>Call: dynlm(formula = log(h) ~ log(n) + log(e) + c, data = df.ts)</w:t>
                      </w:r>
                    </w:p>
                    <w:p w14:paraId="7E662E06" w14:textId="77777777" w:rsidR="00636B49" w:rsidRPr="005D26A9" w:rsidRDefault="00636B49" w:rsidP="00636B49">
                      <w:pPr>
                        <w:rPr>
                          <w:i/>
                          <w:iCs/>
                        </w:rPr>
                      </w:pPr>
                    </w:p>
                    <w:p w14:paraId="3100A36D" w14:textId="16A59D38" w:rsidR="00636B49" w:rsidRPr="005D26A9" w:rsidRDefault="00636B49" w:rsidP="00636B49">
                      <w:pPr>
                        <w:rPr>
                          <w:i/>
                          <w:iCs/>
                        </w:rPr>
                      </w:pPr>
                      <w:r w:rsidRPr="005D26A9">
                        <w:rPr>
                          <w:i/>
                          <w:iCs/>
                        </w:rPr>
                        <w:t>Residuals:</w:t>
                      </w:r>
                    </w:p>
                    <w:p w14:paraId="008A6132" w14:textId="77777777" w:rsidR="00636B49" w:rsidRPr="005D26A9" w:rsidRDefault="00636B49" w:rsidP="00636B49">
                      <w:pPr>
                        <w:rPr>
                          <w:i/>
                          <w:iCs/>
                        </w:rPr>
                      </w:pPr>
                      <w:r w:rsidRPr="005D26A9">
                        <w:rPr>
                          <w:i/>
                          <w:iCs/>
                        </w:rPr>
                        <w:t>Min</w:t>
                      </w:r>
                      <w:r w:rsidRPr="005D26A9">
                        <w:rPr>
                          <w:i/>
                          <w:iCs/>
                        </w:rPr>
                        <w:tab/>
                      </w:r>
                      <w:r w:rsidRPr="005D26A9">
                        <w:rPr>
                          <w:i/>
                          <w:iCs/>
                        </w:rPr>
                        <w:tab/>
                      </w:r>
                      <w:r w:rsidRPr="005D26A9">
                        <w:rPr>
                          <w:i/>
                          <w:iCs/>
                        </w:rPr>
                        <w:tab/>
                        <w:t>1Q</w:t>
                      </w:r>
                      <w:r w:rsidRPr="005D26A9">
                        <w:rPr>
                          <w:i/>
                          <w:iCs/>
                        </w:rPr>
                        <w:tab/>
                      </w:r>
                      <w:r w:rsidRPr="005D26A9">
                        <w:rPr>
                          <w:i/>
                          <w:iCs/>
                        </w:rPr>
                        <w:tab/>
                        <w:t>Median</w:t>
                      </w:r>
                      <w:r w:rsidRPr="005D26A9">
                        <w:rPr>
                          <w:i/>
                          <w:iCs/>
                        </w:rPr>
                        <w:tab/>
                        <w:t>3Q</w:t>
                      </w:r>
                      <w:r w:rsidRPr="005D26A9">
                        <w:rPr>
                          <w:i/>
                          <w:iCs/>
                        </w:rPr>
                        <w:tab/>
                      </w:r>
                      <w:r w:rsidRPr="005D26A9">
                        <w:rPr>
                          <w:i/>
                          <w:iCs/>
                        </w:rPr>
                        <w:tab/>
                        <w:t>Max</w:t>
                      </w:r>
                      <w:r w:rsidRPr="005D26A9">
                        <w:rPr>
                          <w:i/>
                          <w:iCs/>
                        </w:rPr>
                        <w:tab/>
                      </w:r>
                    </w:p>
                    <w:p w14:paraId="46448687" w14:textId="77777777" w:rsidR="008A1CFC" w:rsidRDefault="00BD6535" w:rsidP="00636B49">
                      <w:pPr>
                        <w:rPr>
                          <w:i/>
                          <w:iCs/>
                        </w:rPr>
                      </w:pPr>
                      <w:r w:rsidRPr="00BD6535">
                        <w:rPr>
                          <w:i/>
                          <w:iCs/>
                        </w:rPr>
                        <w:t>-0.11840</w:t>
                      </w:r>
                      <w:r w:rsidRPr="00BD6535">
                        <w:rPr>
                          <w:i/>
                          <w:iCs/>
                        </w:rPr>
                        <w:tab/>
                        <w:t>-0.04420</w:t>
                      </w:r>
                      <w:r w:rsidRPr="00BD6535">
                        <w:rPr>
                          <w:i/>
                          <w:iCs/>
                        </w:rPr>
                        <w:tab/>
                        <w:t>0.00570</w:t>
                      </w:r>
                      <w:r w:rsidRPr="00BD6535">
                        <w:rPr>
                          <w:i/>
                          <w:iCs/>
                        </w:rPr>
                        <w:tab/>
                        <w:t>0.03500</w:t>
                      </w:r>
                      <w:r w:rsidRPr="00BD6535">
                        <w:rPr>
                          <w:i/>
                          <w:iCs/>
                        </w:rPr>
                        <w:tab/>
                        <w:t>0.14263</w:t>
                      </w:r>
                    </w:p>
                    <w:p w14:paraId="666EB677" w14:textId="706C90A2" w:rsidR="00636B49" w:rsidRPr="005D26A9" w:rsidRDefault="00636B49" w:rsidP="00636B49">
                      <w:pPr>
                        <w:rPr>
                          <w:i/>
                          <w:iCs/>
                        </w:rPr>
                      </w:pPr>
                    </w:p>
                    <w:p w14:paraId="3B4EF47E" w14:textId="77777777" w:rsidR="00FF6FBB" w:rsidRDefault="00636B49" w:rsidP="00554495">
                      <w:pPr>
                        <w:rPr>
                          <w:i/>
                          <w:iCs/>
                        </w:rPr>
                      </w:pPr>
                      <w:r w:rsidRPr="005D26A9">
                        <w:rPr>
                          <w:i/>
                          <w:iCs/>
                        </w:rPr>
                        <w:t>Coefficients:</w:t>
                      </w:r>
                      <w:r w:rsidRPr="005D26A9">
                        <w:rPr>
                          <w:i/>
                          <w:iCs/>
                        </w:rPr>
                        <w:tab/>
                      </w:r>
                      <w:r w:rsidRPr="005D26A9">
                        <w:rPr>
                          <w:i/>
                          <w:iCs/>
                        </w:rPr>
                        <w:tab/>
                        <w:t>Estimate</w:t>
                      </w:r>
                      <w:r w:rsidRPr="005D26A9">
                        <w:rPr>
                          <w:i/>
                          <w:iCs/>
                        </w:rPr>
                        <w:tab/>
                        <w:t>Std.Error</w:t>
                      </w:r>
                      <w:r w:rsidRPr="005D26A9">
                        <w:rPr>
                          <w:i/>
                          <w:iCs/>
                        </w:rPr>
                        <w:tab/>
                        <w:t>t value</w:t>
                      </w:r>
                      <w:r w:rsidRPr="005D26A9">
                        <w:rPr>
                          <w:i/>
                          <w:iCs/>
                        </w:rPr>
                        <w:tab/>
                        <w:t>Pr(&gt;|t|)</w:t>
                      </w:r>
                    </w:p>
                    <w:p w14:paraId="35EC6CA4" w14:textId="0FF57A23" w:rsidR="00554495" w:rsidRPr="00554495" w:rsidRDefault="00554495" w:rsidP="00554495">
                      <w:pPr>
                        <w:rPr>
                          <w:i/>
                          <w:iCs/>
                        </w:rPr>
                      </w:pPr>
                      <w:r w:rsidRPr="00554495">
                        <w:rPr>
                          <w:i/>
                          <w:iCs/>
                        </w:rPr>
                        <w:t>(Intercept)</w:t>
                      </w:r>
                      <w:r w:rsidRPr="00554495">
                        <w:rPr>
                          <w:i/>
                          <w:iCs/>
                        </w:rPr>
                        <w:tab/>
                      </w:r>
                      <w:r w:rsidR="008A1CFC">
                        <w:rPr>
                          <w:i/>
                          <w:iCs/>
                        </w:rPr>
                        <w:tab/>
                      </w:r>
                      <w:r w:rsidRPr="00554495">
                        <w:rPr>
                          <w:i/>
                          <w:iCs/>
                        </w:rPr>
                        <w:t>-5.73731</w:t>
                      </w:r>
                      <w:r w:rsidRPr="00554495">
                        <w:rPr>
                          <w:i/>
                          <w:iCs/>
                        </w:rPr>
                        <w:tab/>
                        <w:t>1.22318</w:t>
                      </w:r>
                      <w:r w:rsidRPr="00554495">
                        <w:rPr>
                          <w:i/>
                          <w:iCs/>
                        </w:rPr>
                        <w:tab/>
                        <w:t>-4.69049</w:t>
                      </w:r>
                      <w:r w:rsidRPr="00554495">
                        <w:rPr>
                          <w:i/>
                          <w:iCs/>
                        </w:rPr>
                        <w:tab/>
                        <w:t>7.61E-05</w:t>
                      </w:r>
                      <w:r w:rsidRPr="00554495">
                        <w:rPr>
                          <w:i/>
                          <w:iCs/>
                        </w:rPr>
                        <w:tab/>
                        <w:t>***</w:t>
                      </w:r>
                    </w:p>
                    <w:p w14:paraId="4A108DB2" w14:textId="6176B2F0" w:rsidR="00554495" w:rsidRPr="00554495" w:rsidRDefault="00554495" w:rsidP="00554495">
                      <w:pPr>
                        <w:rPr>
                          <w:i/>
                          <w:iCs/>
                        </w:rPr>
                      </w:pPr>
                      <w:r w:rsidRPr="00554495">
                        <w:rPr>
                          <w:i/>
                          <w:iCs/>
                        </w:rPr>
                        <w:t>log(n)</w:t>
                      </w:r>
                      <w:r w:rsidR="008A1CFC">
                        <w:rPr>
                          <w:i/>
                          <w:iCs/>
                        </w:rPr>
                        <w:tab/>
                      </w:r>
                      <w:r w:rsidR="008A1CFC">
                        <w:rPr>
                          <w:i/>
                          <w:iCs/>
                        </w:rPr>
                        <w:tab/>
                      </w:r>
                      <w:r w:rsidRPr="00554495">
                        <w:rPr>
                          <w:i/>
                          <w:iCs/>
                        </w:rPr>
                        <w:tab/>
                        <w:t>1.64922</w:t>
                      </w:r>
                      <w:r w:rsidRPr="00554495">
                        <w:rPr>
                          <w:i/>
                          <w:iCs/>
                        </w:rPr>
                        <w:tab/>
                        <w:t>0.28181</w:t>
                      </w:r>
                      <w:r w:rsidRPr="00554495">
                        <w:rPr>
                          <w:i/>
                          <w:iCs/>
                        </w:rPr>
                        <w:tab/>
                        <w:t>5.85222</w:t>
                      </w:r>
                      <w:r w:rsidRPr="00554495">
                        <w:rPr>
                          <w:i/>
                          <w:iCs/>
                        </w:rPr>
                        <w:tab/>
                        <w:t>3.61E-06</w:t>
                      </w:r>
                      <w:r w:rsidRPr="00554495">
                        <w:rPr>
                          <w:i/>
                          <w:iCs/>
                        </w:rPr>
                        <w:tab/>
                        <w:t>***</w:t>
                      </w:r>
                    </w:p>
                    <w:p w14:paraId="7818AF64" w14:textId="3522D6E6" w:rsidR="00554495" w:rsidRPr="00554495" w:rsidRDefault="00554495" w:rsidP="00554495">
                      <w:pPr>
                        <w:rPr>
                          <w:i/>
                          <w:iCs/>
                        </w:rPr>
                      </w:pPr>
                      <w:r w:rsidRPr="00554495">
                        <w:rPr>
                          <w:i/>
                          <w:iCs/>
                        </w:rPr>
                        <w:t>log(e)</w:t>
                      </w:r>
                      <w:r w:rsidR="008A1CFC">
                        <w:rPr>
                          <w:i/>
                          <w:iCs/>
                        </w:rPr>
                        <w:tab/>
                      </w:r>
                      <w:r w:rsidR="008A1CFC">
                        <w:rPr>
                          <w:i/>
                          <w:iCs/>
                        </w:rPr>
                        <w:tab/>
                      </w:r>
                      <w:r w:rsidRPr="00554495">
                        <w:rPr>
                          <w:i/>
                          <w:iCs/>
                        </w:rPr>
                        <w:tab/>
                        <w:t>0.84143</w:t>
                      </w:r>
                      <w:r w:rsidRPr="00554495">
                        <w:rPr>
                          <w:i/>
                          <w:iCs/>
                        </w:rPr>
                        <w:tab/>
                        <w:t>0.14545</w:t>
                      </w:r>
                      <w:r w:rsidRPr="00554495">
                        <w:rPr>
                          <w:i/>
                          <w:iCs/>
                        </w:rPr>
                        <w:tab/>
                        <w:t>5.78514</w:t>
                      </w:r>
                      <w:r w:rsidRPr="00554495">
                        <w:rPr>
                          <w:i/>
                          <w:iCs/>
                        </w:rPr>
                        <w:tab/>
                        <w:t>4.29E-06</w:t>
                      </w:r>
                      <w:r w:rsidRPr="00554495">
                        <w:rPr>
                          <w:i/>
                          <w:iCs/>
                        </w:rPr>
                        <w:tab/>
                        <w:t>***</w:t>
                      </w:r>
                    </w:p>
                    <w:p w14:paraId="0DEE17EC" w14:textId="0524E765" w:rsidR="00636B49" w:rsidRPr="005D26A9" w:rsidRDefault="00554495" w:rsidP="00554495">
                      <w:pPr>
                        <w:rPr>
                          <w:i/>
                          <w:iCs/>
                        </w:rPr>
                      </w:pPr>
                      <w:r w:rsidRPr="00554495">
                        <w:rPr>
                          <w:i/>
                          <w:iCs/>
                        </w:rPr>
                        <w:t>c</w:t>
                      </w:r>
                      <w:r w:rsidRPr="00554495">
                        <w:rPr>
                          <w:i/>
                          <w:iCs/>
                        </w:rPr>
                        <w:tab/>
                      </w:r>
                      <w:r w:rsidR="008A1CFC">
                        <w:rPr>
                          <w:i/>
                          <w:iCs/>
                        </w:rPr>
                        <w:tab/>
                      </w:r>
                      <w:r w:rsidR="008A1CFC">
                        <w:rPr>
                          <w:i/>
                          <w:iCs/>
                        </w:rPr>
                        <w:tab/>
                      </w:r>
                      <w:r w:rsidR="008A1CFC">
                        <w:rPr>
                          <w:i/>
                          <w:iCs/>
                        </w:rPr>
                        <w:tab/>
                      </w:r>
                      <w:r w:rsidRPr="00554495">
                        <w:rPr>
                          <w:i/>
                          <w:iCs/>
                        </w:rPr>
                        <w:t>-0.09114</w:t>
                      </w:r>
                      <w:r w:rsidRPr="00554495">
                        <w:rPr>
                          <w:i/>
                          <w:iCs/>
                        </w:rPr>
                        <w:tab/>
                        <w:t>0.03204</w:t>
                      </w:r>
                      <w:r w:rsidRPr="00554495">
                        <w:rPr>
                          <w:i/>
                          <w:iCs/>
                        </w:rPr>
                        <w:tab/>
                        <w:t>-2.84461</w:t>
                      </w:r>
                      <w:r w:rsidRPr="00554495">
                        <w:rPr>
                          <w:i/>
                          <w:iCs/>
                        </w:rPr>
                        <w:tab/>
                        <w:t>0.00855</w:t>
                      </w:r>
                      <w:r w:rsidRPr="00554495">
                        <w:rPr>
                          <w:i/>
                          <w:iCs/>
                        </w:rPr>
                        <w:tab/>
                        <w:t>**</w:t>
                      </w:r>
                    </w:p>
                    <w:p w14:paraId="021878F4" w14:textId="77777777" w:rsidR="00636B49" w:rsidRPr="005D26A9" w:rsidRDefault="00636B49" w:rsidP="00636B49">
                      <w:pPr>
                        <w:rPr>
                          <w:i/>
                          <w:iCs/>
                        </w:rPr>
                      </w:pPr>
                      <w:r w:rsidRPr="005D26A9">
                        <w:rPr>
                          <w:i/>
                          <w:iCs/>
                        </w:rPr>
                        <w:t>Signif. codes:</w:t>
                      </w:r>
                      <w:r w:rsidRPr="005D26A9">
                        <w:rPr>
                          <w:i/>
                          <w:iCs/>
                        </w:rPr>
                        <w:tab/>
                        <w:t>*** 0.001</w:t>
                      </w:r>
                      <w:r w:rsidRPr="005D26A9">
                        <w:rPr>
                          <w:i/>
                          <w:iCs/>
                        </w:rPr>
                        <w:tab/>
                        <w:t>** 0.01</w:t>
                      </w:r>
                      <w:r w:rsidRPr="005D26A9">
                        <w:rPr>
                          <w:i/>
                          <w:iCs/>
                        </w:rPr>
                        <w:tab/>
                      </w:r>
                      <w:r w:rsidRPr="005D26A9">
                        <w:rPr>
                          <w:i/>
                          <w:iCs/>
                        </w:rPr>
                        <w:tab/>
                        <w:t>* 0.05</w:t>
                      </w:r>
                      <w:r w:rsidRPr="005D26A9">
                        <w:rPr>
                          <w:i/>
                          <w:iCs/>
                        </w:rPr>
                        <w:tab/>
                      </w:r>
                      <w:r w:rsidRPr="005D26A9">
                        <w:rPr>
                          <w:i/>
                          <w:iCs/>
                        </w:rPr>
                        <w:tab/>
                        <w:t>. 0.1</w:t>
                      </w:r>
                    </w:p>
                    <w:p w14:paraId="7FE4CF4D" w14:textId="77777777" w:rsidR="00636B49" w:rsidRPr="005D26A9" w:rsidRDefault="00636B49" w:rsidP="00636B49">
                      <w:pPr>
                        <w:rPr>
                          <w:i/>
                          <w:iCs/>
                        </w:rPr>
                      </w:pPr>
                    </w:p>
                    <w:p w14:paraId="07F1B2B1" w14:textId="4545B8F5" w:rsidR="00636B49" w:rsidRPr="005D26A9" w:rsidRDefault="00636B49" w:rsidP="00636B49">
                      <w:pPr>
                        <w:rPr>
                          <w:i/>
                          <w:iCs/>
                        </w:rPr>
                      </w:pPr>
                      <w:r w:rsidRPr="005D26A9">
                        <w:rPr>
                          <w:i/>
                          <w:iCs/>
                        </w:rPr>
                        <w:t>Residual standard error:</w:t>
                      </w:r>
                      <w:r w:rsidRPr="005D26A9">
                        <w:rPr>
                          <w:i/>
                          <w:iCs/>
                        </w:rPr>
                        <w:tab/>
                      </w:r>
                      <w:r w:rsidR="00087941" w:rsidRPr="00087941">
                        <w:rPr>
                          <w:i/>
                          <w:iCs/>
                        </w:rPr>
                        <w:t>0.05909</w:t>
                      </w:r>
                      <w:r w:rsidR="00087941">
                        <w:rPr>
                          <w:i/>
                          <w:iCs/>
                        </w:rPr>
                        <w:t xml:space="preserve"> on </w:t>
                      </w:r>
                      <w:r w:rsidRPr="005D26A9">
                        <w:rPr>
                          <w:i/>
                          <w:iCs/>
                        </w:rPr>
                        <w:t>2</w:t>
                      </w:r>
                      <w:r w:rsidR="008A5FCE">
                        <w:rPr>
                          <w:i/>
                          <w:iCs/>
                        </w:rPr>
                        <w:t>6</w:t>
                      </w:r>
                      <w:r w:rsidRPr="005D26A9">
                        <w:rPr>
                          <w:i/>
                          <w:iCs/>
                        </w:rPr>
                        <w:t xml:space="preserve"> degrees of freedom</w:t>
                      </w:r>
                    </w:p>
                    <w:p w14:paraId="5E60E220" w14:textId="7D332EBF" w:rsidR="00636B49" w:rsidRPr="005D26A9" w:rsidRDefault="00636B49" w:rsidP="00636B49">
                      <w:pPr>
                        <w:rPr>
                          <w:i/>
                          <w:iCs/>
                        </w:rPr>
                      </w:pPr>
                      <w:r w:rsidRPr="005D26A9">
                        <w:rPr>
                          <w:i/>
                          <w:iCs/>
                        </w:rPr>
                        <w:t>Multiple R-squared:</w:t>
                      </w:r>
                      <w:r w:rsidRPr="005D26A9">
                        <w:rPr>
                          <w:i/>
                          <w:iCs/>
                        </w:rPr>
                        <w:tab/>
                      </w:r>
                      <w:r w:rsidRPr="005D26A9">
                        <w:rPr>
                          <w:i/>
                          <w:iCs/>
                        </w:rPr>
                        <w:tab/>
                      </w:r>
                      <w:r w:rsidR="00A01C26" w:rsidRPr="00A01C26">
                        <w:rPr>
                          <w:i/>
                          <w:iCs/>
                        </w:rPr>
                        <w:t>0.83271</w:t>
                      </w:r>
                    </w:p>
                    <w:p w14:paraId="04827A18" w14:textId="77777777" w:rsidR="00E5435D" w:rsidRDefault="00636B49" w:rsidP="00636B49">
                      <w:pPr>
                        <w:rPr>
                          <w:i/>
                          <w:iCs/>
                        </w:rPr>
                      </w:pPr>
                      <w:r w:rsidRPr="005D26A9">
                        <w:rPr>
                          <w:i/>
                          <w:iCs/>
                        </w:rPr>
                        <w:t>Adjusted R-squared:</w:t>
                      </w:r>
                      <w:r w:rsidRPr="005D26A9">
                        <w:rPr>
                          <w:i/>
                          <w:iCs/>
                        </w:rPr>
                        <w:tab/>
                      </w:r>
                      <w:r w:rsidR="00E5435D" w:rsidRPr="00E5435D">
                        <w:rPr>
                          <w:i/>
                          <w:iCs/>
                        </w:rPr>
                        <w:t>0.81341</w:t>
                      </w:r>
                    </w:p>
                    <w:p w14:paraId="527D3586" w14:textId="3B957E5D" w:rsidR="00636B49" w:rsidRPr="005D26A9" w:rsidRDefault="00636B49" w:rsidP="00636B49">
                      <w:pPr>
                        <w:rPr>
                          <w:i/>
                          <w:iCs/>
                        </w:rPr>
                      </w:pPr>
                      <w:r w:rsidRPr="005D26A9">
                        <w:rPr>
                          <w:i/>
                          <w:iCs/>
                        </w:rPr>
                        <w:t>F-statistic:</w:t>
                      </w:r>
                      <w:r w:rsidRPr="005D26A9">
                        <w:rPr>
                          <w:i/>
                          <w:iCs/>
                        </w:rPr>
                        <w:tab/>
                      </w:r>
                      <w:r w:rsidRPr="005D26A9">
                        <w:rPr>
                          <w:i/>
                          <w:iCs/>
                        </w:rPr>
                        <w:tab/>
                      </w:r>
                      <w:r w:rsidR="009316CC">
                        <w:rPr>
                          <w:i/>
                          <w:iCs/>
                        </w:rPr>
                        <w:tab/>
                      </w:r>
                      <w:r w:rsidR="00E5435D" w:rsidRPr="00E5435D">
                        <w:rPr>
                          <w:i/>
                          <w:iCs/>
                        </w:rPr>
                        <w:t>43.13936</w:t>
                      </w:r>
                      <w:r w:rsidR="006A43A2">
                        <w:rPr>
                          <w:i/>
                          <w:iCs/>
                        </w:rPr>
                        <w:t xml:space="preserve"> o </w:t>
                      </w:r>
                      <w:r w:rsidRPr="005D26A9">
                        <w:rPr>
                          <w:i/>
                          <w:iCs/>
                        </w:rPr>
                        <w:t>3 and 2</w:t>
                      </w:r>
                      <w:r w:rsidR="002C7758">
                        <w:rPr>
                          <w:i/>
                          <w:iCs/>
                        </w:rPr>
                        <w:t>6</w:t>
                      </w:r>
                      <w:r w:rsidRPr="005D26A9">
                        <w:rPr>
                          <w:i/>
                          <w:iCs/>
                        </w:rPr>
                        <w:t xml:space="preserve"> degrees of freedom</w:t>
                      </w:r>
                    </w:p>
                    <w:p w14:paraId="287B4207" w14:textId="7A5A3DED" w:rsidR="00636B49" w:rsidRPr="005D26A9" w:rsidRDefault="00636B49" w:rsidP="00636B49">
                      <w:pPr>
                        <w:rPr>
                          <w:i/>
                          <w:iCs/>
                        </w:rPr>
                      </w:pPr>
                      <w:r w:rsidRPr="005D26A9">
                        <w:rPr>
                          <w:i/>
                          <w:iCs/>
                        </w:rPr>
                        <w:t>p-value:</w:t>
                      </w:r>
                      <w:r w:rsidRPr="005D26A9">
                        <w:rPr>
                          <w:i/>
                          <w:iCs/>
                        </w:rPr>
                        <w:tab/>
                      </w:r>
                      <w:r w:rsidRPr="005D26A9">
                        <w:rPr>
                          <w:i/>
                          <w:iCs/>
                        </w:rPr>
                        <w:tab/>
                      </w:r>
                      <w:r w:rsidR="009316CC">
                        <w:rPr>
                          <w:i/>
                          <w:iCs/>
                        </w:rPr>
                        <w:tab/>
                      </w:r>
                      <w:r w:rsidR="006F2BA5" w:rsidRPr="006F2BA5">
                        <w:rPr>
                          <w:i/>
                          <w:iCs/>
                        </w:rPr>
                        <w:t>3.091059E-10</w:t>
                      </w:r>
                    </w:p>
                    <w:p w14:paraId="64AE5795" w14:textId="4D54696C" w:rsidR="00636B49" w:rsidRDefault="00636B49"/>
                  </w:txbxContent>
                </v:textbox>
                <w10:wrap type="topAndBottom" anchorx="margin"/>
              </v:shape>
            </w:pict>
          </mc:Fallback>
        </mc:AlternateContent>
      </w:r>
      <w:r>
        <w:t xml:space="preserve">Figure </w:t>
      </w:r>
      <w:r w:rsidR="008C46EB">
        <w:fldChar w:fldCharType="begin"/>
      </w:r>
      <w:r w:rsidR="008C46EB">
        <w:instrText xml:space="preserve"> SEQ Figure \* ARABIC </w:instrText>
      </w:r>
      <w:r w:rsidR="008C46EB">
        <w:fldChar w:fldCharType="separate"/>
      </w:r>
      <w:r>
        <w:rPr>
          <w:noProof/>
        </w:rPr>
        <w:t>2</w:t>
      </w:r>
      <w:r w:rsidR="008C46EB">
        <w:rPr>
          <w:noProof/>
        </w:rPr>
        <w:fldChar w:fldCharType="end"/>
      </w:r>
      <w:r>
        <w:t xml:space="preserve">: </w:t>
      </w:r>
      <w:r w:rsidRPr="00C20623">
        <w:t>Regression Summary</w:t>
      </w:r>
    </w:p>
    <w:p w14:paraId="3106D865" w14:textId="77777777" w:rsidR="008E4B2C" w:rsidRDefault="008E4B2C" w:rsidP="00F91D91"/>
    <w:p w14:paraId="34FBA204" w14:textId="2BD8939B" w:rsidR="007E4E01" w:rsidRDefault="00421D89" w:rsidP="00F91D91">
      <w:pPr>
        <w:rPr>
          <w:rFonts w:eastAsiaTheme="minorEastAsia"/>
        </w:rPr>
      </w:pPr>
      <w:r>
        <w:t>T</w:t>
      </w:r>
      <w:r w:rsidR="006C60F6">
        <w:t xml:space="preserve">he results </w:t>
      </w:r>
      <w:r w:rsidR="00020731">
        <w:t xml:space="preserve">indicate a </w:t>
      </w:r>
      <w:r w:rsidR="00335909">
        <w:t xml:space="preserve">strong </w:t>
      </w:r>
      <w:r w:rsidR="00020731">
        <w:t xml:space="preserve">relationship </w:t>
      </w:r>
      <w:r w:rsidR="009A573F">
        <w:t xml:space="preserve">between CPI and EPI and </w:t>
      </w:r>
      <w:r w:rsidR="00625262">
        <w:t>EP</w:t>
      </w:r>
      <w:r w:rsidR="00335909">
        <w:t xml:space="preserve"> and a </w:t>
      </w:r>
      <w:r w:rsidR="006F2BA5">
        <w:t xml:space="preserve">weaker </w:t>
      </w:r>
      <w:r w:rsidR="00335909">
        <w:t xml:space="preserve">negative relationship </w:t>
      </w:r>
      <w:r w:rsidR="00527916">
        <w:t xml:space="preserve">between the Government’s COVID-19 </w:t>
      </w:r>
      <w:r w:rsidR="007E4E01">
        <w:t xml:space="preserve">financial measure and </w:t>
      </w:r>
      <w:r w:rsidR="00625262">
        <w:t>EP</w:t>
      </w:r>
      <w:r>
        <w:t xml:space="preserve">. </w:t>
      </w:r>
      <w:r w:rsidR="00CA27D3">
        <w:t xml:space="preserve">The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186D2E">
        <w:rPr>
          <w:rFonts w:eastAsiaTheme="minorEastAsia"/>
        </w:rPr>
        <w:t xml:space="preserve"> </w:t>
      </w:r>
      <w:r w:rsidR="002B79F0">
        <w:rPr>
          <w:rFonts w:eastAsiaTheme="minorEastAsia"/>
        </w:rPr>
        <w:t xml:space="preserve">indicates a high Coefficient of Determination of </w:t>
      </w:r>
      <w:r w:rsidR="006F2BA5">
        <w:rPr>
          <w:rFonts w:eastAsiaTheme="minorEastAsia"/>
        </w:rPr>
        <w:t>81.3</w:t>
      </w:r>
      <w:r w:rsidR="00AB4133">
        <w:rPr>
          <w:rFonts w:eastAsiaTheme="minorEastAsia"/>
        </w:rPr>
        <w:t>%.</w:t>
      </w:r>
    </w:p>
    <w:p w14:paraId="4D187378" w14:textId="77777777" w:rsidR="00972354" w:rsidRDefault="00972354" w:rsidP="00F91D91">
      <w:pPr>
        <w:rPr>
          <w:rFonts w:eastAsiaTheme="minorEastAsia"/>
        </w:rPr>
      </w:pPr>
    </w:p>
    <w:p w14:paraId="691116A0" w14:textId="3BCE6A5E" w:rsidR="00972354" w:rsidRDefault="00B819E8" w:rsidP="00F91D91">
      <w:pPr>
        <w:rPr>
          <w:rFonts w:eastAsiaTheme="minorEastAsia"/>
        </w:rPr>
      </w:pPr>
      <w:r>
        <w:rPr>
          <w:rFonts w:eastAsiaTheme="minorEastAsia"/>
        </w:rPr>
        <w:lastRenderedPageBreak/>
        <w:t xml:space="preserve">The regression </w:t>
      </w:r>
      <w:r w:rsidR="008742BB">
        <w:rPr>
          <w:rFonts w:eastAsiaTheme="minorEastAsia"/>
        </w:rPr>
        <w:t>estimates that</w:t>
      </w:r>
      <w:r w:rsidR="00A0041C">
        <w:rPr>
          <w:rFonts w:eastAsiaTheme="minorEastAsia"/>
        </w:rPr>
        <w:t xml:space="preserve"> in NSW</w:t>
      </w:r>
      <w:r w:rsidR="00D137AA">
        <w:rPr>
          <w:rFonts w:eastAsiaTheme="minorEastAsia"/>
        </w:rPr>
        <w:t>,</w:t>
      </w:r>
      <w:r w:rsidR="008742BB">
        <w:rPr>
          <w:rFonts w:eastAsiaTheme="minorEastAsia"/>
        </w:rPr>
        <w:t xml:space="preserve"> for </w:t>
      </w:r>
      <w:r w:rsidR="00972354">
        <w:rPr>
          <w:rFonts w:eastAsiaTheme="minorEastAsia"/>
        </w:rPr>
        <w:t>every</w:t>
      </w:r>
      <w:r w:rsidR="008742BB">
        <w:rPr>
          <w:rFonts w:eastAsiaTheme="minorEastAsia"/>
        </w:rPr>
        <w:t xml:space="preserve"> 1% increase in </w:t>
      </w:r>
      <w:r w:rsidR="00EF4721">
        <w:rPr>
          <w:rFonts w:eastAsiaTheme="minorEastAsia"/>
        </w:rPr>
        <w:t>EPI, there is a 0.</w:t>
      </w:r>
      <w:r w:rsidR="00C72D22">
        <w:rPr>
          <w:rFonts w:eastAsiaTheme="minorEastAsia"/>
        </w:rPr>
        <w:t>64</w:t>
      </w:r>
      <w:r w:rsidR="00EF4721">
        <w:rPr>
          <w:rFonts w:eastAsiaTheme="minorEastAsia"/>
        </w:rPr>
        <w:t>% increase in EP</w:t>
      </w:r>
      <w:r w:rsidR="00A0041C">
        <w:rPr>
          <w:rFonts w:eastAsiaTheme="minorEastAsia"/>
        </w:rPr>
        <w:t>. Additionally, for every 1% increa</w:t>
      </w:r>
      <w:r w:rsidR="00D137AA">
        <w:rPr>
          <w:rFonts w:eastAsiaTheme="minorEastAsia"/>
        </w:rPr>
        <w:t>s</w:t>
      </w:r>
      <w:r w:rsidR="00A0041C">
        <w:rPr>
          <w:rFonts w:eastAsiaTheme="minorEastAsia"/>
        </w:rPr>
        <w:t>e in CPI</w:t>
      </w:r>
      <w:r w:rsidR="00D137AA">
        <w:rPr>
          <w:rFonts w:eastAsiaTheme="minorEastAsia"/>
        </w:rPr>
        <w:t xml:space="preserve">, there is a </w:t>
      </w:r>
      <w:r w:rsidR="00C72D22">
        <w:rPr>
          <w:rFonts w:eastAsiaTheme="minorEastAsia"/>
        </w:rPr>
        <w:t>2.26</w:t>
      </w:r>
      <w:r w:rsidR="00D137AA">
        <w:rPr>
          <w:rFonts w:eastAsiaTheme="minorEastAsia"/>
        </w:rPr>
        <w:t>% increase in EP.</w:t>
      </w:r>
    </w:p>
    <w:p w14:paraId="26F9BFE2" w14:textId="77777777" w:rsidR="0033596B" w:rsidRDefault="0033596B" w:rsidP="00F91D91">
      <w:pPr>
        <w:rPr>
          <w:rFonts w:eastAsiaTheme="minorEastAsia"/>
        </w:rPr>
      </w:pPr>
    </w:p>
    <w:p w14:paraId="62711AA4" w14:textId="098C1F4D" w:rsidR="0033596B" w:rsidRDefault="0033596B" w:rsidP="00F91D91">
      <w:pPr>
        <w:rPr>
          <w:rFonts w:eastAsiaTheme="minorEastAsia"/>
        </w:rPr>
      </w:pPr>
      <w:r>
        <w:rPr>
          <w:rFonts w:eastAsiaTheme="minorEastAsia"/>
        </w:rPr>
        <w:t xml:space="preserve">While the relationship </w:t>
      </w:r>
      <w:r w:rsidR="00CA01B1">
        <w:rPr>
          <w:rFonts w:eastAsiaTheme="minorEastAsia"/>
        </w:rPr>
        <w:t>between EPI and EP</w:t>
      </w:r>
      <w:r w:rsidR="00532CFC">
        <w:rPr>
          <w:rFonts w:eastAsiaTheme="minorEastAsia"/>
        </w:rPr>
        <w:t xml:space="preserve"> is smaller than between </w:t>
      </w:r>
      <w:r w:rsidR="000961DC">
        <w:rPr>
          <w:rFonts w:eastAsiaTheme="minorEastAsia"/>
        </w:rPr>
        <w:t xml:space="preserve">CPI and EP, </w:t>
      </w:r>
      <w:r w:rsidR="006057D2">
        <w:rPr>
          <w:rFonts w:eastAsiaTheme="minorEastAsia"/>
        </w:rPr>
        <w:t>ele</w:t>
      </w:r>
      <w:r w:rsidR="00585799">
        <w:rPr>
          <w:rFonts w:eastAsiaTheme="minorEastAsia"/>
        </w:rPr>
        <w:t>ctric</w:t>
      </w:r>
      <w:r w:rsidR="006057D2">
        <w:rPr>
          <w:rFonts w:eastAsiaTheme="minorEastAsia"/>
        </w:rPr>
        <w:t>ity</w:t>
      </w:r>
      <w:r w:rsidR="00585799">
        <w:rPr>
          <w:rFonts w:eastAsiaTheme="minorEastAsia"/>
        </w:rPr>
        <w:t xml:space="preserve"> price </w:t>
      </w:r>
      <w:r w:rsidR="00C05634">
        <w:rPr>
          <w:rFonts w:eastAsiaTheme="minorEastAsia"/>
        </w:rPr>
        <w:t xml:space="preserve">increases </w:t>
      </w:r>
      <w:r w:rsidR="00585799">
        <w:rPr>
          <w:rFonts w:eastAsiaTheme="minorEastAsia"/>
        </w:rPr>
        <w:t xml:space="preserve">are </w:t>
      </w:r>
      <w:r w:rsidR="00C05634">
        <w:rPr>
          <w:rFonts w:eastAsiaTheme="minorEastAsia"/>
        </w:rPr>
        <w:t>more significant</w:t>
      </w:r>
      <w:r w:rsidR="00585799">
        <w:rPr>
          <w:rFonts w:eastAsiaTheme="minorEastAsia"/>
        </w:rPr>
        <w:t xml:space="preserve"> than CPI</w:t>
      </w:r>
      <w:r w:rsidR="006057D2">
        <w:rPr>
          <w:rFonts w:eastAsiaTheme="minorEastAsia"/>
        </w:rPr>
        <w:t>. Therefore the accumulated impact is gr</w:t>
      </w:r>
      <w:r w:rsidR="00C05634">
        <w:rPr>
          <w:rFonts w:eastAsiaTheme="minorEastAsia"/>
        </w:rPr>
        <w:t>e</w:t>
      </w:r>
      <w:r w:rsidR="006057D2">
        <w:rPr>
          <w:rFonts w:eastAsiaTheme="minorEastAsia"/>
        </w:rPr>
        <w:t>ater</w:t>
      </w:r>
      <w:r w:rsidR="00C05634">
        <w:rPr>
          <w:rFonts w:eastAsiaTheme="minorEastAsia"/>
        </w:rPr>
        <w:t xml:space="preserve"> </w:t>
      </w:r>
      <w:r w:rsidR="00C05634">
        <w:rPr>
          <w:rFonts w:eastAsiaTheme="minorEastAsia"/>
        </w:rPr>
        <w:fldChar w:fldCharType="begin"/>
      </w:r>
      <w:r w:rsidR="00636B49">
        <w:rPr>
          <w:rFonts w:eastAsiaTheme="minorEastAsia"/>
        </w:rPr>
        <w:instrText xml:space="preserve"> ADDIN ZOTERO_ITEM CSL_CITATION {"citationID":"k2pyddSN","properties":{"formattedCitation":"(ABS 2023b; AER 2023b; The Treasury of Australia 2023, 66\\uc0\\u8211{}67)","plainCitation":"(ABS 2023b; AER 2023b; The Treasury of Australia 2023, 66–67)","noteIndex":0},"citationItems":[{"id":1111,"uris":["http://zotero.org/users/9869725/items/XJ2MZDGP"],"itemData":{"id":1111,"type":"webpage","container-title":"Australian Bureau of Statistics - Consumer Price Index, Australia","language":"en","title":"Australian Bureau of Statistics: Consumer Price Index, Australia","URL":"https://www.abs.gov.au/statistics/economy/price-indexes-and-inflation/consumer-price-index-australia","author":[{"literal":"ABS"}],"accessed":{"date-parts":[["2023",5,4]]},"issued":{"date-parts":[["2023",7,26]]}}},{"id":1174,"uris":["http://zotero.org/users/9869725/items/SHIIRNLL"],"itemData":{"id":1174,"type":"report","event-place":"Canberra, Australia","note":"© Commonwealth of Australia 2023","number":"64687","page":"72","publisher":"Australian Energy Regulator","publisher-place":"Canberra, Australia","title":"Default market offer prices 2023–24: Final determination","URL":"https://www.aer.gov.au/system/files/Default%20market%20offer%20prices%202023-24%20final%20determination.pdf","author":[{"literal":"AER"}],"issued":{"date-parts":[["2023",5]]}}},{"id":1116,"uris":["http://zotero.org/users/9869725/items/KVLZYYSW"],"itemData":{"id":1116,"type":"report","event-place":"Canberra, Australia","page":"438","publisher":"Commonwealth of Australia","publisher-place":"Canberra, Australia","title":"Budget Paper No. 1, Budget Strategy and Outlook (May 2023)","URL":"https://budget.gov.au/content/bp1/download/bp1_2023-24.pdf","author":[{"literal":"The Treasury of Australia"}],"issued":{"date-parts":[["2023",5,9]]}},"locator":"66-67","label":"page"}],"schema":"https://github.com/citation-style-language/schema/raw/master/csl-citation.json"} </w:instrText>
      </w:r>
      <w:r w:rsidR="00C05634">
        <w:rPr>
          <w:rFonts w:eastAsiaTheme="minorEastAsia"/>
        </w:rPr>
        <w:fldChar w:fldCharType="separate"/>
      </w:r>
      <w:r w:rsidR="00636B49" w:rsidRPr="00636B49">
        <w:rPr>
          <w:rFonts w:cs="Times New Roman"/>
          <w:szCs w:val="24"/>
        </w:rPr>
        <w:t>(ABS 2023b; AER 2023b; The Treasury of Australia 2023, 66–67)</w:t>
      </w:r>
      <w:r w:rsidR="00C05634">
        <w:rPr>
          <w:rFonts w:eastAsiaTheme="minorEastAsia"/>
        </w:rPr>
        <w:fldChar w:fldCharType="end"/>
      </w:r>
      <w:r w:rsidR="00636B49">
        <w:rPr>
          <w:rFonts w:eastAsiaTheme="minorEastAsia"/>
        </w:rPr>
        <w:t>.</w:t>
      </w:r>
    </w:p>
    <w:p w14:paraId="67B7AFA3" w14:textId="77777777" w:rsidR="000C6508" w:rsidRDefault="000C6508" w:rsidP="00F91D91">
      <w:pPr>
        <w:rPr>
          <w:rFonts w:eastAsiaTheme="minorEastAsia"/>
        </w:rPr>
      </w:pPr>
    </w:p>
    <w:p w14:paraId="1DD10E47" w14:textId="6AF36385" w:rsidR="000C6508" w:rsidRDefault="000F4762" w:rsidP="000F4762">
      <w:pPr>
        <w:pStyle w:val="Heading2"/>
        <w:rPr>
          <w:rFonts w:eastAsiaTheme="minorEastAsia"/>
        </w:rPr>
      </w:pPr>
      <w:r>
        <w:rPr>
          <w:rFonts w:eastAsiaTheme="minorEastAsia"/>
        </w:rPr>
        <w:t>Prediction</w:t>
      </w:r>
    </w:p>
    <w:p w14:paraId="5C3F77A8" w14:textId="2F0AF9F1" w:rsidR="000F4762" w:rsidRDefault="00C5044B" w:rsidP="000F4762">
      <w:r>
        <w:t>The</w:t>
      </w:r>
      <w:r w:rsidR="000C5631">
        <w:t xml:space="preserve"> AER </w:t>
      </w:r>
      <w:r w:rsidR="0036216D">
        <w:t xml:space="preserve">determined that NSW </w:t>
      </w:r>
      <w:r w:rsidR="00E21F2C">
        <w:t xml:space="preserve">electricity </w:t>
      </w:r>
      <w:r w:rsidR="0036216D">
        <w:t>price increase</w:t>
      </w:r>
      <w:r w:rsidR="00E21F2C">
        <w:t xml:space="preserve">s </w:t>
      </w:r>
      <w:r w:rsidR="0036216D">
        <w:t xml:space="preserve">would be </w:t>
      </w:r>
      <w:r w:rsidR="00CF1B7E">
        <w:t xml:space="preserve">between </w:t>
      </w:r>
      <w:r w:rsidR="00A96D37">
        <w:t xml:space="preserve">19.6 and </w:t>
      </w:r>
      <w:r w:rsidR="008D7090">
        <w:t>24.9%</w:t>
      </w:r>
      <w:r w:rsidR="00E21F2C">
        <w:t xml:space="preserve"> for the 2023-24 financial year</w:t>
      </w:r>
      <w:r w:rsidR="008D7090">
        <w:t xml:space="preserve"> </w:t>
      </w:r>
      <w:r w:rsidR="008D7090">
        <w:fldChar w:fldCharType="begin"/>
      </w:r>
      <w:r w:rsidR="008D7090">
        <w:instrText xml:space="preserve"> ADDIN ZOTERO_ITEM CSL_CITATION {"citationID":"C0AZsqeC","properties":{"formattedCitation":"(AER 2023b, 5)","plainCitation":"(AER 2023b, 5)","noteIndex":0},"citationItems":[{"id":1174,"uris":["http://zotero.org/users/9869725/items/SHIIRNLL"],"itemData":{"id":1174,"type":"report","event-place":"Canberra, Australia","note":"© Commonwealth of Australia 2023","number":"64687","page":"72","publisher":"Australian Energy Regulator","publisher-place":"Canberra, Australia","title":"Default market offer prices 2023–24: Final determination","URL":"https://www.aer.gov.au/system/files/Default%20market%20offer%20prices%202023-24%20final%20determination.pdf","author":[{"literal":"AER"}],"issued":{"date-parts":[["2023",5]]}},"locator":"5","label":"page"}],"schema":"https://github.com/citation-style-language/schema/raw/master/csl-citation.json"} </w:instrText>
      </w:r>
      <w:r w:rsidR="008D7090">
        <w:fldChar w:fldCharType="separate"/>
      </w:r>
      <w:r w:rsidR="008D7090" w:rsidRPr="008D7090">
        <w:t>(AER 2023b, 5)</w:t>
      </w:r>
      <w:r w:rsidR="008D7090">
        <w:fldChar w:fldCharType="end"/>
      </w:r>
      <w:r w:rsidR="007F5093">
        <w:t>.</w:t>
      </w:r>
      <w:r w:rsidR="000D7B88">
        <w:t xml:space="preserve"> </w:t>
      </w:r>
      <w:r w:rsidR="006D6B2C">
        <w:t>However, o</w:t>
      </w:r>
      <w:r w:rsidR="00B24304">
        <w:t xml:space="preserve">n 11 June 2023, </w:t>
      </w:r>
      <w:r w:rsidR="005D783C">
        <w:t>O</w:t>
      </w:r>
      <w:r w:rsidR="00B24304">
        <w:t>rigin Energy and AGL</w:t>
      </w:r>
      <w:r w:rsidR="00A80CB0">
        <w:t xml:space="preserve"> </w:t>
      </w:r>
      <w:r w:rsidR="005D783C">
        <w:t xml:space="preserve">announced price increases for NSW of </w:t>
      </w:r>
      <w:r w:rsidR="005159BD">
        <w:t>21.1% and 29.7%</w:t>
      </w:r>
      <w:r w:rsidR="001F0DE5">
        <w:t>,</w:t>
      </w:r>
      <w:r w:rsidR="005159BD">
        <w:t xml:space="preserve"> respectiv</w:t>
      </w:r>
      <w:r w:rsidR="001F0DE5">
        <w:t>e</w:t>
      </w:r>
      <w:r w:rsidR="005159BD">
        <w:t>ly</w:t>
      </w:r>
      <w:r w:rsidR="00DA5274">
        <w:t xml:space="preserve">, starting </w:t>
      </w:r>
      <w:r w:rsidR="00FA7889">
        <w:t>in July 2023</w:t>
      </w:r>
      <w:r w:rsidR="005159BD">
        <w:t xml:space="preserve"> </w:t>
      </w:r>
      <w:r w:rsidR="005159BD">
        <w:fldChar w:fldCharType="begin"/>
      </w:r>
      <w:r w:rsidR="005159BD">
        <w:instrText xml:space="preserve"> ADDIN ZOTERO_ITEM CSL_CITATION {"citationID":"Y2JO0D3T","properties":{"formattedCitation":"(ABC News 2023)","plainCitation":"(ABC News 2023)","noteIndex":0},"citationItems":[{"id":1240,"uris":["http://zotero.org/users/9869725/items/2MVL4QBN"],"itemData":{"id":1240,"type":"article-newspaper","abstract":"Two major energy retailers announced prices will rise in the coming months, adding hundreds of dollars to the annual average bill.","container-title":"ABC News","language":"en-AU","source":"www.abc.net.au","title":"Energy bills to rise as major retailers announce price hike","URL":"https://www.abc.net.au/news/2023-06-11/agl-origin-announce-energy-price-rise/102465710","author":[{"literal":"ABC News"}],"accessed":{"date-parts":[["2023",6,11]]},"issued":{"date-parts":[["2023",6,10]]}}}],"schema":"https://github.com/citation-style-language/schema/raw/master/csl-citation.json"} </w:instrText>
      </w:r>
      <w:r w:rsidR="005159BD">
        <w:fldChar w:fldCharType="separate"/>
      </w:r>
      <w:r w:rsidR="005159BD" w:rsidRPr="005159BD">
        <w:t>(ABC News 2023)</w:t>
      </w:r>
      <w:r w:rsidR="005159BD">
        <w:fldChar w:fldCharType="end"/>
      </w:r>
      <w:r w:rsidR="001F0DE5">
        <w:t>.</w:t>
      </w:r>
    </w:p>
    <w:p w14:paraId="13857D55" w14:textId="77777777" w:rsidR="0019798C" w:rsidRDefault="0019798C" w:rsidP="000F4762"/>
    <w:p w14:paraId="1F7B5A71" w14:textId="146CCF99" w:rsidR="00B95A2D" w:rsidRDefault="00800648" w:rsidP="000F4762">
      <w:r>
        <w:t xml:space="preserve">The prediction numbers </w:t>
      </w:r>
      <w:r w:rsidR="00B37799">
        <w:t>were</w:t>
      </w:r>
      <w:r>
        <w:t xml:space="preserve"> drawn </w:t>
      </w:r>
      <w:r w:rsidR="0083746D">
        <w:t xml:space="preserve">from </w:t>
      </w:r>
      <w:r w:rsidR="00B10746">
        <w:t xml:space="preserve">The Treasury </w:t>
      </w:r>
      <w:r w:rsidR="00960A30">
        <w:t xml:space="preserve">annual </w:t>
      </w:r>
      <w:r w:rsidR="00945FFD">
        <w:t>inflation forecasts</w:t>
      </w:r>
      <w:r w:rsidR="0083746D">
        <w:t xml:space="preserve"> </w:t>
      </w:r>
      <w:r w:rsidR="000F4347">
        <w:t>divided by four</w:t>
      </w:r>
      <w:r w:rsidR="000F4347">
        <w:rPr>
          <w:rStyle w:val="FootnoteReference"/>
        </w:rPr>
        <w:footnoteReference w:id="6"/>
      </w:r>
      <w:r w:rsidR="000F4347">
        <w:t xml:space="preserve">, </w:t>
      </w:r>
      <w:r w:rsidR="0083746D">
        <w:t>and</w:t>
      </w:r>
      <w:r w:rsidR="009F7148">
        <w:t xml:space="preserve"> the mean </w:t>
      </w:r>
      <w:r w:rsidR="00951204">
        <w:t xml:space="preserve">of the </w:t>
      </w:r>
      <w:r w:rsidR="009F7148">
        <w:t xml:space="preserve">two announced </w:t>
      </w:r>
      <w:r w:rsidR="00951204">
        <w:t xml:space="preserve">NSW </w:t>
      </w:r>
      <w:r w:rsidR="009E306D">
        <w:t>price ri</w:t>
      </w:r>
      <w:r w:rsidR="00B551EF">
        <w:t>s</w:t>
      </w:r>
      <w:r w:rsidR="009E306D">
        <w:t>es:</w:t>
      </w:r>
    </w:p>
    <w:p w14:paraId="6F35818C" w14:textId="39ABB8DE" w:rsidR="004A5F8D" w:rsidRDefault="00B95A2D" w:rsidP="000F4762">
      <w:r>
        <w:tab/>
        <w:t xml:space="preserve">CPI increase </w:t>
      </w:r>
      <w:r w:rsidR="004A5F8D">
        <w:t xml:space="preserve">= </w:t>
      </w:r>
      <w:r w:rsidR="00904C53">
        <w:t>0.81</w:t>
      </w:r>
      <w:r w:rsidR="004A5F8D">
        <w:t>%</w:t>
      </w:r>
    </w:p>
    <w:p w14:paraId="1F2A4E1B" w14:textId="353F5257" w:rsidR="004A5F8D" w:rsidRDefault="004A5F8D" w:rsidP="000F4762">
      <w:r>
        <w:tab/>
      </w:r>
      <w:r w:rsidR="00D20BE5">
        <w:t xml:space="preserve">EPI increase = </w:t>
      </w:r>
      <w:r w:rsidR="00C95DBF">
        <w:t>2</w:t>
      </w:r>
      <w:r w:rsidR="00FE3112">
        <w:t>5.4</w:t>
      </w:r>
      <w:r w:rsidR="00C95DBF">
        <w:t>%</w:t>
      </w:r>
    </w:p>
    <w:p w14:paraId="66F03342" w14:textId="5640D355" w:rsidR="0075770A" w:rsidRDefault="0075770A" w:rsidP="000F4762">
      <w:r>
        <w:fldChar w:fldCharType="begin"/>
      </w:r>
      <w:r>
        <w:instrText xml:space="preserve"> ADDIN ZOTERO_ITEM CSL_CITATION {"citationID":"l1GWGcjE","properties":{"formattedCitation":"(The Treasury of Australia 2023, 66; AER 2023b, 5; ABC News 2023)","plainCitation":"(The Treasury of Australia 2023, 66; AER 2023b, 5; ABC News 2023)","noteIndex":0},"citationItems":[{"id":1116,"uris":["http://zotero.org/users/9869725/items/KVLZYYSW"],"itemData":{"id":1116,"type":"report","event-place":"Canberra, Australia","page":"438","publisher":"Commonwealth of Australia","publisher-place":"Canberra, Australia","title":"Budget Paper No. 1, Budget Strategy and Outlook (May 2023)","URL":"https://budget.gov.au/content/bp1/download/bp1_2023-24.pdf","author":[{"literal":"The Treasury of Australia"}],"issued":{"date-parts":[["2023",5,9]]}},"locator":"66","label":"page"},{"id":1174,"uris":["http://zotero.org/users/9869725/items/SHIIRNLL"],"itemData":{"id":1174,"type":"report","event-place":"Canberra, Australia","note":"© Commonwealth of Australia 2023","number":"64687","page":"72","publisher":"Australian Energy Regulator","publisher-place":"Canberra, Australia","title":"Default market offer prices 2023–24: Final determination","URL":"https://www.aer.gov.au/system/files/Default%20market%20offer%20prices%202023-24%20final%20determination.pdf","author":[{"literal":"AER"}],"issued":{"date-parts":[["2023",5]]}},"locator":"5","label":"page"},{"id":1240,"uris":["http://zotero.org/users/9869725/items/2MVL4QBN"],"itemData":{"id":1240,"type":"article-newspaper","abstract":"Two major energy retailers announced prices will rise in the coming months, adding hundreds of dollars to the annual average bill.","container-title":"ABC News","language":"en-AU","source":"www.abc.net.au","title":"Energy bills to rise as major retailers announce price hike","URL":"https://www.abc.net.au/news/2023-06-11/agl-origin-announce-energy-price-rise/102465710","author":[{"literal":"ABC News"}],"accessed":{"date-parts":[["2023",6,11]]},"issued":{"date-parts":[["2023",6,10]]}}}],"schema":"https://github.com/citation-style-language/schema/raw/master/csl-citation.json"} </w:instrText>
      </w:r>
      <w:r>
        <w:fldChar w:fldCharType="separate"/>
      </w:r>
      <w:r w:rsidRPr="0075770A">
        <w:t>(The Treasury of Australia 2023, 66; AER 2023b, 5; ABC News 2023)</w:t>
      </w:r>
      <w:r>
        <w:fldChar w:fldCharType="end"/>
      </w:r>
    </w:p>
    <w:p w14:paraId="4D83E3BC" w14:textId="77777777" w:rsidR="008039AC" w:rsidRDefault="008039AC" w:rsidP="000F4762"/>
    <w:p w14:paraId="61BF0565" w14:textId="2FF52F75" w:rsidR="001D41DF" w:rsidRDefault="0019798C" w:rsidP="00DC393A">
      <w:r>
        <w:t xml:space="preserve">The prediction </w:t>
      </w:r>
      <w:r w:rsidR="00F859FB">
        <w:t>wa</w:t>
      </w:r>
      <w:r w:rsidR="002B5B53">
        <w:t xml:space="preserve">s </w:t>
      </w:r>
      <w:r w:rsidR="00F859FB">
        <w:t>calcula</w:t>
      </w:r>
      <w:r w:rsidR="002B5B53">
        <w:t>ted with a 95% confidence interval.</w:t>
      </w:r>
      <w:r>
        <w:t xml:space="preserve"> </w:t>
      </w:r>
      <w:r w:rsidR="00B509B1">
        <w:t>Because the model is a log-log regression, t</w:t>
      </w:r>
      <w:r w:rsidR="007D2056">
        <w:t xml:space="preserve">he </w:t>
      </w:r>
      <w:r w:rsidR="009D4B9D">
        <w:t>prediction</w:t>
      </w:r>
      <w:r w:rsidR="00C75E30">
        <w:t>’s</w:t>
      </w:r>
      <w:r w:rsidR="003A2CCF">
        <w:t xml:space="preserve"> exponential provided </w:t>
      </w:r>
      <w:r w:rsidR="00945C49">
        <w:t>a</w:t>
      </w:r>
      <w:r w:rsidR="003A2CCF">
        <w:t xml:space="preserve"> predicted number of NSW households experiencing energy-</w:t>
      </w:r>
      <w:r w:rsidR="00F271F2">
        <w:t>related fina</w:t>
      </w:r>
      <w:r w:rsidR="003A2CCF">
        <w:t>nci</w:t>
      </w:r>
      <w:r w:rsidR="00F271F2">
        <w:t>al stress</w:t>
      </w:r>
      <w:r w:rsidR="00C26F4D">
        <w:t xml:space="preserve"> under the abovementioned conditions</w:t>
      </w:r>
      <w:r w:rsidR="00F271F2">
        <w:t>.</w:t>
      </w:r>
    </w:p>
    <w:p w14:paraId="27CE3B28" w14:textId="77777777" w:rsidR="0020697F" w:rsidRPr="00DC393A" w:rsidRDefault="0020697F" w:rsidP="00DC393A"/>
    <w:p w14:paraId="028461C5" w14:textId="77777777" w:rsidR="003A456B" w:rsidRDefault="001D41DF" w:rsidP="003A456B">
      <w:r w:rsidRPr="00DC393A">
        <w:t xml:space="preserve">The prediction </w:t>
      </w:r>
      <w:r w:rsidR="009B2CC5" w:rsidRPr="00DC393A">
        <w:t xml:space="preserve">showed </w:t>
      </w:r>
      <w:r w:rsidR="00E543C6" w:rsidRPr="00DC393A">
        <w:t>that</w:t>
      </w:r>
      <w:r w:rsidR="008D5DFC" w:rsidRPr="00DC393A">
        <w:t xml:space="preserve"> with a</w:t>
      </w:r>
      <w:r w:rsidR="0065363E" w:rsidRPr="00DC393A">
        <w:t xml:space="preserve"> </w:t>
      </w:r>
      <w:r w:rsidR="002B19A0">
        <w:t>quarterly 0.81</w:t>
      </w:r>
      <w:r w:rsidR="0065363E" w:rsidRPr="00DC393A">
        <w:t>% CPI increase and a 2</w:t>
      </w:r>
      <w:r w:rsidR="00641FD7">
        <w:t>5.4</w:t>
      </w:r>
      <w:r w:rsidR="0065363E" w:rsidRPr="00DC393A">
        <w:t>% EPI increase</w:t>
      </w:r>
      <w:r w:rsidR="003E5C0D" w:rsidRPr="00DC393A">
        <w:t xml:space="preserve">, </w:t>
      </w:r>
      <w:r w:rsidR="00B662DA" w:rsidRPr="00DC393A">
        <w:t xml:space="preserve">the </w:t>
      </w:r>
      <w:r w:rsidR="00E07D74">
        <w:t>#</w:t>
      </w:r>
      <w:r w:rsidR="00697218">
        <w:t>/100K</w:t>
      </w:r>
      <w:r w:rsidR="00412ABD" w:rsidRPr="00DC393A">
        <w:t xml:space="preserve"> households experiencing EP would be: </w:t>
      </w:r>
      <w:r w:rsidR="00D2642B">
        <w:t>2365</w:t>
      </w:r>
      <w:r w:rsidR="002F0DFD" w:rsidRPr="00DC393A">
        <w:t xml:space="preserve">, </w:t>
      </w:r>
      <w:r w:rsidR="001A4A67">
        <w:t>9</w:t>
      </w:r>
      <w:r w:rsidR="002F0DFD" w:rsidRPr="00DC393A">
        <w:t xml:space="preserve">5% </w:t>
      </w:r>
      <w:proofErr w:type="gramStart"/>
      <w:r w:rsidR="002F0DFD" w:rsidRPr="00DC393A">
        <w:lastRenderedPageBreak/>
        <w:t>CI[</w:t>
      </w:r>
      <w:proofErr w:type="gramEnd"/>
      <w:r w:rsidR="001D4ADA">
        <w:t>1980</w:t>
      </w:r>
      <w:r w:rsidR="003F2098">
        <w:t xml:space="preserve">, </w:t>
      </w:r>
      <w:r w:rsidR="001D4ADA">
        <w:t>2825</w:t>
      </w:r>
      <w:r w:rsidR="003F2098">
        <w:t>].</w:t>
      </w:r>
      <w:r w:rsidR="001A4A67">
        <w:t xml:space="preserve"> This represents </w:t>
      </w:r>
      <w:r w:rsidR="00546F91">
        <w:t>a significant increase from</w:t>
      </w:r>
      <w:r w:rsidR="00ED007B">
        <w:t xml:space="preserve"> the </w:t>
      </w:r>
      <w:r w:rsidR="00C75E30">
        <w:t>last reported</w:t>
      </w:r>
      <w:r w:rsidR="00626E85">
        <w:rPr>
          <w:rStyle w:val="FootnoteReference"/>
        </w:rPr>
        <w:footnoteReference w:id="7"/>
      </w:r>
      <w:r w:rsidR="00C75E30">
        <w:t xml:space="preserve"> data</w:t>
      </w:r>
      <w:r w:rsidR="00626E85">
        <w:t xml:space="preserve"> </w:t>
      </w:r>
      <w:r w:rsidR="00D31541">
        <w:t>of 1271 hous</w:t>
      </w:r>
      <w:r w:rsidR="00546F91">
        <w:t>e</w:t>
      </w:r>
      <w:r w:rsidR="00D31541">
        <w:t>holds per 100,000.</w:t>
      </w:r>
      <w:bookmarkStart w:id="7" w:name="_Toc137316928"/>
    </w:p>
    <w:p w14:paraId="41057E18" w14:textId="77777777" w:rsidR="00763F30" w:rsidRDefault="00763F30" w:rsidP="003A456B"/>
    <w:p w14:paraId="7E71B6B6" w14:textId="058B1243" w:rsidR="00763F30" w:rsidRDefault="00763F30" w:rsidP="00763F30">
      <w:pPr>
        <w:pStyle w:val="Heading2"/>
      </w:pPr>
      <w:r>
        <w:t>Discussion</w:t>
      </w:r>
    </w:p>
    <w:p w14:paraId="47036E15" w14:textId="77777777" w:rsidR="00763F30" w:rsidRPr="00763F30" w:rsidRDefault="00763F30" w:rsidP="00763F30"/>
    <w:p w14:paraId="51881FC2" w14:textId="77777777" w:rsidR="003A456B" w:rsidRDefault="003A456B" w:rsidP="003A456B"/>
    <w:p w14:paraId="55EE2A4C" w14:textId="77777777" w:rsidR="003A456B" w:rsidRDefault="003A456B" w:rsidP="003A456B"/>
    <w:p w14:paraId="2DE451A2" w14:textId="6E372E0A" w:rsidR="00F91D91" w:rsidRDefault="00F91D91" w:rsidP="003A456B">
      <w:pPr>
        <w:pStyle w:val="Heading1"/>
      </w:pPr>
      <w:r>
        <w:t>Recommendations</w:t>
      </w:r>
      <w:bookmarkEnd w:id="7"/>
    </w:p>
    <w:p w14:paraId="2B1C7C16" w14:textId="77777777" w:rsidR="00F91D91" w:rsidRDefault="00F91D91" w:rsidP="00F91D91">
      <w:r>
        <w:t>Debt relief</w:t>
      </w:r>
    </w:p>
    <w:p w14:paraId="7ED10F5C" w14:textId="77777777" w:rsidR="00F91D91" w:rsidRDefault="00F91D91" w:rsidP="00F91D91">
      <w:r>
        <w:t>% of bill alleviation</w:t>
      </w:r>
    </w:p>
    <w:p w14:paraId="3547458B" w14:textId="77777777" w:rsidR="00F91D91" w:rsidRDefault="00F91D91" w:rsidP="00F91D91">
      <w:r>
        <w:t>Maintain energy bill at % of income.</w:t>
      </w:r>
    </w:p>
    <w:p w14:paraId="0A43A88F" w14:textId="77777777" w:rsidR="00F91D91" w:rsidRDefault="00F91D91" w:rsidP="00F91D91"/>
    <w:p w14:paraId="60A63F3A" w14:textId="77777777" w:rsidR="00F91D91" w:rsidRDefault="00F91D91" w:rsidP="00F91D91"/>
    <w:p w14:paraId="64D486A2" w14:textId="77777777" w:rsidR="00F91D91" w:rsidRDefault="00F91D91">
      <w:pPr>
        <w:tabs>
          <w:tab w:val="clear" w:pos="567"/>
        </w:tabs>
        <w:spacing w:after="160" w:line="259" w:lineRule="auto"/>
      </w:pPr>
      <w:r>
        <w:br w:type="page"/>
      </w:r>
    </w:p>
    <w:p w14:paraId="483DEAA3" w14:textId="77777777" w:rsidR="00F91D91" w:rsidRDefault="00F91D91" w:rsidP="00F91D91">
      <w:pPr>
        <w:pStyle w:val="Heading1"/>
      </w:pPr>
      <w:bookmarkStart w:id="8" w:name="_Toc137316929"/>
      <w:r>
        <w:lastRenderedPageBreak/>
        <w:t>Conclusion</w:t>
      </w:r>
      <w:bookmarkEnd w:id="8"/>
    </w:p>
    <w:p w14:paraId="0A5F5DBD" w14:textId="77777777" w:rsidR="00F91D91" w:rsidRDefault="00F91D91" w:rsidP="00F91D91"/>
    <w:p w14:paraId="079BCC11" w14:textId="77777777" w:rsidR="00F91D91" w:rsidRDefault="00F91D91" w:rsidP="00F91D91"/>
    <w:p w14:paraId="7EF068AF" w14:textId="77777777" w:rsidR="00F91D91" w:rsidRDefault="00F91D91" w:rsidP="00F91D91"/>
    <w:p w14:paraId="67ED10D6" w14:textId="77777777" w:rsidR="00F91D91" w:rsidRDefault="00F91D91">
      <w:pPr>
        <w:tabs>
          <w:tab w:val="clear" w:pos="567"/>
        </w:tabs>
        <w:spacing w:after="160" w:line="259" w:lineRule="auto"/>
      </w:pPr>
      <w:r>
        <w:br w:type="page"/>
      </w:r>
    </w:p>
    <w:p w14:paraId="0CABC6F9" w14:textId="77777777" w:rsidR="00F91D91" w:rsidRDefault="00F91D91" w:rsidP="00F91D91">
      <w:pPr>
        <w:pStyle w:val="Heading1"/>
      </w:pPr>
      <w:bookmarkStart w:id="9" w:name="_Toc137316930"/>
      <w:r>
        <w:lastRenderedPageBreak/>
        <w:t>Bibliography</w:t>
      </w:r>
      <w:bookmarkEnd w:id="9"/>
    </w:p>
    <w:p w14:paraId="64C7EF89" w14:textId="77777777" w:rsidR="0075770A" w:rsidRPr="0075770A" w:rsidRDefault="00ED56E3" w:rsidP="0075770A">
      <w:pPr>
        <w:pStyle w:val="Bibliography"/>
      </w:pPr>
      <w:r>
        <w:fldChar w:fldCharType="begin"/>
      </w:r>
      <w:r>
        <w:instrText xml:space="preserve"> ADDIN ZOTERO_BIBL {"uncited":[],"omitted":[],"custom":[]} CSL_BIBLIOGRAPHY </w:instrText>
      </w:r>
      <w:r>
        <w:fldChar w:fldCharType="separate"/>
      </w:r>
      <w:r w:rsidR="0075770A" w:rsidRPr="0075770A">
        <w:t xml:space="preserve">ABC News. 2023. ‘Energy Bills to Rise as Major Retailers Announce Price Hike’. </w:t>
      </w:r>
      <w:r w:rsidR="0075770A" w:rsidRPr="0075770A">
        <w:rPr>
          <w:i/>
          <w:iCs/>
        </w:rPr>
        <w:t>ABC News</w:t>
      </w:r>
      <w:r w:rsidR="0075770A" w:rsidRPr="0075770A">
        <w:t>, 10 June 2023. https://www.abc.net.au/news/2023-06-11/agl-origin-announce-energy-price-rise/102465710.</w:t>
      </w:r>
    </w:p>
    <w:p w14:paraId="653D56B3" w14:textId="77777777" w:rsidR="0075770A" w:rsidRPr="0075770A" w:rsidRDefault="0075770A" w:rsidP="0075770A">
      <w:pPr>
        <w:pStyle w:val="Bibliography"/>
      </w:pPr>
      <w:r w:rsidRPr="0075770A">
        <w:t>ABS. 2023a. ‘Australian Bureau of Statistics: Average Weekly Earnings, Australia’,. Australian Bureau of Statistics. 2023. https://www.abs.gov.au/statistics/labour/earnings-and-working-conditions/average-weekly-earnings-australia/may-2022#data-download.</w:t>
      </w:r>
    </w:p>
    <w:p w14:paraId="7D33FB7F" w14:textId="77777777" w:rsidR="0075770A" w:rsidRPr="0075770A" w:rsidRDefault="0075770A" w:rsidP="0075770A">
      <w:pPr>
        <w:pStyle w:val="Bibliography"/>
      </w:pPr>
      <w:r w:rsidRPr="0075770A">
        <w:t>———. 2023b. ‘Australian Bureau of Statistics: Consumer Price Index, Australia’. Australian Bureau of Statistics - Consumer Price Index, Australia. 26 July 2023. https://www.abs.gov.au/statistics/economy/price-indexes-and-inflation/consumer-price-index-australia.</w:t>
      </w:r>
    </w:p>
    <w:p w14:paraId="4E443B9C" w14:textId="77777777" w:rsidR="0075770A" w:rsidRPr="0075770A" w:rsidRDefault="0075770A" w:rsidP="0075770A">
      <w:pPr>
        <w:pStyle w:val="Bibliography"/>
      </w:pPr>
      <w:r w:rsidRPr="0075770A">
        <w:t>AER. 2014. ‘Australian Energy Regulator: Customer Hardship Policies’. Australian Energy Regulator. 4 September 2014. https://www.aer.gov.au/retail-markets/customer-hardship-policies.</w:t>
      </w:r>
    </w:p>
    <w:p w14:paraId="2AAFAEE8" w14:textId="77777777" w:rsidR="0075770A" w:rsidRPr="0075770A" w:rsidRDefault="0075770A" w:rsidP="0075770A">
      <w:pPr>
        <w:pStyle w:val="Bibliography"/>
      </w:pPr>
      <w:r w:rsidRPr="0075770A">
        <w:t>———. 2023a. ‘Australian Energy Regulator - Performance Reporting’. Australian Energy Regulator. 2023. https://www.aer.gov.au/retail-markets/performance-reporting.</w:t>
      </w:r>
    </w:p>
    <w:p w14:paraId="30D5CEF4" w14:textId="77777777" w:rsidR="0075770A" w:rsidRPr="0075770A" w:rsidRDefault="0075770A" w:rsidP="0075770A">
      <w:pPr>
        <w:pStyle w:val="Bibliography"/>
      </w:pPr>
      <w:r w:rsidRPr="0075770A">
        <w:t>———. 2023b. ‘Default Market Offer Prices 2023–24: Final Determination’. 64687. Canberra, Australia: Australian Energy Regulator. https://www.aer.gov.au/system/files/Default%20market%20offer%20prices%202023-24%20final%20determination.pdf.</w:t>
      </w:r>
    </w:p>
    <w:p w14:paraId="157123DC" w14:textId="77777777" w:rsidR="0075770A" w:rsidRPr="0075770A" w:rsidRDefault="0075770A" w:rsidP="0075770A">
      <w:pPr>
        <w:pStyle w:val="Bibliography"/>
      </w:pPr>
      <w:r w:rsidRPr="0075770A">
        <w:t xml:space="preserve">Best, Rohan, and Paul J. Burke. 2019. ‘Factors Contributing to Energy-Related Financial Stress in Australia’. </w:t>
      </w:r>
      <w:r w:rsidRPr="0075770A">
        <w:rPr>
          <w:i/>
          <w:iCs/>
        </w:rPr>
        <w:t>Economic Record</w:t>
      </w:r>
      <w:r w:rsidRPr="0075770A">
        <w:t xml:space="preserve"> 95 (311): 426–79.</w:t>
      </w:r>
    </w:p>
    <w:p w14:paraId="307971C2" w14:textId="77777777" w:rsidR="0075770A" w:rsidRPr="0075770A" w:rsidRDefault="0075770A" w:rsidP="0075770A">
      <w:pPr>
        <w:pStyle w:val="Bibliography"/>
      </w:pPr>
      <w:r w:rsidRPr="0075770A">
        <w:t xml:space="preserve">Best, Rohan, Mara Hammerle, Pundarik Mukhopadhaya, and Jacques Silber. 2021. ‘Targeting Household Energy Assistance’. </w:t>
      </w:r>
      <w:r w:rsidRPr="0075770A">
        <w:rPr>
          <w:i/>
          <w:iCs/>
        </w:rPr>
        <w:t>Energy Economics</w:t>
      </w:r>
      <w:r w:rsidRPr="0075770A">
        <w:t xml:space="preserve"> 99 (July): 105311. https://doi.org/10.1016/j.eneco.2021.105311.</w:t>
      </w:r>
    </w:p>
    <w:p w14:paraId="3E0DFA37" w14:textId="77777777" w:rsidR="0075770A" w:rsidRPr="0075770A" w:rsidRDefault="0075770A" w:rsidP="0075770A">
      <w:pPr>
        <w:pStyle w:val="Bibliography"/>
      </w:pPr>
      <w:r w:rsidRPr="0075770A">
        <w:t xml:space="preserve">Boardman, Brenda. 1991. ‘Fuel Poverty Is Different’. </w:t>
      </w:r>
      <w:r w:rsidRPr="0075770A">
        <w:rPr>
          <w:i/>
          <w:iCs/>
        </w:rPr>
        <w:t>Policy Studies</w:t>
      </w:r>
      <w:r w:rsidRPr="0075770A">
        <w:t xml:space="preserve"> 12 (4): 30–41. https://doi.org/10.1080/01442879108423600.</w:t>
      </w:r>
    </w:p>
    <w:p w14:paraId="3944E88C" w14:textId="77777777" w:rsidR="0075770A" w:rsidRPr="0075770A" w:rsidRDefault="0075770A" w:rsidP="0075770A">
      <w:pPr>
        <w:pStyle w:val="Bibliography"/>
      </w:pPr>
      <w:r w:rsidRPr="0075770A">
        <w:t xml:space="preserve">———. 2015. ‘Housing, Energy Efficiency and Fuel Poverty.’ In </w:t>
      </w:r>
      <w:r w:rsidRPr="0075770A">
        <w:rPr>
          <w:i/>
          <w:iCs/>
        </w:rPr>
        <w:t>The Routledge Handbook of Planning for Health and Well-Being.</w:t>
      </w:r>
      <w:r w:rsidRPr="0075770A">
        <w:t>, 305–16. Routledge. https://doi.org/10.4324/9781315728261-31.</w:t>
      </w:r>
    </w:p>
    <w:p w14:paraId="239A1129" w14:textId="77777777" w:rsidR="0075770A" w:rsidRPr="0075770A" w:rsidRDefault="0075770A" w:rsidP="0075770A">
      <w:pPr>
        <w:pStyle w:val="Bibliography"/>
      </w:pPr>
      <w:r w:rsidRPr="0075770A">
        <w:t xml:space="preserve">Chai, Andreas, Shyama Ratnasiri, and Liam Wagner. 2021. ‘The Impact of Rising Energy Prices on Energy Poverty in Queensland: A Microsimulation Exercise’. </w:t>
      </w:r>
      <w:r w:rsidRPr="0075770A">
        <w:rPr>
          <w:i/>
          <w:iCs/>
        </w:rPr>
        <w:t>Economic Analysis and Policy</w:t>
      </w:r>
      <w:r w:rsidRPr="0075770A">
        <w:t xml:space="preserve"> 71: Pages 57-72. https://doi.org/10.1016/j.eap.2021.03.014.</w:t>
      </w:r>
    </w:p>
    <w:p w14:paraId="6891249D" w14:textId="77777777" w:rsidR="0075770A" w:rsidRPr="0075770A" w:rsidRDefault="0075770A" w:rsidP="0075770A">
      <w:pPr>
        <w:pStyle w:val="Bibliography"/>
      </w:pPr>
      <w:r w:rsidRPr="0075770A">
        <w:t>Chester, Lynne. 2013. ‘The Impacts and Consequences for Low-Income Australian Households of Rising Energy Prices’. University of Sydney.</w:t>
      </w:r>
    </w:p>
    <w:p w14:paraId="23368942" w14:textId="77777777" w:rsidR="0075770A" w:rsidRPr="0075770A" w:rsidRDefault="0075770A" w:rsidP="0075770A">
      <w:pPr>
        <w:pStyle w:val="Bibliography"/>
      </w:pPr>
      <w:r w:rsidRPr="0075770A">
        <w:t xml:space="preserve">Chester, Lynne, and Amanda Elliot. 2019. ‘Energy Problem Representation: The Historical and Contemporary Framing of Australian Electricity Policy’. </w:t>
      </w:r>
      <w:r w:rsidRPr="0075770A">
        <w:rPr>
          <w:i/>
          <w:iCs/>
        </w:rPr>
        <w:t>Energy Policy</w:t>
      </w:r>
      <w:r w:rsidRPr="0075770A">
        <w:t xml:space="preserve"> 128 (May): 102–13. https://doi.org/10.1016/J.ENPOL.2018.12.052.</w:t>
      </w:r>
    </w:p>
    <w:p w14:paraId="7E3C63DE" w14:textId="77777777" w:rsidR="0075770A" w:rsidRPr="0075770A" w:rsidRDefault="0075770A" w:rsidP="0075770A">
      <w:pPr>
        <w:pStyle w:val="Bibliography"/>
      </w:pPr>
      <w:r w:rsidRPr="0075770A">
        <w:t xml:space="preserve">Churchill, Sefa Awaworyi, and Russell Smyth. 2020. ‘Ethnic Diversity, Energy Poverty and the Mediating Role of Trust: Evidence from Household </w:t>
      </w:r>
      <w:r w:rsidRPr="0075770A">
        <w:lastRenderedPageBreak/>
        <w:t xml:space="preserve">Panel Data for Australia’. </w:t>
      </w:r>
      <w:r w:rsidRPr="0075770A">
        <w:rPr>
          <w:i/>
          <w:iCs/>
        </w:rPr>
        <w:t>Energy Economics</w:t>
      </w:r>
      <w:r w:rsidRPr="0075770A">
        <w:t xml:space="preserve"> 86: 104663-. https://doi.org/10.1016/j.eneco.2020.104663.</w:t>
      </w:r>
    </w:p>
    <w:p w14:paraId="6DD03302" w14:textId="77777777" w:rsidR="0075770A" w:rsidRPr="0075770A" w:rsidRDefault="0075770A" w:rsidP="0075770A">
      <w:pPr>
        <w:pStyle w:val="Bibliography"/>
      </w:pPr>
      <w:r w:rsidRPr="0075770A">
        <w:t>Nance, Andrew. 2017. ‘Energy Access and Affordability Policy Research’. Energy Consumers Australia Limited. http://aemc.gov.au/News-Center/What-s-New/Announcements/AEMC-submission-to-the-.</w:t>
      </w:r>
    </w:p>
    <w:p w14:paraId="6741BB33" w14:textId="77777777" w:rsidR="0075770A" w:rsidRPr="0075770A" w:rsidRDefault="0075770A" w:rsidP="0075770A">
      <w:pPr>
        <w:pStyle w:val="Bibliography"/>
      </w:pPr>
      <w:r w:rsidRPr="0075770A">
        <w:t xml:space="preserve">Nelson, Tim, Eleanor McCracken-Hewson, Gabby Sundstrom, and Marianne Hawthorne. 2019. ‘The Drivers of Energy-Related Financial Hardship in Australia-Understanding the Role of Income, Consumption and Housing.’ </w:t>
      </w:r>
      <w:r w:rsidRPr="0075770A">
        <w:rPr>
          <w:i/>
          <w:iCs/>
        </w:rPr>
        <w:t>Energy Policy</w:t>
      </w:r>
      <w:r w:rsidRPr="0075770A">
        <w:t xml:space="preserve"> 124: Pages 262-271. https://doi.org/10.1016/j.enpol.2018.10.003.</w:t>
      </w:r>
    </w:p>
    <w:p w14:paraId="5FB78DE2" w14:textId="77777777" w:rsidR="0075770A" w:rsidRPr="0075770A" w:rsidRDefault="0075770A" w:rsidP="0075770A">
      <w:pPr>
        <w:pStyle w:val="Bibliography"/>
      </w:pPr>
      <w:r w:rsidRPr="0075770A">
        <w:t xml:space="preserve">Potter, Ben, and Andrew Tillett. 2017. ‘Australians Pay Highest Power Prices in World’. </w:t>
      </w:r>
      <w:r w:rsidRPr="0075770A">
        <w:rPr>
          <w:i/>
          <w:iCs/>
        </w:rPr>
        <w:t>Australian Financial Review</w:t>
      </w:r>
      <w:r w:rsidRPr="0075770A">
        <w:t>, 5 August 2017.</w:t>
      </w:r>
    </w:p>
    <w:p w14:paraId="1FCB08B2" w14:textId="77777777" w:rsidR="0075770A" w:rsidRPr="0075770A" w:rsidRDefault="0075770A" w:rsidP="0075770A">
      <w:pPr>
        <w:pStyle w:val="Bibliography"/>
      </w:pPr>
      <w:r w:rsidRPr="0075770A">
        <w:t xml:space="preserve">Simshauser, Paul. 2023. ‘The 2022 Energy Crisis: Fuel Poverty and the Impact of Policy Interventions in Australia’s National Electricity Market’. </w:t>
      </w:r>
      <w:r w:rsidRPr="0075770A">
        <w:rPr>
          <w:i/>
          <w:iCs/>
        </w:rPr>
        <w:t>Energy Economics</w:t>
      </w:r>
      <w:r w:rsidRPr="0075770A">
        <w:t xml:space="preserve"> 121 (May): 106660. https://doi.org/10.1016/j.eneco.2023.106660.</w:t>
      </w:r>
    </w:p>
    <w:p w14:paraId="4B19563A" w14:textId="77777777" w:rsidR="0075770A" w:rsidRPr="0075770A" w:rsidRDefault="0075770A" w:rsidP="0075770A">
      <w:pPr>
        <w:pStyle w:val="Bibliography"/>
      </w:pPr>
      <w:r w:rsidRPr="0075770A">
        <w:t>The Treasury of Australia. 2023. ‘Budget Paper No. 1, Budget Strategy and Outlook (May 2023)’. Canberra, Australia: Commonwealth of Australia. https://budget.gov.au/content/bp1/download/bp1_2023-24.pdf.</w:t>
      </w:r>
    </w:p>
    <w:p w14:paraId="3D753F80" w14:textId="1FBEAA6D" w:rsidR="0030417C" w:rsidRDefault="00ED56E3" w:rsidP="0030417C">
      <w:r>
        <w:fldChar w:fldCharType="end"/>
      </w:r>
    </w:p>
    <w:p w14:paraId="216BE379" w14:textId="77777777" w:rsidR="00ED56E3" w:rsidRDefault="00ED56E3" w:rsidP="0030417C"/>
    <w:p w14:paraId="4BF89BF3" w14:textId="1B83A015" w:rsidR="00ED56E3" w:rsidRDefault="00ED56E3">
      <w:pPr>
        <w:tabs>
          <w:tab w:val="clear" w:pos="567"/>
        </w:tabs>
        <w:spacing w:after="160" w:line="259" w:lineRule="auto"/>
      </w:pPr>
      <w:r>
        <w:br w:type="page"/>
      </w:r>
    </w:p>
    <w:p w14:paraId="23A10133" w14:textId="6B069CFB" w:rsidR="00ED56E3" w:rsidRPr="0030417C" w:rsidRDefault="00ED56E3" w:rsidP="00ED56E3">
      <w:pPr>
        <w:pStyle w:val="Heading1"/>
      </w:pPr>
      <w:r>
        <w:lastRenderedPageBreak/>
        <w:t>Appendix One: R Code and Data Table</w:t>
      </w:r>
    </w:p>
    <w:p w14:paraId="34FD0125" w14:textId="77777777" w:rsidR="00F91D91" w:rsidRDefault="00F91D91" w:rsidP="00F91D91"/>
    <w:p w14:paraId="6921B53E" w14:textId="77777777" w:rsidR="00F91D91" w:rsidRDefault="00F91D91" w:rsidP="00F91D91"/>
    <w:p w14:paraId="4D32EC55" w14:textId="77777777" w:rsidR="00F91D91" w:rsidRPr="00F91D91" w:rsidRDefault="00F91D91" w:rsidP="00F91D91"/>
    <w:sectPr w:rsidR="00F91D91" w:rsidRPr="00F91D91" w:rsidSect="00487993">
      <w:footerReference w:type="default" r:id="rId15"/>
      <w:pgSz w:w="11906" w:h="16838" w:code="9"/>
      <w:pgMar w:top="1701" w:right="1701" w:bottom="1701"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9A6B4" w14:textId="77777777" w:rsidR="00FE6D90" w:rsidRDefault="00FE6D90" w:rsidP="00487993">
      <w:pPr>
        <w:spacing w:line="240" w:lineRule="auto"/>
      </w:pPr>
      <w:r>
        <w:separator/>
      </w:r>
    </w:p>
  </w:endnote>
  <w:endnote w:type="continuationSeparator" w:id="0">
    <w:p w14:paraId="65808F8C" w14:textId="77777777" w:rsidR="00FE6D90" w:rsidRDefault="00FE6D90" w:rsidP="004879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BE321" w14:textId="77777777" w:rsidR="00487993" w:rsidRDefault="004879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47AF7" w14:textId="77777777" w:rsidR="00487993" w:rsidRDefault="00487993">
    <w:pPr>
      <w:pStyle w:val="Footer"/>
      <w:jc w:val="right"/>
    </w:pPr>
  </w:p>
  <w:p w14:paraId="400E06F5" w14:textId="77777777" w:rsidR="00487993" w:rsidRDefault="004879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7C8D9" w14:textId="77777777" w:rsidR="00487993" w:rsidRDefault="0048799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7001529"/>
      <w:docPartObj>
        <w:docPartGallery w:val="Page Numbers (Bottom of Page)"/>
        <w:docPartUnique/>
      </w:docPartObj>
    </w:sdtPr>
    <w:sdtEndPr>
      <w:rPr>
        <w:noProof/>
      </w:rPr>
    </w:sdtEndPr>
    <w:sdtContent>
      <w:p w14:paraId="5E5A33E1" w14:textId="77777777" w:rsidR="00487993" w:rsidRDefault="004879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852DA2" w14:textId="77777777" w:rsidR="00487993" w:rsidRDefault="004879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7EE6E7" w14:textId="77777777" w:rsidR="00FE6D90" w:rsidRDefault="00FE6D90" w:rsidP="00487993">
      <w:pPr>
        <w:spacing w:line="240" w:lineRule="auto"/>
      </w:pPr>
      <w:r>
        <w:separator/>
      </w:r>
    </w:p>
  </w:footnote>
  <w:footnote w:type="continuationSeparator" w:id="0">
    <w:p w14:paraId="6EA2284A" w14:textId="77777777" w:rsidR="00FE6D90" w:rsidRDefault="00FE6D90" w:rsidP="00487993">
      <w:pPr>
        <w:spacing w:line="240" w:lineRule="auto"/>
      </w:pPr>
      <w:r>
        <w:continuationSeparator/>
      </w:r>
    </w:p>
  </w:footnote>
  <w:footnote w:id="1">
    <w:p w14:paraId="7382A3DA" w14:textId="3C5F936B" w:rsidR="00A5514B" w:rsidRDefault="00A5514B">
      <w:pPr>
        <w:pStyle w:val="FootnoteText"/>
      </w:pPr>
      <w:r>
        <w:rPr>
          <w:rStyle w:val="FootnoteReference"/>
        </w:rPr>
        <w:footnoteRef/>
      </w:r>
      <w:r>
        <w:t xml:space="preserve"> This </w:t>
      </w:r>
      <w:r w:rsidR="0034492D">
        <w:t>translates</w:t>
      </w:r>
      <w:r>
        <w:t xml:space="preserve"> to </w:t>
      </w:r>
      <w:r w:rsidR="0034492D">
        <w:t>a 0.</w:t>
      </w:r>
      <w:r w:rsidR="006B0AD9">
        <w:t>647%</w:t>
      </w:r>
      <w:r w:rsidR="0034492D">
        <w:t xml:space="preserve"> fall in demand for every 1% increase in price.</w:t>
      </w:r>
    </w:p>
  </w:footnote>
  <w:footnote w:id="2">
    <w:p w14:paraId="6468A72E" w14:textId="5318A279" w:rsidR="00ED4FE0" w:rsidRDefault="00ED4FE0">
      <w:pPr>
        <w:pStyle w:val="FootnoteText"/>
      </w:pPr>
      <w:r>
        <w:rPr>
          <w:rStyle w:val="FootnoteReference"/>
        </w:rPr>
        <w:footnoteRef/>
      </w:r>
      <w:r>
        <w:t xml:space="preserve"> Home-owner, </w:t>
      </w:r>
      <w:r w:rsidR="00E33F33">
        <w:t xml:space="preserve">private </w:t>
      </w:r>
      <w:r>
        <w:t xml:space="preserve">renter, </w:t>
      </w:r>
      <w:r w:rsidR="00B5752D">
        <w:t xml:space="preserve">or </w:t>
      </w:r>
      <w:r>
        <w:t>government housing</w:t>
      </w:r>
      <w:r w:rsidR="00B5752D">
        <w:t xml:space="preserve"> </w:t>
      </w:r>
    </w:p>
  </w:footnote>
  <w:footnote w:id="3">
    <w:p w14:paraId="40E30AB1" w14:textId="1613A9DC" w:rsidR="00D45455" w:rsidRDefault="00D45455">
      <w:pPr>
        <w:pStyle w:val="FootnoteText"/>
      </w:pPr>
      <w:r>
        <w:rPr>
          <w:rStyle w:val="FootnoteReference"/>
        </w:rPr>
        <w:footnoteRef/>
      </w:r>
      <w:r>
        <w:t xml:space="preserve"> </w:t>
      </w:r>
      <w:r w:rsidR="00A86091">
        <w:t>Australian Capital Territory, New South Wales, Queensland, Sourth Australia, and Tasmania</w:t>
      </w:r>
    </w:p>
  </w:footnote>
  <w:footnote w:id="4">
    <w:p w14:paraId="59A02463" w14:textId="470D329D" w:rsidR="00D618D3" w:rsidRDefault="00D618D3">
      <w:pPr>
        <w:pStyle w:val="FootnoteText"/>
      </w:pPr>
      <w:r>
        <w:rPr>
          <w:rStyle w:val="FootnoteReference"/>
        </w:rPr>
        <w:footnoteRef/>
      </w:r>
      <w:r>
        <w:t xml:space="preserve"> CPI started in 1949: Quarter 3</w:t>
      </w:r>
      <w:r w:rsidR="007A7310">
        <w:t xml:space="preserve">, and the </w:t>
      </w:r>
      <w:r w:rsidR="009B7AB0">
        <w:t>EPI started in 1980: Quarter 4</w:t>
      </w:r>
    </w:p>
  </w:footnote>
  <w:footnote w:id="5">
    <w:p w14:paraId="2CC2CBDE" w14:textId="3282812B" w:rsidR="008F5770" w:rsidRDefault="008F5770">
      <w:pPr>
        <w:pStyle w:val="FootnoteText"/>
      </w:pPr>
      <w:r>
        <w:rPr>
          <w:rStyle w:val="FootnoteReference"/>
        </w:rPr>
        <w:footnoteRef/>
      </w:r>
      <w:r>
        <w:t xml:space="preserve"> </w:t>
      </w:r>
      <w:r w:rsidR="00697218">
        <w:t>#/100</w:t>
      </w:r>
      <w:r w:rsidR="004B64A7">
        <w:t>k</w:t>
      </w:r>
      <w:r>
        <w:t xml:space="preserve"> NSW households in Hardship Programs</w:t>
      </w:r>
    </w:p>
  </w:footnote>
  <w:footnote w:id="6">
    <w:p w14:paraId="499F9CF5" w14:textId="6635E460" w:rsidR="000F4347" w:rsidRDefault="000F4347">
      <w:pPr>
        <w:pStyle w:val="FootnoteText"/>
      </w:pPr>
      <w:r>
        <w:rPr>
          <w:rStyle w:val="FootnoteReference"/>
        </w:rPr>
        <w:footnoteRef/>
      </w:r>
      <w:r>
        <w:t xml:space="preserve"> To </w:t>
      </w:r>
      <w:r w:rsidR="00DA5274">
        <w:t>produce</w:t>
      </w:r>
      <w:r>
        <w:t xml:space="preserve"> a quarterly</w:t>
      </w:r>
      <w:r w:rsidR="00DA5274">
        <w:t xml:space="preserve"> CPI prediction</w:t>
      </w:r>
    </w:p>
  </w:footnote>
  <w:footnote w:id="7">
    <w:p w14:paraId="73F4E5F7" w14:textId="06053661" w:rsidR="00626E85" w:rsidRDefault="00626E85">
      <w:pPr>
        <w:pStyle w:val="FootnoteText"/>
      </w:pPr>
      <w:r>
        <w:rPr>
          <w:rStyle w:val="FootnoteReference"/>
        </w:rPr>
        <w:footnoteRef/>
      </w:r>
      <w:r>
        <w:t xml:space="preserve"> Quarter 4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37311" w14:textId="77777777" w:rsidR="00487993" w:rsidRDefault="004879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12CE7" w14:textId="77777777" w:rsidR="00487993" w:rsidRDefault="004879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07FC4" w14:textId="77777777" w:rsidR="00487993" w:rsidRDefault="004879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342E17F4"/>
    <w:lvl w:ilvl="0">
      <w:start w:val="1"/>
      <w:numFmt w:val="decimal"/>
      <w:pStyle w:val="ListNumber"/>
      <w:lvlText w:val="%1"/>
      <w:lvlJc w:val="left"/>
      <w:pPr>
        <w:ind w:left="360" w:hanging="360"/>
      </w:pPr>
      <w:rPr>
        <w:rFonts w:hint="default"/>
      </w:rPr>
    </w:lvl>
  </w:abstractNum>
  <w:abstractNum w:abstractNumId="1" w15:restartNumberingAfterBreak="0">
    <w:nsid w:val="1C7B6319"/>
    <w:multiLevelType w:val="multilevel"/>
    <w:tmpl w:val="0DE8E634"/>
    <w:lvl w:ilvl="0">
      <w:start w:val="1"/>
      <w:numFmt w:val="bullet"/>
      <w:pStyle w:val="ListParagraph"/>
      <w:lvlText w:val=""/>
      <w:lvlJc w:val="left"/>
      <w:pPr>
        <w:ind w:left="567" w:hanging="567"/>
      </w:pPr>
      <w:rPr>
        <w:rFonts w:ascii="Symbol" w:hAnsi="Symbol" w:hint="default"/>
        <w:color w:val="auto"/>
      </w:rPr>
    </w:lvl>
    <w:lvl w:ilvl="1">
      <w:start w:val="1"/>
      <w:numFmt w:val="bullet"/>
      <w:lvlText w:val=""/>
      <w:lvlJc w:val="left"/>
      <w:pPr>
        <w:ind w:left="1134" w:hanging="567"/>
      </w:pPr>
      <w:rPr>
        <w:rFonts w:ascii="Symbol" w:hAnsi="Symbol" w:hint="default"/>
        <w:color w:val="auto"/>
      </w:rPr>
    </w:lvl>
    <w:lvl w:ilvl="2">
      <w:start w:val="1"/>
      <w:numFmt w:val="bullet"/>
      <w:lvlText w:val=""/>
      <w:lvlJc w:val="left"/>
      <w:pPr>
        <w:ind w:left="1701" w:hanging="567"/>
      </w:pPr>
      <w:rPr>
        <w:rFonts w:ascii="Symbol" w:hAnsi="Symbol" w:hint="default"/>
        <w:color w:val="auto"/>
      </w:rPr>
    </w:lvl>
    <w:lvl w:ilvl="3">
      <w:start w:val="1"/>
      <w:numFmt w:val="bullet"/>
      <w:lvlText w:val=""/>
      <w:lvlJc w:val="left"/>
      <w:pPr>
        <w:ind w:left="2268" w:hanging="567"/>
      </w:pPr>
      <w:rPr>
        <w:rFonts w:ascii="Symbol" w:hAnsi="Symbol" w:hint="default"/>
        <w:color w:val="auto"/>
      </w:rPr>
    </w:lvl>
    <w:lvl w:ilvl="4">
      <w:start w:val="1"/>
      <w:numFmt w:val="bullet"/>
      <w:lvlText w:val=""/>
      <w:lvlJc w:val="left"/>
      <w:pPr>
        <w:ind w:left="2835" w:hanging="567"/>
      </w:pPr>
      <w:rPr>
        <w:rFonts w:ascii="Symbol" w:hAnsi="Symbol" w:hint="default"/>
        <w:color w:val="auto"/>
      </w:rPr>
    </w:lvl>
    <w:lvl w:ilvl="5">
      <w:start w:val="1"/>
      <w:numFmt w:val="bullet"/>
      <w:lvlText w:val=""/>
      <w:lvlJc w:val="left"/>
      <w:pPr>
        <w:ind w:left="3402" w:hanging="567"/>
      </w:pPr>
      <w:rPr>
        <w:rFonts w:ascii="Symbol" w:hAnsi="Symbol" w:hint="default"/>
        <w:color w:val="auto"/>
      </w:rPr>
    </w:lvl>
    <w:lvl w:ilvl="6">
      <w:start w:val="1"/>
      <w:numFmt w:val="bullet"/>
      <w:lvlText w:val=""/>
      <w:lvlJc w:val="left"/>
      <w:pPr>
        <w:ind w:left="3969" w:hanging="567"/>
      </w:pPr>
      <w:rPr>
        <w:rFonts w:ascii="Symbol" w:hAnsi="Symbol" w:hint="default"/>
        <w:color w:val="auto"/>
      </w:rPr>
    </w:lvl>
    <w:lvl w:ilvl="7">
      <w:start w:val="1"/>
      <w:numFmt w:val="bullet"/>
      <w:lvlText w:val=""/>
      <w:lvlJc w:val="left"/>
      <w:pPr>
        <w:ind w:left="4536" w:hanging="567"/>
      </w:pPr>
      <w:rPr>
        <w:rFonts w:ascii="Symbol" w:hAnsi="Symbol" w:hint="default"/>
        <w:color w:val="auto"/>
      </w:rPr>
    </w:lvl>
    <w:lvl w:ilvl="8">
      <w:start w:val="1"/>
      <w:numFmt w:val="bullet"/>
      <w:lvlText w:val=""/>
      <w:lvlJc w:val="left"/>
      <w:pPr>
        <w:ind w:left="5103" w:hanging="567"/>
      </w:pPr>
      <w:rPr>
        <w:rFonts w:ascii="Symbol" w:hAnsi="Symbol" w:hint="default"/>
        <w:color w:val="auto"/>
      </w:rPr>
    </w:lvl>
  </w:abstractNum>
  <w:abstractNum w:abstractNumId="2" w15:restartNumberingAfterBreak="0">
    <w:nsid w:val="5B7430A8"/>
    <w:multiLevelType w:val="hybridMultilevel"/>
    <w:tmpl w:val="5000A81A"/>
    <w:lvl w:ilvl="0" w:tplc="B66850CA">
      <w:start w:val="1"/>
      <w:numFmt w:val="bullet"/>
      <w:lvlText w:val=""/>
      <w:lvlJc w:val="left"/>
      <w:pPr>
        <w:ind w:left="1440" w:hanging="360"/>
      </w:pPr>
      <w:rPr>
        <w:rFonts w:ascii="Symbol" w:hAnsi="Symbol" w:cs="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455127073">
    <w:abstractNumId w:val="0"/>
  </w:num>
  <w:num w:numId="2" w16cid:durableId="280386283">
    <w:abstractNumId w:val="0"/>
  </w:num>
  <w:num w:numId="3" w16cid:durableId="2115052244">
    <w:abstractNumId w:val="2"/>
  </w:num>
  <w:num w:numId="4" w16cid:durableId="1881042980">
    <w:abstractNumId w:val="0"/>
  </w:num>
  <w:num w:numId="5" w16cid:durableId="387414659">
    <w:abstractNumId w:val="2"/>
  </w:num>
  <w:num w:numId="6" w16cid:durableId="206374156">
    <w:abstractNumId w:val="2"/>
  </w:num>
  <w:num w:numId="7" w16cid:durableId="1868444570">
    <w:abstractNumId w:val="2"/>
  </w:num>
  <w:num w:numId="8" w16cid:durableId="367686539">
    <w:abstractNumId w:val="2"/>
  </w:num>
  <w:num w:numId="9" w16cid:durableId="670178825">
    <w:abstractNumId w:val="2"/>
  </w:num>
  <w:num w:numId="10" w16cid:durableId="1670130974">
    <w:abstractNumId w:val="0"/>
  </w:num>
  <w:num w:numId="11" w16cid:durableId="212352475">
    <w:abstractNumId w:val="2"/>
  </w:num>
  <w:num w:numId="12" w16cid:durableId="497505498">
    <w:abstractNumId w:val="0"/>
  </w:num>
  <w:num w:numId="13" w16cid:durableId="223373893">
    <w:abstractNumId w:val="2"/>
  </w:num>
  <w:num w:numId="14" w16cid:durableId="2021396231">
    <w:abstractNumId w:val="2"/>
  </w:num>
  <w:num w:numId="15" w16cid:durableId="1118403826">
    <w:abstractNumId w:val="2"/>
  </w:num>
  <w:num w:numId="16" w16cid:durableId="1460144795">
    <w:abstractNumId w:val="0"/>
  </w:num>
  <w:num w:numId="17" w16cid:durableId="627398605">
    <w:abstractNumId w:val="2"/>
  </w:num>
  <w:num w:numId="18" w16cid:durableId="1228220564">
    <w:abstractNumId w:val="2"/>
  </w:num>
  <w:num w:numId="19" w16cid:durableId="1125660198">
    <w:abstractNumId w:val="2"/>
  </w:num>
  <w:num w:numId="20" w16cid:durableId="2069374957">
    <w:abstractNumId w:val="2"/>
  </w:num>
  <w:num w:numId="21" w16cid:durableId="144587655">
    <w:abstractNumId w:val="0"/>
  </w:num>
  <w:num w:numId="22" w16cid:durableId="601454560">
    <w:abstractNumId w:val="2"/>
  </w:num>
  <w:num w:numId="23" w16cid:durableId="1157916972">
    <w:abstractNumId w:val="0"/>
  </w:num>
  <w:num w:numId="24" w16cid:durableId="680199099">
    <w:abstractNumId w:val="2"/>
  </w:num>
  <w:num w:numId="25" w16cid:durableId="77220339">
    <w:abstractNumId w:val="2"/>
  </w:num>
  <w:num w:numId="26" w16cid:durableId="214439703">
    <w:abstractNumId w:val="1"/>
  </w:num>
  <w:num w:numId="27" w16cid:durableId="917787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attachedTemplate r:id="rId1"/>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3MTcxtTA0Mjc1MzJQ0lEKTi0uzszPAykwNKsFAD1v0NQtAAAA"/>
  </w:docVars>
  <w:rsids>
    <w:rsidRoot w:val="00F91D91"/>
    <w:rsid w:val="00003C10"/>
    <w:rsid w:val="00014DFC"/>
    <w:rsid w:val="00020731"/>
    <w:rsid w:val="00025F87"/>
    <w:rsid w:val="0003575E"/>
    <w:rsid w:val="000371CC"/>
    <w:rsid w:val="00040A54"/>
    <w:rsid w:val="00041216"/>
    <w:rsid w:val="000449C9"/>
    <w:rsid w:val="00051EC5"/>
    <w:rsid w:val="0005571B"/>
    <w:rsid w:val="00060FDD"/>
    <w:rsid w:val="00061BDD"/>
    <w:rsid w:val="00063B6B"/>
    <w:rsid w:val="000648AB"/>
    <w:rsid w:val="00066028"/>
    <w:rsid w:val="0006644D"/>
    <w:rsid w:val="0007257A"/>
    <w:rsid w:val="00084426"/>
    <w:rsid w:val="00087941"/>
    <w:rsid w:val="000923AA"/>
    <w:rsid w:val="00095BA5"/>
    <w:rsid w:val="000961DC"/>
    <w:rsid w:val="000A0E19"/>
    <w:rsid w:val="000A12AB"/>
    <w:rsid w:val="000A4F35"/>
    <w:rsid w:val="000A60D7"/>
    <w:rsid w:val="000A6C7E"/>
    <w:rsid w:val="000B36B1"/>
    <w:rsid w:val="000B3C91"/>
    <w:rsid w:val="000C0AD4"/>
    <w:rsid w:val="000C0CA9"/>
    <w:rsid w:val="000C0E45"/>
    <w:rsid w:val="000C16FB"/>
    <w:rsid w:val="000C5631"/>
    <w:rsid w:val="000C64F6"/>
    <w:rsid w:val="000C6508"/>
    <w:rsid w:val="000D1466"/>
    <w:rsid w:val="000D35C3"/>
    <w:rsid w:val="000D4048"/>
    <w:rsid w:val="000D7B88"/>
    <w:rsid w:val="000D7D41"/>
    <w:rsid w:val="000E37A1"/>
    <w:rsid w:val="000F024A"/>
    <w:rsid w:val="000F4347"/>
    <w:rsid w:val="000F4762"/>
    <w:rsid w:val="000F4895"/>
    <w:rsid w:val="001034A7"/>
    <w:rsid w:val="00111D50"/>
    <w:rsid w:val="00112B90"/>
    <w:rsid w:val="00113000"/>
    <w:rsid w:val="001152ED"/>
    <w:rsid w:val="001176D0"/>
    <w:rsid w:val="001201CE"/>
    <w:rsid w:val="00125D99"/>
    <w:rsid w:val="001326CC"/>
    <w:rsid w:val="00137C0A"/>
    <w:rsid w:val="0014086E"/>
    <w:rsid w:val="001436FF"/>
    <w:rsid w:val="001438E2"/>
    <w:rsid w:val="00143B82"/>
    <w:rsid w:val="00152359"/>
    <w:rsid w:val="00156B50"/>
    <w:rsid w:val="00156F23"/>
    <w:rsid w:val="001655D2"/>
    <w:rsid w:val="0016564C"/>
    <w:rsid w:val="00173CDB"/>
    <w:rsid w:val="00180C8F"/>
    <w:rsid w:val="00185BB2"/>
    <w:rsid w:val="00186D2E"/>
    <w:rsid w:val="00186E48"/>
    <w:rsid w:val="001875AC"/>
    <w:rsid w:val="001906D1"/>
    <w:rsid w:val="001978F7"/>
    <w:rsid w:val="0019798C"/>
    <w:rsid w:val="001A03C7"/>
    <w:rsid w:val="001A120C"/>
    <w:rsid w:val="001A1945"/>
    <w:rsid w:val="001A1987"/>
    <w:rsid w:val="001A328C"/>
    <w:rsid w:val="001A4A67"/>
    <w:rsid w:val="001A58AD"/>
    <w:rsid w:val="001A7B48"/>
    <w:rsid w:val="001A7EE0"/>
    <w:rsid w:val="001B030E"/>
    <w:rsid w:val="001B6FE4"/>
    <w:rsid w:val="001C00E7"/>
    <w:rsid w:val="001C3B76"/>
    <w:rsid w:val="001C3D22"/>
    <w:rsid w:val="001C4DDD"/>
    <w:rsid w:val="001C7AA9"/>
    <w:rsid w:val="001D41DF"/>
    <w:rsid w:val="001D4ADA"/>
    <w:rsid w:val="001D5E0E"/>
    <w:rsid w:val="001E04C6"/>
    <w:rsid w:val="001E227C"/>
    <w:rsid w:val="001E34D3"/>
    <w:rsid w:val="001F0B4D"/>
    <w:rsid w:val="001F0DE5"/>
    <w:rsid w:val="001F2170"/>
    <w:rsid w:val="001F253F"/>
    <w:rsid w:val="001F44B6"/>
    <w:rsid w:val="001F67DD"/>
    <w:rsid w:val="00204BD3"/>
    <w:rsid w:val="0020697F"/>
    <w:rsid w:val="00214027"/>
    <w:rsid w:val="00214DC6"/>
    <w:rsid w:val="002174AE"/>
    <w:rsid w:val="0022028D"/>
    <w:rsid w:val="00221B5E"/>
    <w:rsid w:val="00223BF0"/>
    <w:rsid w:val="00230DF8"/>
    <w:rsid w:val="0023285D"/>
    <w:rsid w:val="00240453"/>
    <w:rsid w:val="00246FAA"/>
    <w:rsid w:val="00250381"/>
    <w:rsid w:val="00253BC6"/>
    <w:rsid w:val="00257948"/>
    <w:rsid w:val="002633CD"/>
    <w:rsid w:val="00266F9B"/>
    <w:rsid w:val="00275791"/>
    <w:rsid w:val="002821D3"/>
    <w:rsid w:val="002823B5"/>
    <w:rsid w:val="00283382"/>
    <w:rsid w:val="00285AA3"/>
    <w:rsid w:val="002931BC"/>
    <w:rsid w:val="00294814"/>
    <w:rsid w:val="00295DB4"/>
    <w:rsid w:val="002A01A2"/>
    <w:rsid w:val="002A1ABE"/>
    <w:rsid w:val="002A4F24"/>
    <w:rsid w:val="002A7E0E"/>
    <w:rsid w:val="002B19A0"/>
    <w:rsid w:val="002B1F32"/>
    <w:rsid w:val="002B5348"/>
    <w:rsid w:val="002B5B53"/>
    <w:rsid w:val="002B5C11"/>
    <w:rsid w:val="002B79F0"/>
    <w:rsid w:val="002B7A3A"/>
    <w:rsid w:val="002C0B43"/>
    <w:rsid w:val="002C5B2E"/>
    <w:rsid w:val="002C7758"/>
    <w:rsid w:val="002C77D6"/>
    <w:rsid w:val="002D1ACA"/>
    <w:rsid w:val="002D36EC"/>
    <w:rsid w:val="002D3AA9"/>
    <w:rsid w:val="002D7873"/>
    <w:rsid w:val="002E3162"/>
    <w:rsid w:val="002F0DFD"/>
    <w:rsid w:val="002F43B4"/>
    <w:rsid w:val="002F5862"/>
    <w:rsid w:val="0030417C"/>
    <w:rsid w:val="00306E67"/>
    <w:rsid w:val="003168BA"/>
    <w:rsid w:val="003176A1"/>
    <w:rsid w:val="00317E76"/>
    <w:rsid w:val="00325C48"/>
    <w:rsid w:val="00332F5D"/>
    <w:rsid w:val="0033435D"/>
    <w:rsid w:val="00334583"/>
    <w:rsid w:val="00335909"/>
    <w:rsid w:val="0033596B"/>
    <w:rsid w:val="0033796F"/>
    <w:rsid w:val="00342EAB"/>
    <w:rsid w:val="0034492D"/>
    <w:rsid w:val="00344D5B"/>
    <w:rsid w:val="00351D71"/>
    <w:rsid w:val="00360F01"/>
    <w:rsid w:val="0036216D"/>
    <w:rsid w:val="0036499D"/>
    <w:rsid w:val="0036648D"/>
    <w:rsid w:val="00370FEE"/>
    <w:rsid w:val="00371328"/>
    <w:rsid w:val="00371BE6"/>
    <w:rsid w:val="00374C08"/>
    <w:rsid w:val="00380F4C"/>
    <w:rsid w:val="00381F5D"/>
    <w:rsid w:val="003854F8"/>
    <w:rsid w:val="00385B31"/>
    <w:rsid w:val="003860C8"/>
    <w:rsid w:val="00386B96"/>
    <w:rsid w:val="00391342"/>
    <w:rsid w:val="0039353A"/>
    <w:rsid w:val="0039643C"/>
    <w:rsid w:val="003A1DE5"/>
    <w:rsid w:val="003A211B"/>
    <w:rsid w:val="003A2CCF"/>
    <w:rsid w:val="003A456B"/>
    <w:rsid w:val="003A79FB"/>
    <w:rsid w:val="003B023C"/>
    <w:rsid w:val="003B03BC"/>
    <w:rsid w:val="003B4D5D"/>
    <w:rsid w:val="003C0672"/>
    <w:rsid w:val="003C2401"/>
    <w:rsid w:val="003C423C"/>
    <w:rsid w:val="003C682C"/>
    <w:rsid w:val="003D26DC"/>
    <w:rsid w:val="003E094A"/>
    <w:rsid w:val="003E144F"/>
    <w:rsid w:val="003E5C0D"/>
    <w:rsid w:val="003F2098"/>
    <w:rsid w:val="00405701"/>
    <w:rsid w:val="004129E8"/>
    <w:rsid w:val="00412ABD"/>
    <w:rsid w:val="00412C3B"/>
    <w:rsid w:val="0042133F"/>
    <w:rsid w:val="00421D89"/>
    <w:rsid w:val="00424A0D"/>
    <w:rsid w:val="004305E0"/>
    <w:rsid w:val="00430C21"/>
    <w:rsid w:val="00430E75"/>
    <w:rsid w:val="0043199D"/>
    <w:rsid w:val="004361C5"/>
    <w:rsid w:val="00440413"/>
    <w:rsid w:val="00442576"/>
    <w:rsid w:val="004449F5"/>
    <w:rsid w:val="00455665"/>
    <w:rsid w:val="00455FA3"/>
    <w:rsid w:val="004572BB"/>
    <w:rsid w:val="00462D2D"/>
    <w:rsid w:val="00473CDF"/>
    <w:rsid w:val="00474760"/>
    <w:rsid w:val="0047585B"/>
    <w:rsid w:val="00475C45"/>
    <w:rsid w:val="0047688B"/>
    <w:rsid w:val="00482E54"/>
    <w:rsid w:val="004836AF"/>
    <w:rsid w:val="004870A8"/>
    <w:rsid w:val="00487357"/>
    <w:rsid w:val="004878FF"/>
    <w:rsid w:val="00487993"/>
    <w:rsid w:val="00487CC2"/>
    <w:rsid w:val="004906C4"/>
    <w:rsid w:val="00490838"/>
    <w:rsid w:val="00491DB7"/>
    <w:rsid w:val="00495F7A"/>
    <w:rsid w:val="00496CDC"/>
    <w:rsid w:val="004A0C64"/>
    <w:rsid w:val="004A461C"/>
    <w:rsid w:val="004A48B0"/>
    <w:rsid w:val="004A5F8D"/>
    <w:rsid w:val="004B10E4"/>
    <w:rsid w:val="004B316E"/>
    <w:rsid w:val="004B601B"/>
    <w:rsid w:val="004B64A7"/>
    <w:rsid w:val="004C098B"/>
    <w:rsid w:val="004C401D"/>
    <w:rsid w:val="004C60BD"/>
    <w:rsid w:val="004C6907"/>
    <w:rsid w:val="004C6CF0"/>
    <w:rsid w:val="004D17DE"/>
    <w:rsid w:val="004D1D89"/>
    <w:rsid w:val="004D4E9B"/>
    <w:rsid w:val="004F0861"/>
    <w:rsid w:val="004F4DB5"/>
    <w:rsid w:val="004F6B71"/>
    <w:rsid w:val="004F7418"/>
    <w:rsid w:val="00501A10"/>
    <w:rsid w:val="0050317A"/>
    <w:rsid w:val="0050424D"/>
    <w:rsid w:val="00507267"/>
    <w:rsid w:val="0051049B"/>
    <w:rsid w:val="00512585"/>
    <w:rsid w:val="00512CDE"/>
    <w:rsid w:val="005159BD"/>
    <w:rsid w:val="005165C1"/>
    <w:rsid w:val="00516CF5"/>
    <w:rsid w:val="0052115E"/>
    <w:rsid w:val="00523643"/>
    <w:rsid w:val="00523A3D"/>
    <w:rsid w:val="00525910"/>
    <w:rsid w:val="00527916"/>
    <w:rsid w:val="00532CFC"/>
    <w:rsid w:val="00537629"/>
    <w:rsid w:val="00542D6A"/>
    <w:rsid w:val="00543D99"/>
    <w:rsid w:val="00546F91"/>
    <w:rsid w:val="00554064"/>
    <w:rsid w:val="005542E2"/>
    <w:rsid w:val="00554495"/>
    <w:rsid w:val="005556FB"/>
    <w:rsid w:val="00556261"/>
    <w:rsid w:val="00556323"/>
    <w:rsid w:val="00557B89"/>
    <w:rsid w:val="00562683"/>
    <w:rsid w:val="0057208B"/>
    <w:rsid w:val="00577AC6"/>
    <w:rsid w:val="00577D93"/>
    <w:rsid w:val="00585799"/>
    <w:rsid w:val="00587D22"/>
    <w:rsid w:val="00594749"/>
    <w:rsid w:val="005A2790"/>
    <w:rsid w:val="005A4BDD"/>
    <w:rsid w:val="005A561A"/>
    <w:rsid w:val="005B4BB5"/>
    <w:rsid w:val="005C5643"/>
    <w:rsid w:val="005C74F3"/>
    <w:rsid w:val="005D05CA"/>
    <w:rsid w:val="005D26A9"/>
    <w:rsid w:val="005D5376"/>
    <w:rsid w:val="005D53C6"/>
    <w:rsid w:val="005D609B"/>
    <w:rsid w:val="005D72BA"/>
    <w:rsid w:val="005D783C"/>
    <w:rsid w:val="005E13FA"/>
    <w:rsid w:val="005E3751"/>
    <w:rsid w:val="005E3A90"/>
    <w:rsid w:val="005F1CD1"/>
    <w:rsid w:val="005F2274"/>
    <w:rsid w:val="005F2C05"/>
    <w:rsid w:val="005F5621"/>
    <w:rsid w:val="005F6327"/>
    <w:rsid w:val="006057D2"/>
    <w:rsid w:val="00612461"/>
    <w:rsid w:val="00612B64"/>
    <w:rsid w:val="00615D3F"/>
    <w:rsid w:val="00620655"/>
    <w:rsid w:val="00625262"/>
    <w:rsid w:val="0062629F"/>
    <w:rsid w:val="00626E85"/>
    <w:rsid w:val="00627F1B"/>
    <w:rsid w:val="00630FC5"/>
    <w:rsid w:val="00636B49"/>
    <w:rsid w:val="00636D25"/>
    <w:rsid w:val="006371AF"/>
    <w:rsid w:val="00641FD7"/>
    <w:rsid w:val="006435F4"/>
    <w:rsid w:val="006473CB"/>
    <w:rsid w:val="00650D2E"/>
    <w:rsid w:val="00650FD3"/>
    <w:rsid w:val="0065363E"/>
    <w:rsid w:val="006536EB"/>
    <w:rsid w:val="0065539F"/>
    <w:rsid w:val="00663439"/>
    <w:rsid w:val="00663E0F"/>
    <w:rsid w:val="00665A5B"/>
    <w:rsid w:val="00671E2C"/>
    <w:rsid w:val="0067629D"/>
    <w:rsid w:val="0067732D"/>
    <w:rsid w:val="00680E93"/>
    <w:rsid w:val="00681D6E"/>
    <w:rsid w:val="00682E44"/>
    <w:rsid w:val="00685739"/>
    <w:rsid w:val="00686EE7"/>
    <w:rsid w:val="00697218"/>
    <w:rsid w:val="006A2CD9"/>
    <w:rsid w:val="006A43A2"/>
    <w:rsid w:val="006B0AD9"/>
    <w:rsid w:val="006B0FF9"/>
    <w:rsid w:val="006B2EC8"/>
    <w:rsid w:val="006B499D"/>
    <w:rsid w:val="006C60F6"/>
    <w:rsid w:val="006C7D9B"/>
    <w:rsid w:val="006D48EA"/>
    <w:rsid w:val="006D576D"/>
    <w:rsid w:val="006D6B2C"/>
    <w:rsid w:val="006E14D7"/>
    <w:rsid w:val="006E1B81"/>
    <w:rsid w:val="006E2961"/>
    <w:rsid w:val="006E4F86"/>
    <w:rsid w:val="006E5578"/>
    <w:rsid w:val="006E5ADF"/>
    <w:rsid w:val="006F073F"/>
    <w:rsid w:val="006F1F5B"/>
    <w:rsid w:val="006F24B6"/>
    <w:rsid w:val="006F2BA5"/>
    <w:rsid w:val="006F6261"/>
    <w:rsid w:val="006F76F1"/>
    <w:rsid w:val="00705F43"/>
    <w:rsid w:val="00706571"/>
    <w:rsid w:val="00711BCD"/>
    <w:rsid w:val="00712DA9"/>
    <w:rsid w:val="00713594"/>
    <w:rsid w:val="00715525"/>
    <w:rsid w:val="00723566"/>
    <w:rsid w:val="00723B76"/>
    <w:rsid w:val="00727812"/>
    <w:rsid w:val="00730727"/>
    <w:rsid w:val="007328F1"/>
    <w:rsid w:val="00732DCB"/>
    <w:rsid w:val="00735301"/>
    <w:rsid w:val="0074489C"/>
    <w:rsid w:val="0074521B"/>
    <w:rsid w:val="00745892"/>
    <w:rsid w:val="00745A66"/>
    <w:rsid w:val="00746E58"/>
    <w:rsid w:val="00747DC2"/>
    <w:rsid w:val="007564A8"/>
    <w:rsid w:val="0075770A"/>
    <w:rsid w:val="007608F5"/>
    <w:rsid w:val="00763F30"/>
    <w:rsid w:val="007709C9"/>
    <w:rsid w:val="00773C6F"/>
    <w:rsid w:val="00783904"/>
    <w:rsid w:val="007852E3"/>
    <w:rsid w:val="007908CF"/>
    <w:rsid w:val="00795BE7"/>
    <w:rsid w:val="007A7310"/>
    <w:rsid w:val="007B010A"/>
    <w:rsid w:val="007B0578"/>
    <w:rsid w:val="007B282E"/>
    <w:rsid w:val="007C305F"/>
    <w:rsid w:val="007C5EE0"/>
    <w:rsid w:val="007D055F"/>
    <w:rsid w:val="007D2056"/>
    <w:rsid w:val="007D3D53"/>
    <w:rsid w:val="007E099B"/>
    <w:rsid w:val="007E47DB"/>
    <w:rsid w:val="007E4E01"/>
    <w:rsid w:val="007F4A6E"/>
    <w:rsid w:val="007F5093"/>
    <w:rsid w:val="007F675A"/>
    <w:rsid w:val="007F70BA"/>
    <w:rsid w:val="00800648"/>
    <w:rsid w:val="008033A9"/>
    <w:rsid w:val="008039AC"/>
    <w:rsid w:val="00805C0B"/>
    <w:rsid w:val="008078D1"/>
    <w:rsid w:val="00817620"/>
    <w:rsid w:val="00820DC4"/>
    <w:rsid w:val="00821FD9"/>
    <w:rsid w:val="008221A9"/>
    <w:rsid w:val="00824F17"/>
    <w:rsid w:val="0082518F"/>
    <w:rsid w:val="008257C6"/>
    <w:rsid w:val="00826939"/>
    <w:rsid w:val="00831AE0"/>
    <w:rsid w:val="00833E14"/>
    <w:rsid w:val="0083746D"/>
    <w:rsid w:val="00842FDA"/>
    <w:rsid w:val="0084421C"/>
    <w:rsid w:val="008467FD"/>
    <w:rsid w:val="00847D89"/>
    <w:rsid w:val="00853D48"/>
    <w:rsid w:val="00865491"/>
    <w:rsid w:val="00866645"/>
    <w:rsid w:val="008671D5"/>
    <w:rsid w:val="00872D07"/>
    <w:rsid w:val="008742BB"/>
    <w:rsid w:val="0087461C"/>
    <w:rsid w:val="00874E97"/>
    <w:rsid w:val="00881B80"/>
    <w:rsid w:val="008873B4"/>
    <w:rsid w:val="008964EC"/>
    <w:rsid w:val="008A1CFC"/>
    <w:rsid w:val="008A42D3"/>
    <w:rsid w:val="008A5FCE"/>
    <w:rsid w:val="008A7AF8"/>
    <w:rsid w:val="008B1619"/>
    <w:rsid w:val="008B39A1"/>
    <w:rsid w:val="008B476D"/>
    <w:rsid w:val="008B6600"/>
    <w:rsid w:val="008C46EB"/>
    <w:rsid w:val="008C785F"/>
    <w:rsid w:val="008D1BCB"/>
    <w:rsid w:val="008D34E2"/>
    <w:rsid w:val="008D4890"/>
    <w:rsid w:val="008D4BE1"/>
    <w:rsid w:val="008D5DFC"/>
    <w:rsid w:val="008D7090"/>
    <w:rsid w:val="008D726D"/>
    <w:rsid w:val="008E4B2C"/>
    <w:rsid w:val="008E6010"/>
    <w:rsid w:val="008F06F5"/>
    <w:rsid w:val="008F1453"/>
    <w:rsid w:val="008F37ED"/>
    <w:rsid w:val="008F38F8"/>
    <w:rsid w:val="008F5770"/>
    <w:rsid w:val="008F632F"/>
    <w:rsid w:val="00901402"/>
    <w:rsid w:val="00904B3D"/>
    <w:rsid w:val="00904C53"/>
    <w:rsid w:val="00905082"/>
    <w:rsid w:val="00905109"/>
    <w:rsid w:val="009067B2"/>
    <w:rsid w:val="00912332"/>
    <w:rsid w:val="009153B1"/>
    <w:rsid w:val="009210A5"/>
    <w:rsid w:val="00924356"/>
    <w:rsid w:val="00924FB4"/>
    <w:rsid w:val="00930A53"/>
    <w:rsid w:val="00930B8B"/>
    <w:rsid w:val="009316CC"/>
    <w:rsid w:val="00932936"/>
    <w:rsid w:val="00933FBB"/>
    <w:rsid w:val="0093409A"/>
    <w:rsid w:val="00937641"/>
    <w:rsid w:val="00937A81"/>
    <w:rsid w:val="00940488"/>
    <w:rsid w:val="00943AA4"/>
    <w:rsid w:val="00945882"/>
    <w:rsid w:val="00945C49"/>
    <w:rsid w:val="00945FFD"/>
    <w:rsid w:val="00951204"/>
    <w:rsid w:val="00952B38"/>
    <w:rsid w:val="00955099"/>
    <w:rsid w:val="00960A30"/>
    <w:rsid w:val="00961AB3"/>
    <w:rsid w:val="00962EB0"/>
    <w:rsid w:val="00966C62"/>
    <w:rsid w:val="00972354"/>
    <w:rsid w:val="00973F29"/>
    <w:rsid w:val="00975D64"/>
    <w:rsid w:val="009771C8"/>
    <w:rsid w:val="00983378"/>
    <w:rsid w:val="009851C6"/>
    <w:rsid w:val="00985B53"/>
    <w:rsid w:val="0099018F"/>
    <w:rsid w:val="0099374E"/>
    <w:rsid w:val="00993B7B"/>
    <w:rsid w:val="00995377"/>
    <w:rsid w:val="009A573F"/>
    <w:rsid w:val="009A5D63"/>
    <w:rsid w:val="009A7B11"/>
    <w:rsid w:val="009B2CC5"/>
    <w:rsid w:val="009B7AB0"/>
    <w:rsid w:val="009B7B6A"/>
    <w:rsid w:val="009C1722"/>
    <w:rsid w:val="009D01A1"/>
    <w:rsid w:val="009D0380"/>
    <w:rsid w:val="009D139D"/>
    <w:rsid w:val="009D23A7"/>
    <w:rsid w:val="009D4B9D"/>
    <w:rsid w:val="009D4CAE"/>
    <w:rsid w:val="009D55BA"/>
    <w:rsid w:val="009E306D"/>
    <w:rsid w:val="009E4977"/>
    <w:rsid w:val="009E5BF7"/>
    <w:rsid w:val="009E5C9C"/>
    <w:rsid w:val="009E7A7C"/>
    <w:rsid w:val="009F1F1D"/>
    <w:rsid w:val="009F4A52"/>
    <w:rsid w:val="009F6014"/>
    <w:rsid w:val="009F7148"/>
    <w:rsid w:val="009F7EFD"/>
    <w:rsid w:val="00A0041C"/>
    <w:rsid w:val="00A01609"/>
    <w:rsid w:val="00A01C26"/>
    <w:rsid w:val="00A06342"/>
    <w:rsid w:val="00A06B45"/>
    <w:rsid w:val="00A103E6"/>
    <w:rsid w:val="00A12013"/>
    <w:rsid w:val="00A1468E"/>
    <w:rsid w:val="00A20A1E"/>
    <w:rsid w:val="00A225FD"/>
    <w:rsid w:val="00A31AA2"/>
    <w:rsid w:val="00A43CAC"/>
    <w:rsid w:val="00A454B2"/>
    <w:rsid w:val="00A4660F"/>
    <w:rsid w:val="00A4696D"/>
    <w:rsid w:val="00A5078C"/>
    <w:rsid w:val="00A50849"/>
    <w:rsid w:val="00A5514B"/>
    <w:rsid w:val="00A563A9"/>
    <w:rsid w:val="00A62D24"/>
    <w:rsid w:val="00A6593D"/>
    <w:rsid w:val="00A70C03"/>
    <w:rsid w:val="00A713BB"/>
    <w:rsid w:val="00A73355"/>
    <w:rsid w:val="00A74946"/>
    <w:rsid w:val="00A75DCF"/>
    <w:rsid w:val="00A774F2"/>
    <w:rsid w:val="00A80CB0"/>
    <w:rsid w:val="00A812FA"/>
    <w:rsid w:val="00A83426"/>
    <w:rsid w:val="00A86091"/>
    <w:rsid w:val="00A91DCC"/>
    <w:rsid w:val="00A93839"/>
    <w:rsid w:val="00A96D37"/>
    <w:rsid w:val="00A970B3"/>
    <w:rsid w:val="00AA0E18"/>
    <w:rsid w:val="00AA16AF"/>
    <w:rsid w:val="00AA20E5"/>
    <w:rsid w:val="00AA2429"/>
    <w:rsid w:val="00AB18D9"/>
    <w:rsid w:val="00AB2BEE"/>
    <w:rsid w:val="00AB3B1F"/>
    <w:rsid w:val="00AB4133"/>
    <w:rsid w:val="00AD30B1"/>
    <w:rsid w:val="00AD36FB"/>
    <w:rsid w:val="00AF0091"/>
    <w:rsid w:val="00AF03EE"/>
    <w:rsid w:val="00AF1087"/>
    <w:rsid w:val="00AF5320"/>
    <w:rsid w:val="00AF74CF"/>
    <w:rsid w:val="00B030B9"/>
    <w:rsid w:val="00B10746"/>
    <w:rsid w:val="00B1613C"/>
    <w:rsid w:val="00B2016C"/>
    <w:rsid w:val="00B2388F"/>
    <w:rsid w:val="00B24304"/>
    <w:rsid w:val="00B25F6E"/>
    <w:rsid w:val="00B32D08"/>
    <w:rsid w:val="00B33BF6"/>
    <w:rsid w:val="00B37799"/>
    <w:rsid w:val="00B41BE2"/>
    <w:rsid w:val="00B431CA"/>
    <w:rsid w:val="00B442FB"/>
    <w:rsid w:val="00B509B1"/>
    <w:rsid w:val="00B5170B"/>
    <w:rsid w:val="00B551A9"/>
    <w:rsid w:val="00B551EF"/>
    <w:rsid w:val="00B56DDB"/>
    <w:rsid w:val="00B5752D"/>
    <w:rsid w:val="00B60507"/>
    <w:rsid w:val="00B60EA5"/>
    <w:rsid w:val="00B629A9"/>
    <w:rsid w:val="00B62C39"/>
    <w:rsid w:val="00B662DA"/>
    <w:rsid w:val="00B675CE"/>
    <w:rsid w:val="00B73E6D"/>
    <w:rsid w:val="00B77AFD"/>
    <w:rsid w:val="00B819E8"/>
    <w:rsid w:val="00B94B79"/>
    <w:rsid w:val="00B95A2D"/>
    <w:rsid w:val="00BA0441"/>
    <w:rsid w:val="00BA41D0"/>
    <w:rsid w:val="00BA43D6"/>
    <w:rsid w:val="00BA5F34"/>
    <w:rsid w:val="00BA6C4A"/>
    <w:rsid w:val="00BB0BA5"/>
    <w:rsid w:val="00BB23B2"/>
    <w:rsid w:val="00BB2A85"/>
    <w:rsid w:val="00BB36FB"/>
    <w:rsid w:val="00BB3DA0"/>
    <w:rsid w:val="00BC047E"/>
    <w:rsid w:val="00BC0514"/>
    <w:rsid w:val="00BC557D"/>
    <w:rsid w:val="00BC7C75"/>
    <w:rsid w:val="00BD23F6"/>
    <w:rsid w:val="00BD6535"/>
    <w:rsid w:val="00BE36CE"/>
    <w:rsid w:val="00BF28B1"/>
    <w:rsid w:val="00C05634"/>
    <w:rsid w:val="00C127FF"/>
    <w:rsid w:val="00C147E8"/>
    <w:rsid w:val="00C153AB"/>
    <w:rsid w:val="00C158C6"/>
    <w:rsid w:val="00C257E6"/>
    <w:rsid w:val="00C26DB1"/>
    <w:rsid w:val="00C26F4D"/>
    <w:rsid w:val="00C30AA3"/>
    <w:rsid w:val="00C31B7B"/>
    <w:rsid w:val="00C41C96"/>
    <w:rsid w:val="00C423A9"/>
    <w:rsid w:val="00C45D8B"/>
    <w:rsid w:val="00C5044B"/>
    <w:rsid w:val="00C52FC9"/>
    <w:rsid w:val="00C5727C"/>
    <w:rsid w:val="00C62AC1"/>
    <w:rsid w:val="00C62EAA"/>
    <w:rsid w:val="00C66BEB"/>
    <w:rsid w:val="00C71E86"/>
    <w:rsid w:val="00C72D22"/>
    <w:rsid w:val="00C749A4"/>
    <w:rsid w:val="00C7526E"/>
    <w:rsid w:val="00C75E30"/>
    <w:rsid w:val="00C86130"/>
    <w:rsid w:val="00C92A20"/>
    <w:rsid w:val="00C95DBF"/>
    <w:rsid w:val="00CA01B1"/>
    <w:rsid w:val="00CA10C3"/>
    <w:rsid w:val="00CA27D3"/>
    <w:rsid w:val="00CA53A7"/>
    <w:rsid w:val="00CA7872"/>
    <w:rsid w:val="00CB21AA"/>
    <w:rsid w:val="00CB3FC0"/>
    <w:rsid w:val="00CC0C20"/>
    <w:rsid w:val="00CC1195"/>
    <w:rsid w:val="00CC2DE3"/>
    <w:rsid w:val="00CC598B"/>
    <w:rsid w:val="00CC5E80"/>
    <w:rsid w:val="00CC6243"/>
    <w:rsid w:val="00CC7E97"/>
    <w:rsid w:val="00CD292C"/>
    <w:rsid w:val="00CD3ECE"/>
    <w:rsid w:val="00CE0E61"/>
    <w:rsid w:val="00CE2C7A"/>
    <w:rsid w:val="00CE47E0"/>
    <w:rsid w:val="00CE5FA5"/>
    <w:rsid w:val="00CF1B7E"/>
    <w:rsid w:val="00CF2E2B"/>
    <w:rsid w:val="00CF4A1C"/>
    <w:rsid w:val="00CF6A34"/>
    <w:rsid w:val="00D0249E"/>
    <w:rsid w:val="00D05F08"/>
    <w:rsid w:val="00D137AA"/>
    <w:rsid w:val="00D20257"/>
    <w:rsid w:val="00D20BE5"/>
    <w:rsid w:val="00D22AEB"/>
    <w:rsid w:val="00D2642B"/>
    <w:rsid w:val="00D31541"/>
    <w:rsid w:val="00D36718"/>
    <w:rsid w:val="00D41E1C"/>
    <w:rsid w:val="00D45026"/>
    <w:rsid w:val="00D45455"/>
    <w:rsid w:val="00D47549"/>
    <w:rsid w:val="00D618D3"/>
    <w:rsid w:val="00D61FF2"/>
    <w:rsid w:val="00D6432A"/>
    <w:rsid w:val="00D64806"/>
    <w:rsid w:val="00D67225"/>
    <w:rsid w:val="00D74BBC"/>
    <w:rsid w:val="00D74CE3"/>
    <w:rsid w:val="00D74DE4"/>
    <w:rsid w:val="00D767FA"/>
    <w:rsid w:val="00D80EF3"/>
    <w:rsid w:val="00D84BD3"/>
    <w:rsid w:val="00D84EDE"/>
    <w:rsid w:val="00D853F6"/>
    <w:rsid w:val="00D858BF"/>
    <w:rsid w:val="00D874B2"/>
    <w:rsid w:val="00D923C4"/>
    <w:rsid w:val="00D956B6"/>
    <w:rsid w:val="00D96CE6"/>
    <w:rsid w:val="00D97B60"/>
    <w:rsid w:val="00DA3C6C"/>
    <w:rsid w:val="00DA5274"/>
    <w:rsid w:val="00DA7AF2"/>
    <w:rsid w:val="00DA7FD0"/>
    <w:rsid w:val="00DB0EE2"/>
    <w:rsid w:val="00DB326C"/>
    <w:rsid w:val="00DB3EAC"/>
    <w:rsid w:val="00DB7B84"/>
    <w:rsid w:val="00DB7D69"/>
    <w:rsid w:val="00DC393A"/>
    <w:rsid w:val="00DC3B81"/>
    <w:rsid w:val="00DC49DE"/>
    <w:rsid w:val="00DC5949"/>
    <w:rsid w:val="00DD5544"/>
    <w:rsid w:val="00DD5AF1"/>
    <w:rsid w:val="00DD781B"/>
    <w:rsid w:val="00DE4941"/>
    <w:rsid w:val="00DE49CC"/>
    <w:rsid w:val="00DE7324"/>
    <w:rsid w:val="00DF01C4"/>
    <w:rsid w:val="00DF6D6D"/>
    <w:rsid w:val="00DF79F3"/>
    <w:rsid w:val="00E04D69"/>
    <w:rsid w:val="00E05446"/>
    <w:rsid w:val="00E064E8"/>
    <w:rsid w:val="00E07D74"/>
    <w:rsid w:val="00E126A4"/>
    <w:rsid w:val="00E12921"/>
    <w:rsid w:val="00E14A56"/>
    <w:rsid w:val="00E15D3C"/>
    <w:rsid w:val="00E161D5"/>
    <w:rsid w:val="00E21F2C"/>
    <w:rsid w:val="00E23DD4"/>
    <w:rsid w:val="00E27B5B"/>
    <w:rsid w:val="00E31791"/>
    <w:rsid w:val="00E32C5E"/>
    <w:rsid w:val="00E33E7F"/>
    <w:rsid w:val="00E33F33"/>
    <w:rsid w:val="00E3426D"/>
    <w:rsid w:val="00E366ED"/>
    <w:rsid w:val="00E370DD"/>
    <w:rsid w:val="00E37D62"/>
    <w:rsid w:val="00E420EF"/>
    <w:rsid w:val="00E529DA"/>
    <w:rsid w:val="00E5435D"/>
    <w:rsid w:val="00E543C6"/>
    <w:rsid w:val="00E56758"/>
    <w:rsid w:val="00E57A61"/>
    <w:rsid w:val="00E61683"/>
    <w:rsid w:val="00E652D9"/>
    <w:rsid w:val="00E67C79"/>
    <w:rsid w:val="00E70F21"/>
    <w:rsid w:val="00E75C70"/>
    <w:rsid w:val="00E77722"/>
    <w:rsid w:val="00E806D1"/>
    <w:rsid w:val="00E82D57"/>
    <w:rsid w:val="00E8571C"/>
    <w:rsid w:val="00E91E10"/>
    <w:rsid w:val="00E9219C"/>
    <w:rsid w:val="00E935B4"/>
    <w:rsid w:val="00EA1713"/>
    <w:rsid w:val="00EA383F"/>
    <w:rsid w:val="00EA5F46"/>
    <w:rsid w:val="00EB07EA"/>
    <w:rsid w:val="00EB1EAE"/>
    <w:rsid w:val="00EB2BC4"/>
    <w:rsid w:val="00EB43DC"/>
    <w:rsid w:val="00EC2B81"/>
    <w:rsid w:val="00EC48A5"/>
    <w:rsid w:val="00EC5918"/>
    <w:rsid w:val="00EC62A2"/>
    <w:rsid w:val="00ED007B"/>
    <w:rsid w:val="00ED0AE5"/>
    <w:rsid w:val="00ED4FE0"/>
    <w:rsid w:val="00ED50C6"/>
    <w:rsid w:val="00ED56E3"/>
    <w:rsid w:val="00EE4108"/>
    <w:rsid w:val="00EF1373"/>
    <w:rsid w:val="00EF3DDF"/>
    <w:rsid w:val="00EF4721"/>
    <w:rsid w:val="00EF5B6A"/>
    <w:rsid w:val="00EF6E29"/>
    <w:rsid w:val="00F0040B"/>
    <w:rsid w:val="00F00DAF"/>
    <w:rsid w:val="00F021BB"/>
    <w:rsid w:val="00F04C6F"/>
    <w:rsid w:val="00F1059F"/>
    <w:rsid w:val="00F12CE5"/>
    <w:rsid w:val="00F152B6"/>
    <w:rsid w:val="00F20F26"/>
    <w:rsid w:val="00F25EAC"/>
    <w:rsid w:val="00F271F2"/>
    <w:rsid w:val="00F31674"/>
    <w:rsid w:val="00F471C9"/>
    <w:rsid w:val="00F5116A"/>
    <w:rsid w:val="00F51F89"/>
    <w:rsid w:val="00F54F51"/>
    <w:rsid w:val="00F63950"/>
    <w:rsid w:val="00F63B2E"/>
    <w:rsid w:val="00F656F2"/>
    <w:rsid w:val="00F7312C"/>
    <w:rsid w:val="00F76100"/>
    <w:rsid w:val="00F82C5D"/>
    <w:rsid w:val="00F8432B"/>
    <w:rsid w:val="00F85426"/>
    <w:rsid w:val="00F859FB"/>
    <w:rsid w:val="00F85C19"/>
    <w:rsid w:val="00F90992"/>
    <w:rsid w:val="00F91D91"/>
    <w:rsid w:val="00F93367"/>
    <w:rsid w:val="00F95E40"/>
    <w:rsid w:val="00FA262D"/>
    <w:rsid w:val="00FA3CB5"/>
    <w:rsid w:val="00FA7889"/>
    <w:rsid w:val="00FB61F2"/>
    <w:rsid w:val="00FC3C87"/>
    <w:rsid w:val="00FC3F45"/>
    <w:rsid w:val="00FC7318"/>
    <w:rsid w:val="00FE1A91"/>
    <w:rsid w:val="00FE3112"/>
    <w:rsid w:val="00FE4384"/>
    <w:rsid w:val="00FE6D90"/>
    <w:rsid w:val="00FF1C14"/>
    <w:rsid w:val="00FF378F"/>
    <w:rsid w:val="00FF4D5A"/>
    <w:rsid w:val="00FF6F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ED5249"/>
  <w15:chartTrackingRefBased/>
  <w15:docId w15:val="{EC6A1183-8151-4D57-8977-117475C2E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1D5"/>
    <w:pPr>
      <w:tabs>
        <w:tab w:val="left" w:pos="567"/>
      </w:tabs>
      <w:spacing w:after="0" w:line="360" w:lineRule="auto"/>
    </w:pPr>
    <w:rPr>
      <w:rFonts w:ascii="Trebuchet MS" w:hAnsi="Trebuchet MS"/>
      <w:sz w:val="24"/>
    </w:rPr>
  </w:style>
  <w:style w:type="paragraph" w:styleId="Heading1">
    <w:name w:val="heading 1"/>
    <w:basedOn w:val="Normal"/>
    <w:next w:val="Normal"/>
    <w:link w:val="Heading1Char"/>
    <w:uiPriority w:val="9"/>
    <w:qFormat/>
    <w:rsid w:val="008671D5"/>
    <w:pPr>
      <w:keepNext/>
      <w:keepLines/>
      <w:spacing w:after="240"/>
      <w:outlineLvl w:val="0"/>
    </w:pPr>
    <w:rPr>
      <w:rFonts w:eastAsiaTheme="majorEastAsia" w:cstheme="majorBidi"/>
      <w:b/>
      <w:color w:val="002060"/>
      <w:sz w:val="28"/>
      <w:szCs w:val="32"/>
    </w:rPr>
  </w:style>
  <w:style w:type="paragraph" w:styleId="Heading2">
    <w:name w:val="heading 2"/>
    <w:basedOn w:val="Normal"/>
    <w:next w:val="Normal"/>
    <w:link w:val="Heading2Char"/>
    <w:uiPriority w:val="9"/>
    <w:unhideWhenUsed/>
    <w:qFormat/>
    <w:rsid w:val="008671D5"/>
    <w:pPr>
      <w:keepNext/>
      <w:keepLines/>
      <w:outlineLvl w:val="1"/>
    </w:pPr>
    <w:rPr>
      <w:rFonts w:eastAsiaTheme="majorEastAsia" w:cstheme="majorBidi"/>
      <w:b/>
      <w:color w:val="002060"/>
      <w:szCs w:val="26"/>
    </w:rPr>
  </w:style>
  <w:style w:type="paragraph" w:styleId="Heading3">
    <w:name w:val="heading 3"/>
    <w:basedOn w:val="Normal"/>
    <w:next w:val="Normal"/>
    <w:link w:val="Heading3Char"/>
    <w:uiPriority w:val="9"/>
    <w:semiHidden/>
    <w:unhideWhenUsed/>
    <w:qFormat/>
    <w:rsid w:val="008671D5"/>
    <w:pPr>
      <w:keepNext/>
      <w:keepLines/>
      <w:outlineLvl w:val="2"/>
    </w:pPr>
    <w:rPr>
      <w:rFonts w:eastAsiaTheme="majorEastAsia" w:cstheme="majorBidi"/>
      <w:color w:val="1F3864"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8671D5"/>
    <w:pPr>
      <w:tabs>
        <w:tab w:val="left" w:pos="567"/>
      </w:tabs>
      <w:spacing w:after="0" w:line="240" w:lineRule="auto"/>
    </w:pPr>
    <w:rPr>
      <w:rFonts w:ascii="Trebuchet MS" w:hAnsi="Trebuchet MS"/>
      <w:sz w:val="24"/>
    </w:rPr>
  </w:style>
  <w:style w:type="paragraph" w:styleId="Subtitle">
    <w:name w:val="Subtitle"/>
    <w:basedOn w:val="Normal"/>
    <w:next w:val="Normal"/>
    <w:link w:val="SubtitleChar"/>
    <w:uiPriority w:val="11"/>
    <w:unhideWhenUsed/>
    <w:rsid w:val="008671D5"/>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8671D5"/>
    <w:rPr>
      <w:rFonts w:eastAsiaTheme="minorEastAsia"/>
      <w:color w:val="5A5A5A" w:themeColor="text1" w:themeTint="A5"/>
      <w:spacing w:val="15"/>
      <w:sz w:val="24"/>
    </w:rPr>
  </w:style>
  <w:style w:type="character" w:styleId="SubtleEmphasis">
    <w:name w:val="Subtle Emphasis"/>
    <w:basedOn w:val="DefaultParagraphFont"/>
    <w:uiPriority w:val="19"/>
    <w:unhideWhenUsed/>
    <w:rsid w:val="008671D5"/>
    <w:rPr>
      <w:i/>
      <w:iCs/>
      <w:color w:val="404040" w:themeColor="text1" w:themeTint="BF"/>
    </w:rPr>
  </w:style>
  <w:style w:type="character" w:styleId="Emphasis">
    <w:name w:val="Emphasis"/>
    <w:basedOn w:val="DefaultParagraphFont"/>
    <w:uiPriority w:val="20"/>
    <w:rsid w:val="008671D5"/>
    <w:rPr>
      <w:i/>
      <w:iCs/>
    </w:rPr>
  </w:style>
  <w:style w:type="character" w:styleId="IntenseEmphasis">
    <w:name w:val="Intense Emphasis"/>
    <w:basedOn w:val="DefaultParagraphFont"/>
    <w:uiPriority w:val="21"/>
    <w:unhideWhenUsed/>
    <w:rsid w:val="008671D5"/>
    <w:rPr>
      <w:i/>
      <w:iCs/>
      <w:color w:val="4472C4" w:themeColor="accent1"/>
    </w:rPr>
  </w:style>
  <w:style w:type="character" w:styleId="Strong">
    <w:name w:val="Strong"/>
    <w:basedOn w:val="DefaultParagraphFont"/>
    <w:uiPriority w:val="22"/>
    <w:unhideWhenUsed/>
    <w:rsid w:val="008671D5"/>
    <w:rPr>
      <w:b/>
      <w:bCs/>
    </w:rPr>
  </w:style>
  <w:style w:type="paragraph" w:styleId="Quote">
    <w:name w:val="Quote"/>
    <w:basedOn w:val="Normal"/>
    <w:next w:val="Normal"/>
    <w:link w:val="QuoteChar"/>
    <w:uiPriority w:val="29"/>
    <w:unhideWhenUsed/>
    <w:rsid w:val="008671D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671D5"/>
    <w:rPr>
      <w:rFonts w:ascii="Trebuchet MS" w:hAnsi="Trebuchet MS"/>
      <w:i/>
      <w:iCs/>
      <w:color w:val="404040" w:themeColor="text1" w:themeTint="BF"/>
      <w:sz w:val="24"/>
    </w:rPr>
  </w:style>
  <w:style w:type="paragraph" w:styleId="IntenseQuote">
    <w:name w:val="Intense Quote"/>
    <w:basedOn w:val="Normal"/>
    <w:next w:val="Normal"/>
    <w:link w:val="IntenseQuoteChar"/>
    <w:uiPriority w:val="30"/>
    <w:rsid w:val="008671D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671D5"/>
    <w:rPr>
      <w:rFonts w:ascii="Trebuchet MS" w:hAnsi="Trebuchet MS"/>
      <w:i/>
      <w:iCs/>
      <w:color w:val="4472C4" w:themeColor="accent1"/>
      <w:sz w:val="24"/>
    </w:rPr>
  </w:style>
  <w:style w:type="character" w:styleId="SubtleReference">
    <w:name w:val="Subtle Reference"/>
    <w:basedOn w:val="DefaultParagraphFont"/>
    <w:uiPriority w:val="31"/>
    <w:unhideWhenUsed/>
    <w:rsid w:val="008671D5"/>
    <w:rPr>
      <w:smallCaps/>
      <w:color w:val="5A5A5A" w:themeColor="text1" w:themeTint="A5"/>
    </w:rPr>
  </w:style>
  <w:style w:type="character" w:styleId="IntenseReference">
    <w:name w:val="Intense Reference"/>
    <w:basedOn w:val="DefaultParagraphFont"/>
    <w:uiPriority w:val="32"/>
    <w:unhideWhenUsed/>
    <w:rsid w:val="008671D5"/>
    <w:rPr>
      <w:b/>
      <w:bCs/>
      <w:smallCaps/>
      <w:color w:val="4472C4" w:themeColor="accent1"/>
      <w:spacing w:val="5"/>
    </w:rPr>
  </w:style>
  <w:style w:type="character" w:styleId="BookTitle">
    <w:name w:val="Book Title"/>
    <w:basedOn w:val="DefaultParagraphFont"/>
    <w:uiPriority w:val="33"/>
    <w:unhideWhenUsed/>
    <w:rsid w:val="008671D5"/>
    <w:rPr>
      <w:b/>
      <w:bCs/>
      <w:i/>
      <w:iCs/>
      <w:spacing w:val="5"/>
    </w:rPr>
  </w:style>
  <w:style w:type="paragraph" w:styleId="ListNumber">
    <w:name w:val="List Number"/>
    <w:basedOn w:val="Normal"/>
    <w:uiPriority w:val="99"/>
    <w:qFormat/>
    <w:rsid w:val="00F152B6"/>
    <w:pPr>
      <w:numPr>
        <w:numId w:val="23"/>
      </w:numPr>
      <w:contextualSpacing/>
    </w:pPr>
  </w:style>
  <w:style w:type="character" w:customStyle="1" w:styleId="Heading2Char">
    <w:name w:val="Heading 2 Char"/>
    <w:basedOn w:val="DefaultParagraphFont"/>
    <w:link w:val="Heading2"/>
    <w:uiPriority w:val="9"/>
    <w:rsid w:val="008671D5"/>
    <w:rPr>
      <w:rFonts w:ascii="Trebuchet MS" w:eastAsiaTheme="majorEastAsia" w:hAnsi="Trebuchet MS" w:cstheme="majorBidi"/>
      <w:b/>
      <w:color w:val="002060"/>
      <w:sz w:val="24"/>
      <w:szCs w:val="26"/>
    </w:rPr>
  </w:style>
  <w:style w:type="character" w:customStyle="1" w:styleId="Heading1Char">
    <w:name w:val="Heading 1 Char"/>
    <w:basedOn w:val="DefaultParagraphFont"/>
    <w:link w:val="Heading1"/>
    <w:uiPriority w:val="9"/>
    <w:rsid w:val="008671D5"/>
    <w:rPr>
      <w:rFonts w:ascii="Trebuchet MS" w:eastAsiaTheme="majorEastAsia" w:hAnsi="Trebuchet MS" w:cstheme="majorBidi"/>
      <w:b/>
      <w:color w:val="002060"/>
      <w:sz w:val="28"/>
      <w:szCs w:val="32"/>
    </w:rPr>
  </w:style>
  <w:style w:type="paragraph" w:styleId="Title">
    <w:name w:val="Title"/>
    <w:basedOn w:val="Normal"/>
    <w:next w:val="Normal"/>
    <w:link w:val="TitleChar"/>
    <w:uiPriority w:val="10"/>
    <w:qFormat/>
    <w:rsid w:val="008671D5"/>
    <w:pPr>
      <w:spacing w:after="240"/>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8671D5"/>
    <w:rPr>
      <w:rFonts w:ascii="Trebuchet MS" w:eastAsiaTheme="majorEastAsia" w:hAnsi="Trebuchet MS" w:cstheme="majorBidi"/>
      <w:b/>
      <w:spacing w:val="-10"/>
      <w:kern w:val="28"/>
      <w:sz w:val="28"/>
      <w:szCs w:val="56"/>
    </w:rPr>
  </w:style>
  <w:style w:type="paragraph" w:styleId="ListParagraph">
    <w:name w:val="List Paragraph"/>
    <w:basedOn w:val="Normal"/>
    <w:uiPriority w:val="34"/>
    <w:qFormat/>
    <w:rsid w:val="00A5078C"/>
    <w:pPr>
      <w:numPr>
        <w:numId w:val="27"/>
      </w:numPr>
      <w:contextualSpacing/>
    </w:pPr>
  </w:style>
  <w:style w:type="character" w:customStyle="1" w:styleId="Heading3Char">
    <w:name w:val="Heading 3 Char"/>
    <w:basedOn w:val="DefaultParagraphFont"/>
    <w:link w:val="Heading3"/>
    <w:uiPriority w:val="9"/>
    <w:semiHidden/>
    <w:rsid w:val="008671D5"/>
    <w:rPr>
      <w:rFonts w:ascii="Trebuchet MS" w:eastAsiaTheme="majorEastAsia" w:hAnsi="Trebuchet MS" w:cstheme="majorBidi"/>
      <w:color w:val="1F3864" w:themeColor="accent1" w:themeShade="80"/>
      <w:sz w:val="24"/>
      <w:szCs w:val="24"/>
    </w:rPr>
  </w:style>
  <w:style w:type="paragraph" w:styleId="Footer">
    <w:name w:val="footer"/>
    <w:basedOn w:val="Normal"/>
    <w:link w:val="FooterChar"/>
    <w:uiPriority w:val="99"/>
    <w:unhideWhenUsed/>
    <w:rsid w:val="008671D5"/>
    <w:pPr>
      <w:tabs>
        <w:tab w:val="clear" w:pos="567"/>
        <w:tab w:val="center" w:pos="4513"/>
        <w:tab w:val="right" w:pos="9026"/>
      </w:tabs>
      <w:spacing w:line="240" w:lineRule="auto"/>
    </w:pPr>
    <w:rPr>
      <w:sz w:val="18"/>
    </w:rPr>
  </w:style>
  <w:style w:type="character" w:customStyle="1" w:styleId="FooterChar">
    <w:name w:val="Footer Char"/>
    <w:basedOn w:val="DefaultParagraphFont"/>
    <w:link w:val="Footer"/>
    <w:uiPriority w:val="99"/>
    <w:rsid w:val="008671D5"/>
    <w:rPr>
      <w:rFonts w:ascii="Trebuchet MS" w:hAnsi="Trebuchet MS"/>
      <w:sz w:val="18"/>
    </w:rPr>
  </w:style>
  <w:style w:type="paragraph" w:styleId="TOC1">
    <w:name w:val="toc 1"/>
    <w:basedOn w:val="Normal"/>
    <w:next w:val="Normal"/>
    <w:autoRedefine/>
    <w:uiPriority w:val="39"/>
    <w:unhideWhenUsed/>
    <w:rsid w:val="008671D5"/>
    <w:pPr>
      <w:tabs>
        <w:tab w:val="clear" w:pos="567"/>
      </w:tabs>
      <w:spacing w:after="120"/>
    </w:pPr>
    <w:rPr>
      <w:color w:val="002060"/>
    </w:rPr>
  </w:style>
  <w:style w:type="paragraph" w:styleId="TOC2">
    <w:name w:val="toc 2"/>
    <w:basedOn w:val="Normal"/>
    <w:next w:val="Normal"/>
    <w:autoRedefine/>
    <w:uiPriority w:val="39"/>
    <w:unhideWhenUsed/>
    <w:rsid w:val="008671D5"/>
    <w:pPr>
      <w:tabs>
        <w:tab w:val="clear" w:pos="567"/>
      </w:tabs>
      <w:ind w:left="221"/>
    </w:pPr>
    <w:rPr>
      <w:rFonts w:eastAsiaTheme="minorEastAsia" w:cs="Times New Roman"/>
      <w:color w:val="002060"/>
      <w:sz w:val="20"/>
      <w:lang w:val="en-US"/>
    </w:rPr>
  </w:style>
  <w:style w:type="paragraph" w:styleId="TableofFigures">
    <w:name w:val="table of figures"/>
    <w:basedOn w:val="Normal"/>
    <w:next w:val="Normal"/>
    <w:uiPriority w:val="99"/>
    <w:unhideWhenUsed/>
    <w:rsid w:val="008671D5"/>
    <w:pPr>
      <w:tabs>
        <w:tab w:val="clear" w:pos="567"/>
      </w:tabs>
      <w:spacing w:after="120"/>
    </w:pPr>
    <w:rPr>
      <w:color w:val="002060"/>
    </w:rPr>
  </w:style>
  <w:style w:type="table" w:styleId="TableGrid">
    <w:name w:val="Table Grid"/>
    <w:basedOn w:val="TableNormal"/>
    <w:uiPriority w:val="39"/>
    <w:rsid w:val="008671D5"/>
    <w:pPr>
      <w:spacing w:after="0" w:line="240" w:lineRule="auto"/>
    </w:pPr>
    <w:rPr>
      <w:rFonts w:ascii="Trebuchet MS" w:hAnsi="Trebuchet MS"/>
      <w:sz w:val="24"/>
    </w:rPr>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cPr>
      <w:vAlign w:val="center"/>
    </w:tcPr>
  </w:style>
  <w:style w:type="paragraph" w:styleId="Header">
    <w:name w:val="header"/>
    <w:basedOn w:val="Normal"/>
    <w:link w:val="HeaderChar"/>
    <w:uiPriority w:val="99"/>
    <w:unhideWhenUsed/>
    <w:rsid w:val="008671D5"/>
    <w:pPr>
      <w:tabs>
        <w:tab w:val="clear" w:pos="567"/>
        <w:tab w:val="center" w:pos="4513"/>
        <w:tab w:val="right" w:pos="9026"/>
      </w:tabs>
      <w:spacing w:line="240" w:lineRule="auto"/>
    </w:pPr>
  </w:style>
  <w:style w:type="character" w:customStyle="1" w:styleId="HeaderChar">
    <w:name w:val="Header Char"/>
    <w:basedOn w:val="DefaultParagraphFont"/>
    <w:link w:val="Header"/>
    <w:uiPriority w:val="99"/>
    <w:rsid w:val="008671D5"/>
    <w:rPr>
      <w:rFonts w:ascii="Trebuchet MS" w:hAnsi="Trebuchet MS"/>
      <w:sz w:val="24"/>
    </w:rPr>
  </w:style>
  <w:style w:type="paragraph" w:styleId="TOCHeading">
    <w:name w:val="TOC Heading"/>
    <w:basedOn w:val="Heading1"/>
    <w:next w:val="Normal"/>
    <w:uiPriority w:val="39"/>
    <w:unhideWhenUsed/>
    <w:qFormat/>
    <w:rsid w:val="008671D5"/>
    <w:pPr>
      <w:tabs>
        <w:tab w:val="clear" w:pos="567"/>
      </w:tabs>
      <w:spacing w:before="120"/>
      <w:outlineLvl w:val="9"/>
    </w:pPr>
    <w:rPr>
      <w:lang w:val="en-US"/>
    </w:rPr>
  </w:style>
  <w:style w:type="character" w:styleId="Hyperlink">
    <w:name w:val="Hyperlink"/>
    <w:basedOn w:val="DefaultParagraphFont"/>
    <w:uiPriority w:val="99"/>
    <w:unhideWhenUsed/>
    <w:rsid w:val="008671D5"/>
    <w:rPr>
      <w:color w:val="0563C1" w:themeColor="hyperlink"/>
      <w:u w:val="single"/>
    </w:rPr>
  </w:style>
  <w:style w:type="character" w:styleId="PlaceholderText">
    <w:name w:val="Placeholder Text"/>
    <w:basedOn w:val="DefaultParagraphFont"/>
    <w:uiPriority w:val="99"/>
    <w:semiHidden/>
    <w:rsid w:val="008671D5"/>
    <w:rPr>
      <w:color w:val="808080"/>
    </w:rPr>
  </w:style>
  <w:style w:type="paragraph" w:customStyle="1" w:styleId="TableText">
    <w:name w:val="Table Text"/>
    <w:basedOn w:val="Normal"/>
    <w:link w:val="TableTextChar"/>
    <w:uiPriority w:val="39"/>
    <w:qFormat/>
    <w:rsid w:val="008671D5"/>
    <w:pPr>
      <w:spacing w:line="240" w:lineRule="auto"/>
    </w:pPr>
    <w:rPr>
      <w:sz w:val="22"/>
    </w:rPr>
  </w:style>
  <w:style w:type="character" w:customStyle="1" w:styleId="TableTextChar">
    <w:name w:val="Table Text Char"/>
    <w:basedOn w:val="DefaultParagraphFont"/>
    <w:link w:val="TableText"/>
    <w:uiPriority w:val="39"/>
    <w:rsid w:val="008671D5"/>
    <w:rPr>
      <w:rFonts w:ascii="Trebuchet MS" w:hAnsi="Trebuchet MS"/>
    </w:rPr>
  </w:style>
  <w:style w:type="paragraph" w:styleId="FootnoteText">
    <w:name w:val="footnote text"/>
    <w:basedOn w:val="Normal"/>
    <w:link w:val="FootnoteTextChar"/>
    <w:uiPriority w:val="99"/>
    <w:semiHidden/>
    <w:unhideWhenUsed/>
    <w:rsid w:val="008671D5"/>
    <w:pPr>
      <w:spacing w:line="240" w:lineRule="auto"/>
    </w:pPr>
    <w:rPr>
      <w:sz w:val="20"/>
      <w:szCs w:val="20"/>
    </w:rPr>
  </w:style>
  <w:style w:type="character" w:customStyle="1" w:styleId="FootnoteTextChar">
    <w:name w:val="Footnote Text Char"/>
    <w:basedOn w:val="DefaultParagraphFont"/>
    <w:link w:val="FootnoteText"/>
    <w:uiPriority w:val="99"/>
    <w:semiHidden/>
    <w:rsid w:val="008671D5"/>
    <w:rPr>
      <w:rFonts w:ascii="Trebuchet MS" w:hAnsi="Trebuchet MS"/>
      <w:sz w:val="20"/>
      <w:szCs w:val="20"/>
    </w:rPr>
  </w:style>
  <w:style w:type="paragraph" w:styleId="Caption">
    <w:name w:val="caption"/>
    <w:basedOn w:val="Normal"/>
    <w:next w:val="Normal"/>
    <w:uiPriority w:val="35"/>
    <w:unhideWhenUsed/>
    <w:qFormat/>
    <w:rsid w:val="00F5116A"/>
    <w:pPr>
      <w:spacing w:after="200" w:line="240" w:lineRule="auto"/>
    </w:pPr>
    <w:rPr>
      <w:i/>
      <w:iCs/>
      <w:color w:val="44546A" w:themeColor="text2"/>
      <w:sz w:val="18"/>
      <w:szCs w:val="18"/>
    </w:rPr>
  </w:style>
  <w:style w:type="character" w:styleId="FootnoteReference">
    <w:name w:val="footnote reference"/>
    <w:basedOn w:val="DefaultParagraphFont"/>
    <w:uiPriority w:val="99"/>
    <w:semiHidden/>
    <w:unhideWhenUsed/>
    <w:rsid w:val="008671D5"/>
    <w:rPr>
      <w:vertAlign w:val="superscript"/>
    </w:rPr>
  </w:style>
  <w:style w:type="paragraph" w:styleId="HTMLPreformatted">
    <w:name w:val="HTML Preformatted"/>
    <w:basedOn w:val="Normal"/>
    <w:link w:val="HTMLPreformattedChar"/>
    <w:uiPriority w:val="99"/>
    <w:semiHidden/>
    <w:unhideWhenUsed/>
    <w:rsid w:val="005C5643"/>
    <w:pPr>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C5643"/>
    <w:rPr>
      <w:rFonts w:ascii="Courier New" w:eastAsia="Times New Roman" w:hAnsi="Courier New" w:cs="Courier New"/>
      <w:sz w:val="20"/>
      <w:szCs w:val="20"/>
      <w:lang w:eastAsia="en-GB"/>
    </w:rPr>
  </w:style>
  <w:style w:type="character" w:customStyle="1" w:styleId="gnd-iwgdh3b">
    <w:name w:val="gnd-iwgdh3b"/>
    <w:basedOn w:val="DefaultParagraphFont"/>
    <w:rsid w:val="005C5643"/>
  </w:style>
  <w:style w:type="character" w:customStyle="1" w:styleId="gnd-iwgdo3b">
    <w:name w:val="gnd-iwgdo3b"/>
    <w:basedOn w:val="DefaultParagraphFont"/>
    <w:rsid w:val="005C5643"/>
  </w:style>
  <w:style w:type="character" w:customStyle="1" w:styleId="gnd-iwgdn2b">
    <w:name w:val="gnd-iwgdn2b"/>
    <w:basedOn w:val="DefaultParagraphFont"/>
    <w:rsid w:val="005C5643"/>
  </w:style>
  <w:style w:type="paragraph" w:styleId="Bibliography">
    <w:name w:val="Bibliography"/>
    <w:basedOn w:val="Normal"/>
    <w:next w:val="Normal"/>
    <w:uiPriority w:val="37"/>
    <w:unhideWhenUsed/>
    <w:rsid w:val="00ED56E3"/>
    <w:pPr>
      <w:tabs>
        <w:tab w:val="clear" w:pos="567"/>
      </w:tabs>
      <w:spacing w:line="240" w:lineRule="auto"/>
      <w:ind w:left="720" w:hanging="720"/>
    </w:pPr>
  </w:style>
  <w:style w:type="character" w:styleId="UnresolvedMention">
    <w:name w:val="Unresolved Mention"/>
    <w:basedOn w:val="DefaultParagraphFont"/>
    <w:uiPriority w:val="99"/>
    <w:semiHidden/>
    <w:unhideWhenUsed/>
    <w:rsid w:val="00847D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22847">
      <w:bodyDiv w:val="1"/>
      <w:marLeft w:val="0"/>
      <w:marRight w:val="0"/>
      <w:marTop w:val="0"/>
      <w:marBottom w:val="0"/>
      <w:divBdr>
        <w:top w:val="none" w:sz="0" w:space="0" w:color="auto"/>
        <w:left w:val="none" w:sz="0" w:space="0" w:color="auto"/>
        <w:bottom w:val="none" w:sz="0" w:space="0" w:color="auto"/>
        <w:right w:val="none" w:sz="0" w:space="0" w:color="auto"/>
      </w:divBdr>
    </w:div>
    <w:div w:id="191571698">
      <w:bodyDiv w:val="1"/>
      <w:marLeft w:val="0"/>
      <w:marRight w:val="0"/>
      <w:marTop w:val="0"/>
      <w:marBottom w:val="0"/>
      <w:divBdr>
        <w:top w:val="none" w:sz="0" w:space="0" w:color="auto"/>
        <w:left w:val="none" w:sz="0" w:space="0" w:color="auto"/>
        <w:bottom w:val="none" w:sz="0" w:space="0" w:color="auto"/>
        <w:right w:val="none" w:sz="0" w:space="0" w:color="auto"/>
      </w:divBdr>
    </w:div>
    <w:div w:id="247926334">
      <w:bodyDiv w:val="1"/>
      <w:marLeft w:val="0"/>
      <w:marRight w:val="0"/>
      <w:marTop w:val="0"/>
      <w:marBottom w:val="0"/>
      <w:divBdr>
        <w:top w:val="none" w:sz="0" w:space="0" w:color="auto"/>
        <w:left w:val="none" w:sz="0" w:space="0" w:color="auto"/>
        <w:bottom w:val="none" w:sz="0" w:space="0" w:color="auto"/>
        <w:right w:val="none" w:sz="0" w:space="0" w:color="auto"/>
      </w:divBdr>
    </w:div>
    <w:div w:id="951087549">
      <w:bodyDiv w:val="1"/>
      <w:marLeft w:val="0"/>
      <w:marRight w:val="0"/>
      <w:marTop w:val="0"/>
      <w:marBottom w:val="0"/>
      <w:divBdr>
        <w:top w:val="none" w:sz="0" w:space="0" w:color="auto"/>
        <w:left w:val="none" w:sz="0" w:space="0" w:color="auto"/>
        <w:bottom w:val="none" w:sz="0" w:space="0" w:color="auto"/>
        <w:right w:val="none" w:sz="0" w:space="0" w:color="auto"/>
      </w:divBdr>
    </w:div>
    <w:div w:id="1020669679">
      <w:bodyDiv w:val="1"/>
      <w:marLeft w:val="0"/>
      <w:marRight w:val="0"/>
      <w:marTop w:val="0"/>
      <w:marBottom w:val="0"/>
      <w:divBdr>
        <w:top w:val="none" w:sz="0" w:space="0" w:color="auto"/>
        <w:left w:val="none" w:sz="0" w:space="0" w:color="auto"/>
        <w:bottom w:val="none" w:sz="0" w:space="0" w:color="auto"/>
        <w:right w:val="none" w:sz="0" w:space="0" w:color="auto"/>
      </w:divBdr>
    </w:div>
    <w:div w:id="1629312650">
      <w:bodyDiv w:val="1"/>
      <w:marLeft w:val="0"/>
      <w:marRight w:val="0"/>
      <w:marTop w:val="0"/>
      <w:marBottom w:val="0"/>
      <w:divBdr>
        <w:top w:val="none" w:sz="0" w:space="0" w:color="auto"/>
        <w:left w:val="none" w:sz="0" w:space="0" w:color="auto"/>
        <w:bottom w:val="none" w:sz="0" w:space="0" w:color="auto"/>
        <w:right w:val="none" w:sz="0" w:space="0" w:color="auto"/>
      </w:divBdr>
    </w:div>
    <w:div w:id="1652322941">
      <w:bodyDiv w:val="1"/>
      <w:marLeft w:val="0"/>
      <w:marRight w:val="0"/>
      <w:marTop w:val="0"/>
      <w:marBottom w:val="0"/>
      <w:divBdr>
        <w:top w:val="none" w:sz="0" w:space="0" w:color="auto"/>
        <w:left w:val="none" w:sz="0" w:space="0" w:color="auto"/>
        <w:bottom w:val="none" w:sz="0" w:space="0" w:color="auto"/>
        <w:right w:val="none" w:sz="0" w:space="0" w:color="auto"/>
      </w:divBdr>
    </w:div>
    <w:div w:id="1991979795">
      <w:bodyDiv w:val="1"/>
      <w:marLeft w:val="0"/>
      <w:marRight w:val="0"/>
      <w:marTop w:val="0"/>
      <w:marBottom w:val="0"/>
      <w:divBdr>
        <w:top w:val="none" w:sz="0" w:space="0" w:color="auto"/>
        <w:left w:val="none" w:sz="0" w:space="0" w:color="auto"/>
        <w:bottom w:val="none" w:sz="0" w:space="0" w:color="auto"/>
        <w:right w:val="none" w:sz="0" w:space="0" w:color="auto"/>
      </w:divBdr>
    </w:div>
    <w:div w:id="206382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Ward\OneDrive%20-%20Paul%20Ward\Documents\Custom%20Office%20Templates\Academic%20Paper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986D1-6E71-4C25-9D04-8E8415D3E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Academic Papers</Template>
  <TotalTime>2</TotalTime>
  <Pages>17</Pages>
  <Words>8087</Words>
  <Characters>49741</Characters>
  <Application>Microsoft Office Word</Application>
  <DocSecurity>0</DocSecurity>
  <Lines>1381</Lines>
  <Paragraphs>535</Paragraphs>
  <ScaleCrop>false</ScaleCrop>
  <Company/>
  <LinksUpToDate>false</LinksUpToDate>
  <CharactersWithSpaces>57293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Ward</dc:creator>
  <cp:keywords/>
  <dc:description/>
  <cp:lastModifiedBy>Paul Ward</cp:lastModifiedBy>
  <cp:revision>2</cp:revision>
  <dcterms:created xsi:type="dcterms:W3CDTF">2024-06-21T12:56:00Z</dcterms:created>
  <dcterms:modified xsi:type="dcterms:W3CDTF">2024-06-21T12:56:00Z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4d0fffd3-9b85-322d-b53f-e48297769378</vt:lpwstr>
  </property>
  <property fmtid="{D5CDD505-2E9C-101B-9397-08002B2CF9AE}" pid="25" name="GrammarlyDocumentId">
    <vt:lpwstr>dfeb3e11-f580-4288-9859-49d0cc9f3bb6</vt:lpwstr>
  </property>
  <property fmtid="{D5CDD505-2E9C-101B-9397-08002B2CF9AE}" pid="26" name="ZOTERO_PREF_1">
    <vt:lpwstr>&lt;data data-version="3" zotero-version="6.0.26"&gt;&lt;session id="osZBslSr"/&gt;&lt;style id="http://www.zotero.org/styles/chicago-author-date" locale="en-GB" hasBibliography="1" bibliographyStyleHasBeenSet="1"/&gt;&lt;prefs&gt;&lt;pref name="fieldType" value="Field"/&gt;&lt;/prefs&gt;&lt;/</vt:lpwstr>
  </property>
  <property fmtid="{D5CDD505-2E9C-101B-9397-08002B2CF9AE}" pid="27" name="ZOTERO_PREF_2">
    <vt:lpwstr>data&gt;</vt:lpwstr>
  </property>
</Properties>
</file>