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p14">
  <w:body>
    <w:p>
      <w:pPr>
        <w:spacing w:before="0" w:after="60" w:line="264" w:lineRule="auto"/>
      </w:pPr>
      <w:r>
        <w:rPr>
          <w:rFonts w:ascii="Calibri" w:hAnsi="Calibri"/>
          <w:b/>
          <w:i w:val="0"/>
          <w:color w:val="0B2545"/>
          <w:sz w:val="48"/>
        </w:rPr>
        <w:t>Consent Management Platform Review</w:t>
      </w:r>
    </w:p>
    <w:p>
      <w:pPr>
        <w:spacing w:before="0" w:after="200" w:line="264" w:lineRule="auto"/>
      </w:pPr>
      <w:r>
        <w:rPr>
          <w:rFonts w:ascii="Calibri" w:hAnsi="Calibri"/>
          <w:b w:val="0"/>
          <w:i w:val="0"/>
          <w:color w:val="475569"/>
          <w:sz w:val="26"/>
        </w:rPr>
        <w:t>Do we need a CMP for the current PWI website?</w:t>
      </w:r>
    </w:p>
    <w:tbl>
      <w:tblPr>
        <w:tblStyle w:val="TableGrid"/>
        <w:tblW w:type="dxa" w:w="9360"/>
        <w:jc w:val="left"/>
        <w:tblLook w:firstColumn="1" w:firstRow="1" w:lastColumn="0" w:lastRow="0" w:noHBand="0" w:noVBand="1" w:val="04A0"/>
        <w:tblInd w:w="0" w:type="dxa"/>
      </w:tblPr>
      <w:tblGrid>
        <w:gridCol w:w="9360"/>
      </w:tblGrid>
      <w:tr>
        <w:tc>
          <w:tcPr>
            <w:tcW w:type="dxa" w:w="9360"/>
            <w:tcMar>
              <w:top w:w="90" w:type="dxa"/>
              <w:start w:w="140" w:type="dxa"/>
              <w:bottom w:w="90" w:type="dxa"/>
              <w:end w:w="140" w:type="dxa"/>
            </w:tcMar>
            <w:vAlign w:val="center"/>
            <w:shd w:fill="E8EEF5"/>
          </w:tcPr>
          <w:p>
            <w:pPr>
              <w:spacing w:after="60"/>
            </w:pPr>
            <w:r>
              <w:rPr>
                <w:rFonts w:ascii="Calibri" w:hAnsi="Calibri"/>
                <w:b/>
                <w:i w:val="0"/>
                <w:color w:val="0B2545"/>
                <w:sz w:val="22"/>
              </w:rPr>
              <w:t>Bottom Line</w:t>
            </w:r>
          </w:p>
          <w:p>
            <w:pPr>
              <w:spacing w:after="0"/>
            </w:pPr>
            <w:r>
              <w:rPr>
                <w:rFonts w:ascii="Calibri" w:hAnsi="Calibri"/>
                <w:b w:val="0"/>
                <w:i w:val="0"/>
                <w:color w:val="1F2937"/>
                <w:sz w:val="21"/>
              </w:rPr>
              <w:t>Based on the current website setup, a paid Consent Management Platform does not appear technically necessary. The site appears to use GA4 only and already stores consent locally before enabling analytics. However, if PWI needs formal proof of consent, audit logs, automated cookie scans, or legal/vendor-backed compliance documentation, then a CMP would be appropriate.</w:t>
            </w:r>
          </w:p>
        </w:tc>
      </w:tr>
    </w:tbl>
    <w:p>
      <w:pPr>
        <w:spacing w:before="0" w:after="60" w:line="264" w:lineRule="auto"/>
      </w:pPr>
    </w:p>
    <w:p>
      <w:pPr>
        <w:pStyle w:val="Heading1"/>
        <w:spacing w:before="320" w:after="120"/>
      </w:pPr>
      <w:r>
        <w:rPr>
          <w:rFonts w:ascii="Calibri" w:hAnsi="Calibri"/>
          <w:b/>
          <w:i w:val="0"/>
          <w:color w:val="2E74B5"/>
          <w:sz w:val="32"/>
        </w:rPr>
        <w:t>Confidence Level</w:t>
      </w:r>
    </w:p>
    <w:p>
      <w:pPr>
        <w:spacing w:before="0" w:after="120" w:line="264" w:lineRule="auto"/>
      </w:pPr>
      <w:r>
        <w:rPr>
          <w:rFonts w:ascii="Calibri" w:hAnsi="Calibri"/>
          <w:b w:val="0"/>
          <w:i w:val="0"/>
          <w:color w:val="1F2937"/>
          <w:sz w:val="22"/>
        </w:rPr>
        <w:t>I am confident in the technical facts below. I would not describe the legal conclusion as 100% guaranteed, because only PWI's attorney can sign off on legal exposure, contract obligations, and jurisdiction-specific compliance requirements.</w:t>
      </w:r>
    </w:p>
    <w:p>
      <w:pPr>
        <w:pStyle w:val="ListBullet"/>
        <w:spacing w:before="0" w:after="100" w:line="269" w:lineRule="auto"/>
      </w:pPr>
      <w:r>
        <w:rPr>
          <w:rFonts w:ascii="Calibri" w:hAnsi="Calibri"/>
          <w:b w:val="0"/>
          <w:i w:val="0"/>
          <w:color w:val="1F2937"/>
          <w:sz w:val="21"/>
        </w:rPr>
        <w:t>High confidence: GA4 is the only obvious third-party tracker found in the current site files.</w:t>
      </w:r>
    </w:p>
    <w:p>
      <w:pPr>
        <w:pStyle w:val="ListBullet"/>
        <w:spacing w:before="0" w:after="100" w:line="269" w:lineRule="auto"/>
      </w:pPr>
      <w:r>
        <w:rPr>
          <w:rFonts w:ascii="Calibri" w:hAnsi="Calibri"/>
          <w:b w:val="0"/>
          <w:i w:val="0"/>
          <w:color w:val="1F2937"/>
          <w:sz w:val="21"/>
        </w:rPr>
        <w:t>High confidence: the consent choice is stored in the visitor's browser as pwi_cookie_consent in localStorage.</w:t>
      </w:r>
    </w:p>
    <w:p>
      <w:pPr>
        <w:pStyle w:val="ListBullet"/>
        <w:spacing w:before="0" w:after="100" w:line="269" w:lineRule="auto"/>
      </w:pPr>
      <w:r>
        <w:rPr>
          <w:rFonts w:ascii="Calibri" w:hAnsi="Calibri"/>
          <w:b w:val="0"/>
          <w:i w:val="0"/>
          <w:color w:val="1F2937"/>
          <w:sz w:val="21"/>
        </w:rPr>
        <w:t>High confidence: PWI does not currently receive or store a server-side consent log from the custom banner.</w:t>
      </w:r>
    </w:p>
    <w:p>
      <w:pPr>
        <w:pStyle w:val="ListBullet"/>
        <w:spacing w:before="0" w:after="100" w:line="269" w:lineRule="auto"/>
      </w:pPr>
      <w:r>
        <w:rPr>
          <w:rFonts w:ascii="Calibri" w:hAnsi="Calibri"/>
          <w:b w:val="0"/>
          <w:i w:val="0"/>
          <w:color w:val="1F2937"/>
          <w:sz w:val="21"/>
        </w:rPr>
        <w:t>High confidence: a CMP would add hosted consent records, audit trails, automated scans, and vendor-managed compliance features.</w:t>
      </w:r>
    </w:p>
    <w:p>
      <w:pPr>
        <w:pStyle w:val="ListBullet"/>
        <w:spacing w:before="0" w:after="100" w:line="269" w:lineRule="auto"/>
      </w:pPr>
      <w:r>
        <w:rPr>
          <w:rFonts w:ascii="Calibri" w:hAnsi="Calibri"/>
          <w:b w:val="0"/>
          <w:i w:val="0"/>
          <w:color w:val="1F2937"/>
          <w:sz w:val="21"/>
        </w:rPr>
        <w:t>Practical recommendation, not legal certification: PWI probably does not need a paid CMP for the current GA4-only setup unless audit proof or legal/vendor documentation is required.</w:t>
      </w:r>
    </w:p>
    <w:p>
      <w:pPr>
        <w:pStyle w:val="Heading1"/>
        <w:spacing w:before="320" w:after="120"/>
      </w:pPr>
      <w:r>
        <w:rPr>
          <w:rFonts w:ascii="Calibri" w:hAnsi="Calibri"/>
          <w:b/>
          <w:i w:val="0"/>
          <w:color w:val="2E74B5"/>
          <w:sz w:val="32"/>
        </w:rPr>
        <w:t>What the Current Site Already Has</w:t>
      </w:r>
    </w:p>
    <w:p>
      <w:pPr>
        <w:pStyle w:val="ListBullet"/>
        <w:spacing w:before="0" w:after="100" w:line="269" w:lineRule="auto"/>
      </w:pPr>
      <w:r>
        <w:rPr>
          <w:rFonts w:ascii="Calibri" w:hAnsi="Calibri"/>
          <w:b w:val="0"/>
          <w:i w:val="0"/>
          <w:color w:val="1F2937"/>
          <w:sz w:val="21"/>
        </w:rPr>
        <w:t>Google Analytics 4 is present with measurement ID G-PFX0VN5076.</w:t>
      </w:r>
    </w:p>
    <w:p>
      <w:pPr>
        <w:pStyle w:val="ListBullet"/>
        <w:spacing w:before="0" w:after="100" w:line="269" w:lineRule="auto"/>
      </w:pPr>
      <w:r>
        <w:rPr>
          <w:rFonts w:ascii="Calibri" w:hAnsi="Calibri"/>
          <w:b w:val="0"/>
          <w:i w:val="0"/>
          <w:color w:val="1F2937"/>
          <w:sz w:val="21"/>
        </w:rPr>
        <w:t>The site sets Google consent defaults with analytics_storage denied.</w:t>
      </w:r>
    </w:p>
    <w:p>
      <w:pPr>
        <w:pStyle w:val="ListBullet"/>
        <w:spacing w:before="0" w:after="100" w:line="269" w:lineRule="auto"/>
      </w:pPr>
      <w:r>
        <w:rPr>
          <w:rFonts w:ascii="Calibri" w:hAnsi="Calibri"/>
          <w:b w:val="0"/>
          <w:i w:val="0"/>
          <w:color w:val="1F2937"/>
          <w:sz w:val="21"/>
        </w:rPr>
        <w:t>The cookie banner allows visitors to accept, reject, or manage analytics and marketing preferences.</w:t>
      </w:r>
    </w:p>
    <w:p>
      <w:pPr>
        <w:pStyle w:val="ListBullet"/>
        <w:spacing w:before="0" w:after="100" w:line="269" w:lineRule="auto"/>
      </w:pPr>
      <w:r>
        <w:rPr>
          <w:rFonts w:ascii="Calibri" w:hAnsi="Calibri"/>
          <w:b w:val="0"/>
          <w:i w:val="0"/>
          <w:color w:val="1F2937"/>
          <w:sz w:val="21"/>
        </w:rPr>
        <w:t>The cookie policy explains the cookie categories, GA4 analytics use, and preference-management process.</w:t>
      </w:r>
    </w:p>
    <w:p>
      <w:pPr>
        <w:pStyle w:val="ListBullet"/>
        <w:spacing w:before="0" w:after="100" w:line="269" w:lineRule="auto"/>
      </w:pPr>
      <w:r>
        <w:rPr>
          <w:rFonts w:ascii="Calibri" w:hAnsi="Calibri"/>
          <w:b w:val="0"/>
          <w:i w:val="0"/>
          <w:color w:val="1F2937"/>
          <w:sz w:val="21"/>
        </w:rPr>
        <w:t>No obvious Meta Pixel, TikTok, HubSpot, ad retargeting, or marketing automation trackers were found in the scan.</w:t>
      </w:r>
    </w:p>
    <w:p>
      <w:pPr>
        <w:pStyle w:val="Heading1"/>
        <w:spacing w:before="320" w:after="120"/>
      </w:pPr>
      <w:r>
        <w:rPr>
          <w:rFonts w:ascii="Calibri" w:hAnsi="Calibri"/>
          <w:b/>
          <w:i w:val="0"/>
          <w:color w:val="2E74B5"/>
          <w:sz w:val="32"/>
        </w:rPr>
        <w:t>Where Consent Is Stored</w:t>
      </w:r>
    </w:p>
    <w:p>
      <w:pPr>
        <w:spacing w:before="0" w:after="120" w:line="264" w:lineRule="auto"/>
      </w:pPr>
      <w:r>
        <w:rPr>
          <w:rFonts w:ascii="Calibri" w:hAnsi="Calibri"/>
          <w:b w:val="0"/>
          <w:i w:val="0"/>
          <w:color w:val="1F2937"/>
          <w:sz w:val="22"/>
        </w:rPr>
        <w:t>The current consent record is stored only in the visitor's own browser. It is not a server-side database record and it is not a formal audit log that PWI can retrieve later.</w:t>
      </w:r>
    </w:p>
    <w:tbl>
      <w:tblPr>
        <w:tblStyle w:val="TableGrid"/>
        <w:tblW w:type="dxa" w:w="9360"/>
        <w:jc w:val="left"/>
        <w:tblLook w:firstColumn="1" w:firstRow="1" w:lastColumn="0" w:lastRow="0" w:noHBand="0" w:noVBand="1" w:val="04A0"/>
        <w:tblInd w:w="0" w:type="dxa"/>
      </w:tblPr>
      <w:tblGrid>
        <w:gridCol w:w="2300"/>
        <w:gridCol w:w="7060"/>
      </w:tblGrid>
      <w:tr>
        <w:tc>
          <w:tcPr>
            <w:tcW w:type="dxa" w:w="2300"/>
            <w:shd w:fill="F2F4F7"/>
            <w:tcMar>
              <w:top w:w="90" w:type="dxa"/>
              <w:start w:w="140" w:type="dxa"/>
              <w:bottom w:w="90" w:type="dxa"/>
              <w:end w:w="140" w:type="dxa"/>
            </w:tcMar>
            <w:vAlign w:val="center"/>
          </w:tcPr>
          <w:p>
            <w:pPr>
              <w:spacing w:after="0"/>
            </w:pPr>
            <w:r>
              <w:rPr>
                <w:rFonts w:ascii="Calibri" w:hAnsi="Calibri"/>
                <w:b/>
                <w:i w:val="0"/>
                <w:color w:val="0B2545"/>
                <w:sz w:val="21"/>
              </w:rPr>
              <w:t>Item</w:t>
            </w:r>
          </w:p>
        </w:tc>
        <w:tc>
          <w:tcPr>
            <w:tcW w:type="dxa" w:w="7060"/>
            <w:shd w:fill="F2F4F7"/>
            <w:tcMar>
              <w:top w:w="90" w:type="dxa"/>
              <w:start w:w="140" w:type="dxa"/>
              <w:bottom w:w="90" w:type="dxa"/>
              <w:end w:w="140" w:type="dxa"/>
            </w:tcMar>
            <w:vAlign w:val="center"/>
          </w:tcPr>
          <w:p>
            <w:pPr>
              <w:spacing w:after="0"/>
            </w:pPr>
            <w:r>
              <w:rPr>
                <w:rFonts w:ascii="Calibri" w:hAnsi="Calibri"/>
                <w:b/>
                <w:i w:val="0"/>
                <w:color w:val="0B2545"/>
                <w:sz w:val="21"/>
              </w:rPr>
              <w:t>Answer</w:t>
            </w:r>
          </w:p>
        </w:tc>
      </w:tr>
      <w:tr>
        <w:tc>
          <w:tcPr>
            <w:tcW w:type="dxa" w:w="2300"/>
            <w:tcMar>
              <w:top w:w="90" w:type="dxa"/>
              <w:start w:w="140" w:type="dxa"/>
              <w:bottom w:w="90" w:type="dxa"/>
              <w:end w:w="140" w:type="dxa"/>
            </w:tcMar>
            <w:vAlign w:val="center"/>
          </w:tcPr>
          <w:p>
            <w:pPr>
              <w:spacing w:after="0"/>
            </w:pPr>
            <w:r>
              <w:rPr>
                <w:rFonts w:ascii="Calibri" w:hAnsi="Calibri"/>
                <w:b/>
                <w:i w:val="0"/>
                <w:color w:val="1F2937"/>
                <w:sz w:val="20"/>
              </w:rPr>
              <w:t>Storage key</w:t>
            </w:r>
          </w:p>
        </w:tc>
        <w:tc>
          <w:tcPr>
            <w:tcW w:type="dxa" w:w="7060"/>
            <w:tcMar>
              <w:top w:w="90" w:type="dxa"/>
              <w:start w:w="140" w:type="dxa"/>
              <w:bottom w:w="90" w:type="dxa"/>
              <w:end w:w="140" w:type="dxa"/>
            </w:tcMar>
            <w:vAlign w:val="center"/>
          </w:tcPr>
          <w:p>
            <w:pPr>
              <w:spacing w:after="0"/>
            </w:pPr>
            <w:r>
              <w:rPr>
                <w:rFonts w:ascii="Calibri" w:hAnsi="Calibri"/>
                <w:b w:val="0"/>
                <w:i w:val="0"/>
                <w:color w:val="1F2937"/>
                <w:sz w:val="20"/>
              </w:rPr>
              <w:t>pwi_cookie_consent</w:t>
            </w:r>
          </w:p>
        </w:tc>
      </w:tr>
      <w:tr>
        <w:tc>
          <w:tcPr>
            <w:tcW w:type="dxa" w:w="2300"/>
            <w:tcMar>
              <w:top w:w="90" w:type="dxa"/>
              <w:start w:w="140" w:type="dxa"/>
              <w:bottom w:w="90" w:type="dxa"/>
              <w:end w:w="140" w:type="dxa"/>
            </w:tcMar>
            <w:vAlign w:val="center"/>
          </w:tcPr>
          <w:p>
            <w:pPr>
              <w:spacing w:after="0"/>
            </w:pPr>
            <w:r>
              <w:rPr>
                <w:rFonts w:ascii="Calibri" w:hAnsi="Calibri"/>
                <w:b/>
                <w:i w:val="0"/>
                <w:color w:val="1F2937"/>
                <w:sz w:val="20"/>
              </w:rPr>
              <w:t>Storage location</w:t>
            </w:r>
          </w:p>
        </w:tc>
        <w:tc>
          <w:tcPr>
            <w:tcW w:type="dxa" w:w="7060"/>
            <w:tcMar>
              <w:top w:w="90" w:type="dxa"/>
              <w:start w:w="140" w:type="dxa"/>
              <w:bottom w:w="90" w:type="dxa"/>
              <w:end w:w="140" w:type="dxa"/>
            </w:tcMar>
            <w:vAlign w:val="center"/>
          </w:tcPr>
          <w:p>
            <w:pPr>
              <w:spacing w:after="0"/>
            </w:pPr>
            <w:r>
              <w:rPr>
                <w:rFonts w:ascii="Calibri" w:hAnsi="Calibri"/>
                <w:b w:val="0"/>
                <w:i w:val="0"/>
                <w:color w:val="1F2937"/>
                <w:sz w:val="20"/>
              </w:rPr>
              <w:t>Visitor browser localStorage for the pwi-e.com domain</w:t>
            </w:r>
          </w:p>
        </w:tc>
      </w:tr>
      <w:tr>
        <w:tc>
          <w:tcPr>
            <w:tcW w:type="dxa" w:w="2300"/>
            <w:tcMar>
              <w:top w:w="90" w:type="dxa"/>
              <w:start w:w="140" w:type="dxa"/>
              <w:bottom w:w="90" w:type="dxa"/>
              <w:end w:w="140" w:type="dxa"/>
            </w:tcMar>
            <w:vAlign w:val="center"/>
          </w:tcPr>
          <w:p>
            <w:pPr>
              <w:spacing w:after="0"/>
            </w:pPr>
            <w:r>
              <w:rPr>
                <w:rFonts w:ascii="Calibri" w:hAnsi="Calibri"/>
                <w:b/>
                <w:i w:val="0"/>
                <w:color w:val="1F2937"/>
                <w:sz w:val="20"/>
              </w:rPr>
              <w:t>Sent to PWI server?</w:t>
            </w:r>
          </w:p>
        </w:tc>
        <w:tc>
          <w:tcPr>
            <w:tcW w:type="dxa" w:w="7060"/>
            <w:tcMar>
              <w:top w:w="90" w:type="dxa"/>
              <w:start w:w="140" w:type="dxa"/>
              <w:bottom w:w="90" w:type="dxa"/>
              <w:end w:w="140" w:type="dxa"/>
            </w:tcMar>
            <w:vAlign w:val="center"/>
          </w:tcPr>
          <w:p>
            <w:pPr>
              <w:spacing w:after="0"/>
            </w:pPr>
            <w:r>
              <w:rPr>
                <w:rFonts w:ascii="Calibri" w:hAnsi="Calibri"/>
                <w:b w:val="0"/>
                <w:i w:val="0"/>
                <w:color w:val="1F2937"/>
                <w:sz w:val="20"/>
              </w:rPr>
              <w:t>No. The consent record is not automatically transmitted to PWI.</w:t>
            </w:r>
          </w:p>
        </w:tc>
      </w:tr>
      <w:tr>
        <w:tc>
          <w:tcPr>
            <w:tcW w:type="dxa" w:w="2300"/>
            <w:tcMar>
              <w:top w:w="90" w:type="dxa"/>
              <w:start w:w="140" w:type="dxa"/>
              <w:bottom w:w="90" w:type="dxa"/>
              <w:end w:w="140" w:type="dxa"/>
            </w:tcMar>
            <w:vAlign w:val="center"/>
          </w:tcPr>
          <w:p>
            <w:pPr>
              <w:spacing w:after="0"/>
            </w:pPr>
            <w:r>
              <w:rPr>
                <w:rFonts w:ascii="Calibri" w:hAnsi="Calibri"/>
                <w:b/>
                <w:i w:val="0"/>
                <w:color w:val="1F2937"/>
                <w:sz w:val="20"/>
              </w:rPr>
              <w:t>Can PWI look it up later?</w:t>
            </w:r>
          </w:p>
        </w:tc>
        <w:tc>
          <w:tcPr>
            <w:tcW w:type="dxa" w:w="7060"/>
            <w:tcMar>
              <w:top w:w="90" w:type="dxa"/>
              <w:start w:w="140" w:type="dxa"/>
              <w:bottom w:w="90" w:type="dxa"/>
              <w:end w:w="140" w:type="dxa"/>
            </w:tcMar>
            <w:vAlign w:val="center"/>
          </w:tcPr>
          <w:p>
            <w:pPr>
              <w:spacing w:after="0"/>
            </w:pPr>
            <w:r>
              <w:rPr>
                <w:rFonts w:ascii="Calibri" w:hAnsi="Calibri"/>
                <w:b w:val="0"/>
                <w:i w:val="0"/>
                <w:color w:val="1F2937"/>
                <w:sz w:val="20"/>
              </w:rPr>
              <w:t>No. The current setup cannot prove that a specific visitor consented on a specific date.</w:t>
            </w:r>
          </w:p>
        </w:tc>
      </w:tr>
      <w:tr>
        <w:tc>
          <w:tcPr>
            <w:tcW w:type="dxa" w:w="2300"/>
            <w:tcMar>
              <w:top w:w="90" w:type="dxa"/>
              <w:start w:w="140" w:type="dxa"/>
              <w:bottom w:w="90" w:type="dxa"/>
              <w:end w:w="140" w:type="dxa"/>
            </w:tcMar>
            <w:vAlign w:val="center"/>
          </w:tcPr>
          <w:p>
            <w:pPr>
              <w:spacing w:after="0"/>
            </w:pPr>
            <w:r>
              <w:rPr>
                <w:rFonts w:ascii="Calibri" w:hAnsi="Calibri"/>
                <w:b/>
                <w:i w:val="0"/>
                <w:color w:val="1F2937"/>
                <w:sz w:val="20"/>
              </w:rPr>
              <w:t>If browser data is cleared</w:t>
            </w:r>
          </w:p>
        </w:tc>
        <w:tc>
          <w:tcPr>
            <w:tcW w:type="dxa" w:w="7060"/>
            <w:tcMar>
              <w:top w:w="90" w:type="dxa"/>
              <w:start w:w="140" w:type="dxa"/>
              <w:bottom w:w="90" w:type="dxa"/>
              <w:end w:w="140" w:type="dxa"/>
            </w:tcMar>
            <w:vAlign w:val="center"/>
          </w:tcPr>
          <w:p>
            <w:pPr>
              <w:spacing w:after="0"/>
            </w:pPr>
            <w:r>
              <w:rPr>
                <w:rFonts w:ascii="Calibri" w:hAnsi="Calibri"/>
                <w:b w:val="0"/>
                <w:i w:val="0"/>
                <w:color w:val="1F2937"/>
                <w:sz w:val="20"/>
              </w:rPr>
              <w:t>The local consent record is deleted and the banner can appear again.</w:t>
            </w:r>
          </w:p>
        </w:tc>
      </w:tr>
    </w:tbl>
    <w:p>
      <w:pPr>
        <w:spacing w:before="0" w:after="60" w:line="264" w:lineRule="auto"/>
      </w:pPr>
    </w:p>
    <w:p>
      <w:pPr>
        <w:pStyle w:val="Heading1"/>
        <w:spacing w:before="320" w:after="120"/>
      </w:pPr>
      <w:r>
        <w:rPr>
          <w:rFonts w:ascii="Calibri" w:hAnsi="Calibri"/>
          <w:b/>
          <w:i w:val="0"/>
          <w:color w:val="2E74B5"/>
          <w:sz w:val="32"/>
        </w:rPr>
        <w:t>What a CMP Would Add</w:t>
      </w:r>
    </w:p>
    <w:p>
      <w:pPr>
        <w:pStyle w:val="ListBullet"/>
        <w:spacing w:before="0" w:after="100" w:line="269" w:lineRule="auto"/>
      </w:pPr>
      <w:r>
        <w:rPr>
          <w:rFonts w:ascii="Calibri" w:hAnsi="Calibri"/>
          <w:b w:val="0"/>
          <w:i w:val="0"/>
          <w:color w:val="1F2937"/>
          <w:sz w:val="21"/>
        </w:rPr>
        <w:t>Hosted consent records with timestamps and audit trails.</w:t>
      </w:r>
    </w:p>
    <w:p>
      <w:pPr>
        <w:pStyle w:val="ListBullet"/>
        <w:spacing w:before="0" w:after="100" w:line="269" w:lineRule="auto"/>
      </w:pPr>
      <w:r>
        <w:rPr>
          <w:rFonts w:ascii="Calibri" w:hAnsi="Calibri"/>
          <w:b w:val="0"/>
          <w:i w:val="0"/>
          <w:color w:val="1F2937"/>
          <w:sz w:val="21"/>
        </w:rPr>
        <w:t>A way to document that a user or session accepted, rejected, or changed preferences.</w:t>
      </w:r>
    </w:p>
    <w:p>
      <w:pPr>
        <w:pStyle w:val="ListBullet"/>
        <w:spacing w:before="0" w:after="100" w:line="269" w:lineRule="auto"/>
      </w:pPr>
      <w:r>
        <w:rPr>
          <w:rFonts w:ascii="Calibri" w:hAnsi="Calibri"/>
          <w:b w:val="0"/>
          <w:i w:val="0"/>
          <w:color w:val="1F2937"/>
          <w:sz w:val="21"/>
        </w:rPr>
        <w:t>Automated cookie scanning to detect new scripts or cookies added later.</w:t>
      </w:r>
    </w:p>
    <w:p>
      <w:pPr>
        <w:pStyle w:val="ListBullet"/>
        <w:spacing w:before="0" w:after="100" w:line="269" w:lineRule="auto"/>
      </w:pPr>
      <w:r>
        <w:rPr>
          <w:rFonts w:ascii="Calibri" w:hAnsi="Calibri"/>
          <w:b w:val="0"/>
          <w:i w:val="0"/>
          <w:color w:val="1F2937"/>
          <w:sz w:val="21"/>
        </w:rPr>
        <w:t>Stronger script-blocking controls before consent is granted.</w:t>
      </w:r>
    </w:p>
    <w:p>
      <w:pPr>
        <w:pStyle w:val="ListBullet"/>
        <w:spacing w:before="0" w:after="100" w:line="269" w:lineRule="auto"/>
      </w:pPr>
      <w:r>
        <w:rPr>
          <w:rFonts w:ascii="Calibri" w:hAnsi="Calibri"/>
          <w:b w:val="0"/>
          <w:i w:val="0"/>
          <w:color w:val="1F2937"/>
          <w:sz w:val="21"/>
        </w:rPr>
        <w:t>Multi-language and jurisdiction-specific banner behavior for EU/UK or other privacy regimes.</w:t>
      </w:r>
    </w:p>
    <w:p>
      <w:pPr>
        <w:pStyle w:val="Heading1"/>
        <w:spacing w:before="320" w:after="120"/>
      </w:pPr>
      <w:r>
        <w:rPr>
          <w:rFonts w:ascii="Calibri" w:hAnsi="Calibri"/>
          <w:b/>
          <w:i w:val="0"/>
          <w:color w:val="2E74B5"/>
          <w:sz w:val="32"/>
        </w:rPr>
        <w:t>When PWI Should Consider a CMP</w:t>
      </w:r>
    </w:p>
    <w:p>
      <w:pPr>
        <w:pStyle w:val="ListBullet"/>
        <w:spacing w:before="0" w:after="100" w:line="269" w:lineRule="auto"/>
      </w:pPr>
      <w:r>
        <w:rPr>
          <w:rFonts w:ascii="Calibri" w:hAnsi="Calibri"/>
          <w:b w:val="0"/>
          <w:i w:val="0"/>
          <w:color w:val="1F2937"/>
          <w:sz w:val="21"/>
        </w:rPr>
        <w:t>If legal counsel, a customer, an auditor, or a contract requires proof of consent.</w:t>
      </w:r>
    </w:p>
    <w:p>
      <w:pPr>
        <w:pStyle w:val="ListBullet"/>
        <w:spacing w:before="0" w:after="100" w:line="269" w:lineRule="auto"/>
      </w:pPr>
      <w:r>
        <w:rPr>
          <w:rFonts w:ascii="Calibri" w:hAnsi="Calibri"/>
          <w:b w:val="0"/>
          <w:i w:val="0"/>
          <w:color w:val="1F2937"/>
          <w:sz w:val="21"/>
        </w:rPr>
        <w:t>If PWI adds retargeting pixels, ad conversion tags, CRM tracking, marketing automation, or more third-party tools.</w:t>
      </w:r>
    </w:p>
    <w:p>
      <w:pPr>
        <w:pStyle w:val="ListBullet"/>
        <w:spacing w:before="0" w:after="100" w:line="269" w:lineRule="auto"/>
      </w:pPr>
      <w:r>
        <w:rPr>
          <w:rFonts w:ascii="Calibri" w:hAnsi="Calibri"/>
          <w:b w:val="0"/>
          <w:i w:val="0"/>
          <w:color w:val="1F2937"/>
          <w:sz w:val="21"/>
        </w:rPr>
        <w:t>If PWI begins actively targeting EU/UK visitors or running international campaigns.</w:t>
      </w:r>
    </w:p>
    <w:p>
      <w:pPr>
        <w:pStyle w:val="ListBullet"/>
        <w:spacing w:before="0" w:after="100" w:line="269" w:lineRule="auto"/>
      </w:pPr>
      <w:r>
        <w:rPr>
          <w:rFonts w:ascii="Calibri" w:hAnsi="Calibri"/>
          <w:b w:val="0"/>
          <w:i w:val="0"/>
          <w:color w:val="1F2937"/>
          <w:sz w:val="21"/>
        </w:rPr>
        <w:t>If PWI wants automated cookie inventory reports instead of manual site reviews.</w:t>
      </w:r>
    </w:p>
    <w:p>
      <w:pPr>
        <w:pStyle w:val="ListBullet"/>
        <w:spacing w:before="0" w:after="100" w:line="269" w:lineRule="auto"/>
      </w:pPr>
      <w:r>
        <w:rPr>
          <w:rFonts w:ascii="Calibri" w:hAnsi="Calibri"/>
          <w:b w:val="0"/>
          <w:i w:val="0"/>
          <w:color w:val="1F2937"/>
          <w:sz w:val="21"/>
        </w:rPr>
        <w:t>If PWI wants a compliance vendor to maintain jurisdiction-specific banner behavior over time.</w:t>
      </w:r>
    </w:p>
    <w:p>
      <w:pPr>
        <w:pStyle w:val="Heading1"/>
        <w:spacing w:before="320" w:after="120"/>
      </w:pPr>
      <w:r>
        <w:rPr>
          <w:rFonts w:ascii="Calibri" w:hAnsi="Calibri"/>
          <w:b/>
          <w:i w:val="0"/>
          <w:color w:val="2E74B5"/>
          <w:sz w:val="32"/>
        </w:rPr>
        <w:t>Source-Backed Notes</w:t>
      </w:r>
    </w:p>
    <w:p>
      <w:pPr>
        <w:pStyle w:val="ListBullet"/>
        <w:spacing w:before="0" w:after="100" w:line="269" w:lineRule="auto"/>
      </w:pPr>
      <w:r>
        <w:rPr>
          <w:rFonts w:ascii="Calibri" w:hAnsi="Calibri"/>
          <w:b w:val="0"/>
          <w:i w:val="0"/>
          <w:color w:val="1F2937"/>
          <w:sz w:val="21"/>
        </w:rPr>
        <w:t>Google states that Consent Mode does not provide a consent banner or widget; it works with a site's banner or widget and adjusts tag behavior based on user choices.</w:t>
      </w:r>
    </w:p>
    <w:p>
      <w:pPr>
        <w:pStyle w:val="ListBullet"/>
        <w:spacing w:before="0" w:after="100" w:line="269" w:lineRule="auto"/>
      </w:pPr>
      <w:r>
        <w:rPr>
          <w:rFonts w:ascii="Calibri" w:hAnsi="Calibri"/>
          <w:b w:val="0"/>
          <w:i w:val="0"/>
          <w:color w:val="1F2937"/>
          <w:sz w:val="21"/>
        </w:rPr>
        <w:t>Google describes two Consent Mode approaches: basic mode blocks tags until banner interaction, while advanced mode loads tags with denied defaults and may send cookieless pings until consent is granted.</w:t>
      </w:r>
    </w:p>
    <w:p>
      <w:pPr>
        <w:pStyle w:val="ListBullet"/>
        <w:spacing w:before="0" w:after="100" w:line="269" w:lineRule="auto"/>
      </w:pPr>
      <w:r>
        <w:rPr>
          <w:rFonts w:ascii="Calibri" w:hAnsi="Calibri"/>
          <w:b w:val="0"/>
          <w:i w:val="0"/>
          <w:color w:val="1F2937"/>
          <w:sz w:val="21"/>
        </w:rPr>
        <w:t>ICO cookie guidance says non-essential cookie consent must be active, clear, and based on a positive user action.</w:t>
      </w:r>
    </w:p>
    <w:p>
      <w:pPr>
        <w:pStyle w:val="ListBullet"/>
        <w:spacing w:before="0" w:after="100" w:line="269" w:lineRule="auto"/>
      </w:pPr>
      <w:r>
        <w:rPr>
          <w:rFonts w:ascii="Calibri" w:hAnsi="Calibri"/>
          <w:b w:val="0"/>
          <w:i w:val="0"/>
          <w:color w:val="1F2937"/>
          <w:sz w:val="21"/>
        </w:rPr>
        <w:t>California DOJ states CCPA applies to for-profit businesses doing business in California that meet thresholds such as over $25M gross annual revenue, handling personal information of 100,000 or more California residents/households, or deriving 50% or more revenue from selling California residents' personal information.</w:t>
      </w:r>
    </w:p>
    <w:p>
      <w:pPr>
        <w:pStyle w:val="Heading1"/>
        <w:spacing w:before="320" w:after="120"/>
      </w:pPr>
      <w:r>
        <w:rPr>
          <w:rFonts w:ascii="Calibri" w:hAnsi="Calibri"/>
          <w:b/>
          <w:i w:val="0"/>
          <w:color w:val="2E74B5"/>
          <w:sz w:val="32"/>
        </w:rPr>
        <w:t>Suggested Internal Response</w:t>
      </w:r>
    </w:p>
    <w:tbl>
      <w:tblPr>
        <w:tblStyle w:val="TableGrid"/>
        <w:tblW w:type="dxa" w:w="9360"/>
        <w:jc w:val="left"/>
        <w:tblLook w:firstColumn="1" w:firstRow="1" w:lastColumn="0" w:lastRow="0" w:noHBand="0" w:noVBand="1" w:val="04A0"/>
        <w:tblInd w:w="0" w:type="dxa"/>
      </w:tblPr>
      <w:tblGrid>
        <w:gridCol w:w="9360"/>
      </w:tblGrid>
      <w:tr>
        <w:tc>
          <w:tcPr>
            <w:tcW w:type="dxa" w:w="9360"/>
            <w:tcMar>
              <w:top w:w="90" w:type="dxa"/>
              <w:start w:w="140" w:type="dxa"/>
              <w:bottom w:w="90" w:type="dxa"/>
              <w:end w:w="140" w:type="dxa"/>
            </w:tcMar>
            <w:vAlign w:val="center"/>
            <w:shd w:fill="F4F6F9"/>
          </w:tcPr>
          <w:p>
            <w:pPr>
              <w:spacing w:after="60"/>
            </w:pPr>
            <w:r>
              <w:rPr>
                <w:rFonts w:ascii="Calibri" w:hAnsi="Calibri"/>
                <w:b/>
                <w:i w:val="0"/>
                <w:color w:val="0B2545"/>
                <w:sz w:val="22"/>
              </w:rPr>
              <w:t>Plain-English Answer</w:t>
            </w:r>
          </w:p>
          <w:p>
            <w:pPr>
              <w:spacing w:after="0"/>
            </w:pPr>
            <w:r>
              <w:rPr>
                <w:rFonts w:ascii="Calibri" w:hAnsi="Calibri"/>
                <w:b w:val="0"/>
                <w:i w:val="0"/>
                <w:color w:val="1F2937"/>
                <w:sz w:val="21"/>
              </w:rPr>
              <w:t>We do not appear to need a paid CMP for the current GA4-only site. Consent is currently stored in the visitor's browser as pwi_cookie_consent in localStorage. PWI does not store or receive that record, so we do not have an audit trail. If the concern is basic cookie control, the custom banner is enough. If the concern is proof of consent or auditability, then a CMP is the right tool.</w:t>
            </w:r>
          </w:p>
        </w:tc>
      </w:tr>
    </w:tbl>
    <w:p>
      <w:pPr>
        <w:spacing w:before="0" w:after="60" w:line="264" w:lineRule="auto"/>
      </w:pPr>
    </w:p>
    <w:p>
      <w:pPr>
        <w:pStyle w:val="Heading1"/>
        <w:spacing w:before="320" w:after="120"/>
      </w:pPr>
      <w:r>
        <w:rPr>
          <w:rFonts w:ascii="Calibri" w:hAnsi="Calibri"/>
          <w:b/>
          <w:i w:val="0"/>
          <w:color w:val="2E74B5"/>
          <w:sz w:val="32"/>
        </w:rPr>
        <w:t>Sources Checked</w:t>
      </w:r>
    </w:p>
    <w:p>
      <w:pPr>
        <w:pStyle w:val="ListBullet"/>
        <w:spacing w:before="0" w:after="100" w:line="269" w:lineRule="auto"/>
      </w:pPr>
      <w:r>
        <w:rPr>
          <w:rFonts w:ascii="Calibri" w:hAnsi="Calibri"/>
          <w:b w:val="0"/>
          <w:i w:val="0"/>
          <w:color w:val="1F2937"/>
          <w:sz w:val="21"/>
        </w:rPr>
        <w:t>Google Consent Mode documentation: support.google.com/google-ads/answer/10000067</w:t>
      </w:r>
    </w:p>
    <w:p>
      <w:pPr>
        <w:pStyle w:val="ListBullet"/>
        <w:spacing w:before="0" w:after="100" w:line="269" w:lineRule="auto"/>
      </w:pPr>
      <w:r>
        <w:rPr>
          <w:rFonts w:ascii="Calibri" w:hAnsi="Calibri"/>
          <w:b w:val="0"/>
          <w:i w:val="0"/>
          <w:color w:val="1F2937"/>
          <w:sz w:val="21"/>
        </w:rPr>
        <w:t>ICO cookie guidance: ico.org.uk cookie and similar technologies guidance</w:t>
      </w:r>
    </w:p>
    <w:p>
      <w:pPr>
        <w:pStyle w:val="ListBullet"/>
        <w:spacing w:before="0" w:after="100" w:line="269" w:lineRule="auto"/>
      </w:pPr>
      <w:r>
        <w:rPr>
          <w:rFonts w:ascii="Calibri" w:hAnsi="Calibri"/>
          <w:b w:val="0"/>
          <w:i w:val="0"/>
          <w:color w:val="1F2937"/>
          <w:sz w:val="21"/>
        </w:rPr>
        <w:t>California DOJ CCPA page: oag.ca.gov/privacy/ccpa</w:t>
      </w:r>
    </w:p>
    <w:p>
      <w:pPr>
        <w:pStyle w:val="ListBullet"/>
        <w:spacing w:before="0" w:after="100" w:line="269" w:lineRule="auto"/>
      </w:pPr>
      <w:r>
        <w:rPr>
          <w:rFonts w:ascii="Calibri" w:hAnsi="Calibri"/>
          <w:b w:val="0"/>
          <w:i w:val="0"/>
          <w:color w:val="1F2937"/>
          <w:sz w:val="21"/>
        </w:rPr>
        <w:t>California Privacy Protection Agency regulations page: cppa.ca.gov/regulations</w:t>
      </w:r>
    </w:p>
    <w:sectPr w:rsidR="00FC693F" w:rsidRPr="0006063C" w:rsidSect="00034616">
      <w:headerReference w:type="default" ns2:id="rId9"/>
      <w:footerReference w:type="default" ns2:id="rId10"/>
      <w:pgSz w:w="12240" w:h="15840"/>
      <w:pgMar w:top="1224" w:right="1440" w:bottom="1224" w:left="144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4748B"/>
        <w:sz w:val="18"/>
      </w:rPr>
      <w:t>Updated June 17,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b w:val="0"/>
        <w:i w:val="0"/>
        <w:color w:val="64748B"/>
        <w:sz w:val="18"/>
      </w:rPr>
      <w:t>PWI, Inc. | Consent Management Platform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