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5046" w14:textId="77777777" w:rsidR="007B7A4A" w:rsidRPr="007B7A4A" w:rsidRDefault="007B7A4A" w:rsidP="007B7A4A">
      <w:r w:rsidRPr="007B7A4A">
        <w:t>Poniżej przedstawiono 10 przykładowych, kreatywnych propozycji rozwiązań wspierających pozytywne zarządzanie wpływem migracji osób z Ukrainy na sytuację demograficzną w Polsce w kontekście deglobalizacji:</w:t>
      </w:r>
    </w:p>
    <w:p w14:paraId="166A7343" w14:textId="77777777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Lokalne inkubatory integracji</w:t>
      </w:r>
      <w:r w:rsidRPr="007B7A4A">
        <w:t xml:space="preserve"> – tworzenie specjalnych ośrodków, które łączą funkcje edukacyjne, doradcze i kulturalne, ułatwiając migrantom szybkie wejście w życie społeczne i zawodowe (np. intensywne kursy językowe połączone z praktycznymi szkoleniami zawodowymi i warsztatami o polskiej kulturze).</w:t>
      </w:r>
    </w:p>
    <w:p w14:paraId="0CD47F0D" w14:textId="77777777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Partnerstwo miast bliźniaczych</w:t>
      </w:r>
      <w:r w:rsidRPr="007B7A4A">
        <w:t xml:space="preserve"> – zacieśnianie relacji między polskimi a ukraińskimi miastami położonymi blisko granicy. Wspólne programy wymiany młodzieży, specjalne „wakacyjne szkoły” kultury i języka oraz wspólne projekty biznesowe mogą sprzyjać stabilizacji i osiedlaniu się migrantów.</w:t>
      </w:r>
    </w:p>
    <w:p w14:paraId="4F1AC18E" w14:textId="55EFD3C8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Bony na lokalne produkty i usługi</w:t>
      </w:r>
      <w:r w:rsidRPr="007B7A4A">
        <w:t xml:space="preserve"> – oferowanie migrant</w:t>
      </w:r>
      <w:r>
        <w:t>om</w:t>
      </w:r>
      <w:r w:rsidRPr="007B7A4A">
        <w:t xml:space="preserve"> pakietów startowych z bonami na lokalne usługi (np. wizyty u lekarza, opiekę nad dziećmi, zniżki na bilety komunikacji miejskiej, wydarzenia kulturalne). W ten sposób wspiera się zarówno integrację migrantów, jak i lokalną gospodarkę.</w:t>
      </w:r>
    </w:p>
    <w:p w14:paraId="50804864" w14:textId="77777777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System mentorów rodziny</w:t>
      </w:r>
      <w:r w:rsidRPr="007B7A4A">
        <w:t xml:space="preserve"> – polskie rodziny wolontariuszy mogłyby pełnić rolę „przewodników” dla nowo przybyłych rodzin z Ukrainy, pomagając im w zrozumieniu lokalnych realiów, formalności, systemu szkolnictwa, a nawet w budowaniu sieci znajomych.</w:t>
      </w:r>
    </w:p>
    <w:p w14:paraId="6465FC11" w14:textId="77777777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Rządowe kursy przekwalifikowania dla zawodów deficytowych</w:t>
      </w:r>
      <w:r w:rsidRPr="007B7A4A">
        <w:t xml:space="preserve"> – oferowanie darmowych lub dotowanych szkoleń dla migrantów (w porozumieniu z branżami, w których brakuje rąk do pracy) tak, aby jak najszybciej znaleźli zatrudnienie i wypełniali luki demograficzne na rynku pracy.</w:t>
      </w:r>
    </w:p>
    <w:p w14:paraId="37840CEA" w14:textId="77777777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„Parki wielokulturowe”</w:t>
      </w:r>
      <w:r w:rsidRPr="007B7A4A">
        <w:t xml:space="preserve"> – tworzenie stref rekreacyjno-kulturalnych w miastach, gdzie odbywałyby się regularnie wydarzenia kulturalne, koncerty, targi kuchni czy wystawy sztuki z Polski i Ukrainy. Pozwoliłoby to budować pozytywne skojarzenia i wspólną przestrzeń do spotkań mieszkańców.</w:t>
      </w:r>
    </w:p>
    <w:p w14:paraId="5FF046B2" w14:textId="77777777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Wspólne programy edukacyjne w szkołach</w:t>
      </w:r>
      <w:r w:rsidRPr="007B7A4A">
        <w:t xml:space="preserve"> – wprowadzenie przedmiotów interdyscyplinarnych (np. „Sąsiedzi i przyjaciele”) uczących dzieci o historii, kulturze i języku Ukrainy, a ukraińskim dzieciom – o Polsce. To budowałoby zrozumienie i więzi już od najmłodszych lat.</w:t>
      </w:r>
    </w:p>
    <w:p w14:paraId="1FD504C4" w14:textId="77777777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Inwestycje w polsko-ukraińskie startupy</w:t>
      </w:r>
      <w:r w:rsidRPr="007B7A4A">
        <w:t xml:space="preserve"> – specjalne fundusze grantowe dla mieszanego kapitału (polsko-ukraińskiego), wspierające innowacje technologiczne lub społeczne. Migranci mogliby wnosić swoje doświadczenia i kontakty, a Polacy – znajomość rynku i regulacji.</w:t>
      </w:r>
    </w:p>
    <w:p w14:paraId="4A248E79" w14:textId="77777777" w:rsidR="007B7A4A" w:rsidRP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Wspólne platformy informacyjne</w:t>
      </w:r>
      <w:r w:rsidRPr="007B7A4A">
        <w:t xml:space="preserve"> – stworzenie oficjalnych, wielojęzycznych platform internetowych, w tym aplikacji mobilnych, zawierających informacje o regulacjach, szkoleniach, wydarzeniach lokalnych, aktualnych ofertach pracy i możliwościach rozwoju, ułatwiających integrację i planowanie życia w Polsce.</w:t>
      </w:r>
    </w:p>
    <w:p w14:paraId="4B9CFB69" w14:textId="278BFAF9" w:rsidR="007B7A4A" w:rsidRDefault="007B7A4A" w:rsidP="007B7A4A">
      <w:pPr>
        <w:numPr>
          <w:ilvl w:val="0"/>
          <w:numId w:val="1"/>
        </w:numPr>
      </w:pPr>
      <w:r w:rsidRPr="007B7A4A">
        <w:rPr>
          <w:b/>
          <w:bCs/>
        </w:rPr>
        <w:t>Programy integracji kulturalnej w firmach</w:t>
      </w:r>
      <w:r w:rsidRPr="007B7A4A">
        <w:t xml:space="preserve"> – pracodawcy zatrudniający Ukraińców mogliby organizować warsztaty kulturowe, wspólne gotowanie tradycyjnych potraw czy klubowe wieczory filmowe, aby tworzyć w pracy atmosferę zrozumienia i szacunku. Dzięki temu migranci szybciej zakorzenią się w nowym środowisku, a współpracownicy nauczą się wrażliwości międzykulturowej.</w:t>
      </w:r>
    </w:p>
    <w:p w14:paraId="2D87B179" w14:textId="36140996" w:rsidR="00F32DC8" w:rsidRDefault="00F32DC8" w:rsidP="00F32DC8">
      <w:pPr>
        <w:ind w:left="360"/>
      </w:pPr>
      <w:r>
        <w:rPr>
          <w:noProof/>
        </w:rPr>
        <w:lastRenderedPageBreak/>
        <w:drawing>
          <wp:inline distT="0" distB="0" distL="0" distR="0" wp14:anchorId="39C092F7" wp14:editId="2BD2CE8C">
            <wp:extent cx="5276850" cy="5486400"/>
            <wp:effectExtent l="0" t="0" r="0" b="0"/>
            <wp:docPr id="2" name="Obraz 1">
              <a:extLst xmlns:a="http://schemas.openxmlformats.org/drawingml/2006/main">
                <a:ext uri="{FF2B5EF4-FFF2-40B4-BE49-F238E27FC236}">
                  <a16:creationId xmlns:a16="http://schemas.microsoft.com/office/drawing/2014/main" id="{B1AE1CCD-BA55-04CC-B0B5-7B090F2E5E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>
                      <a:extLst>
                        <a:ext uri="{FF2B5EF4-FFF2-40B4-BE49-F238E27FC236}">
                          <a16:creationId xmlns:a16="http://schemas.microsoft.com/office/drawing/2014/main" id="{B1AE1CCD-BA55-04CC-B0B5-7B090F2E5E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86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F32DC8" w:rsidSect="00C0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84D4F"/>
    <w:multiLevelType w:val="multilevel"/>
    <w:tmpl w:val="4F20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40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4A"/>
    <w:rsid w:val="00334406"/>
    <w:rsid w:val="006438E0"/>
    <w:rsid w:val="007B7A4A"/>
    <w:rsid w:val="00A9456F"/>
    <w:rsid w:val="00BF735E"/>
    <w:rsid w:val="00C014CC"/>
    <w:rsid w:val="00F32DC8"/>
    <w:rsid w:val="00F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C581"/>
  <w15:chartTrackingRefBased/>
  <w15:docId w15:val="{15AAFEA5-2450-44A2-9C4E-494B3BD2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Wiśniewski</dc:creator>
  <cp:keywords/>
  <dc:description/>
  <cp:lastModifiedBy>Piotr Wiśniewski</cp:lastModifiedBy>
  <cp:revision>1</cp:revision>
  <dcterms:created xsi:type="dcterms:W3CDTF">2024-12-20T17:34:00Z</dcterms:created>
  <dcterms:modified xsi:type="dcterms:W3CDTF">2024-12-20T20:49:00Z</dcterms:modified>
</cp:coreProperties>
</file>