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3415" w14:textId="77777777" w:rsidR="00A201CF" w:rsidRPr="004643F8" w:rsidRDefault="00A201CF" w:rsidP="00A201CF">
      <w:pPr>
        <w:pStyle w:val="1"/>
        <w:rPr>
          <w:rFonts w:asciiTheme="majorEastAsia" w:eastAsiaTheme="majorEastAsia" w:hAnsiTheme="majorEastAsia"/>
        </w:rPr>
      </w:pPr>
      <w:r w:rsidRPr="004643F8">
        <w:rPr>
          <w:rFonts w:asciiTheme="majorEastAsia" w:eastAsiaTheme="majorEastAsia" w:hAnsiTheme="majorEastAsia"/>
          <w:b/>
          <w:bCs/>
        </w:rPr>
        <w:t>摘要</w:t>
      </w:r>
    </w:p>
    <w:p w14:paraId="381DDF0C" w14:textId="77777777" w:rsidR="00A201CF" w:rsidRPr="004643F8" w:rsidRDefault="00A201CF" w:rsidP="00A201CF">
      <w:pPr>
        <w:ind w:firstLine="420"/>
        <w:rPr>
          <w:rFonts w:asciiTheme="majorEastAsia" w:eastAsiaTheme="majorEastAsia" w:hAnsiTheme="majorEastAsia"/>
        </w:rPr>
      </w:pPr>
      <w:r>
        <w:t>航天器关键部件退化周期长、故障样本稀缺，真实在轨全寿命数据难以支撑直接建模。本项目以公开退化数据学习通用演化表征，再在航天电池与反作用轮仿真场景中进行小样本适配，并以可追溯协议记录数据、切分、训练和评估过程。</w:t>
      </w:r>
    </w:p>
    <w:p w14:paraId="6D02ABE5" w14:textId="77777777" w:rsidR="00A201CF" w:rsidRPr="004643F8" w:rsidRDefault="00A201CF" w:rsidP="00A201CF">
      <w:pPr>
        <w:ind w:firstLine="420"/>
        <w:rPr>
          <w:rFonts w:asciiTheme="majorEastAsia" w:eastAsiaTheme="majorEastAsia" w:hAnsiTheme="majorEastAsia"/>
        </w:rPr>
      </w:pPr>
      <w:r>
        <w:t>源域采用喷嘴烧蚀多轨迹数据；目标域包括 NASA 电池和反作用轮退化仿真代理。目标侧采用轨迹级或轴承级 outer-fold 留出，比较 pretrained transfer、matched Scratch、Ridge 与趋势基线。COMSOL 结果属于反作用轮仿真代理的探索性证据，不外推为真实在轨遥测结论。</w:t>
      </w:r>
    </w:p>
    <w:p w14:paraId="1A89568C" w14:textId="77777777" w:rsidR="00A201CF" w:rsidRPr="004643F8" w:rsidRDefault="00A201CF" w:rsidP="00A201CF">
      <w:pPr>
        <w:ind w:firstLine="420"/>
        <w:rPr>
          <w:rFonts w:asciiTheme="majorEastAsia" w:eastAsiaTheme="majorEastAsia" w:hAnsiTheme="majorEastAsia"/>
        </w:rPr>
      </w:pPr>
      <w:r>
        <w:t>NASA 电池链路完成了严格切分、目标侧尺度估计和逐折评估，但当前 N=1、N=2 均未达到预设的内部正向迁移标准，因此本报告将其作为诊断结果。所有主实验均输出逐折预测、指标、协议、数据清单和环境记录，支持复核。</w:t>
      </w:r>
    </w:p>
    <w:p w14:paraId="21C9F122" w14:textId="77777777" w:rsidR="00A201CF" w:rsidRPr="004643F8" w:rsidRDefault="00A201CF" w:rsidP="00A201CF">
      <w:pPr>
        <w:ind w:firstLine="420"/>
        <w:rPr>
          <w:rFonts w:asciiTheme="majorEastAsia" w:eastAsiaTheme="majorEastAsia" w:hAnsiTheme="majorEastAsia"/>
        </w:rPr>
      </w:pPr>
      <w:r>
        <w:t>本报告的主要方法学证据来自 FEMTO 轴承 -&gt; COMSOL 反作用轮仿真代理链路的探索性复现；电池链路保留为未通过内部验收的诊断结果。最终是否满足赛事评分要求，由评委依据提交材料和现场复核判定。</w:t>
      </w:r>
    </w:p>
    <w:p w14:paraId="50618775" w14:textId="77777777" w:rsidR="00A201CF" w:rsidRPr="004643F8" w:rsidRDefault="00A201CF" w:rsidP="00A201CF">
      <w:pPr>
        <w:pStyle w:val="1"/>
        <w:rPr>
          <w:rFonts w:asciiTheme="majorEastAsia" w:eastAsiaTheme="majorEastAsia" w:hAnsiTheme="majorEastAsia"/>
        </w:rPr>
      </w:pPr>
      <w:r w:rsidRPr="004643F8">
        <w:rPr>
          <w:rFonts w:asciiTheme="majorEastAsia" w:eastAsiaTheme="majorEastAsia" w:hAnsiTheme="majorEastAsia"/>
          <w:b/>
          <w:bCs/>
        </w:rPr>
        <w:t>关键词</w:t>
      </w:r>
    </w:p>
    <w:p w14:paraId="4896658D" w14:textId="77777777" w:rsidR="00A201CF" w:rsidRPr="004643F8" w:rsidRDefault="00A201CF" w:rsidP="00A201CF">
      <w:pPr>
        <w:rPr>
          <w:rFonts w:asciiTheme="majorEastAsia" w:eastAsiaTheme="majorEastAsia" w:hAnsiTheme="majorEastAsia"/>
        </w:rPr>
      </w:pPr>
      <w:r w:rsidRPr="004643F8">
        <w:rPr>
          <w:rFonts w:asciiTheme="majorEastAsia" w:eastAsiaTheme="majorEastAsia" w:hAnsiTheme="majorEastAsia"/>
        </w:rPr>
        <w:t>跨域迁移学习；渐进退化建模；剩余寿命预测；反作用轮；高保真退化模拟；留出验证；小样本泛化；知识可追溯；在轨健康管理</w:t>
      </w:r>
    </w:p>
    <w:p w14:paraId="682BCB1A" w14:textId="77777777" w:rsidR="00B6049B" w:rsidRPr="004643F8" w:rsidRDefault="00B6049B" w:rsidP="00B6049B">
      <w:pPr>
        <w:pStyle w:val="1"/>
        <w:rPr>
          <w:rFonts w:asciiTheme="majorEastAsia" w:eastAsiaTheme="majorEastAsia" w:hAnsiTheme="majorEastAsia"/>
        </w:rPr>
      </w:pPr>
      <w:r w:rsidRPr="004643F8">
        <w:rPr>
          <w:rFonts w:asciiTheme="majorEastAsia" w:eastAsiaTheme="majorEastAsia" w:hAnsiTheme="majorEastAsia"/>
          <w:b/>
          <w:bCs/>
        </w:rPr>
        <w:t>一、赛事要求与方案定位</w:t>
      </w:r>
    </w:p>
    <w:p>
      <w:pPr>
        <w:pStyle w:val="1"/>
      </w:pPr>
      <w:r>
        <w:t>评审材料获取与复现入口</w:t>
      </w:r>
    </w:p>
    <w:p>
      <w:r>
        <w:t>分支获取路径：main（主实验与正式复现材料）；software-demo（软件工程演示）。仓库入口为 https://github.com/PWQ-GDOU/ASTRA，分支职责和切换顺序见 main 分支中的 docs/BRANCHING.md 与 docs/software_demo_branch.md。</w:t>
      </w:r>
    </w:p>
    <w:p>
      <w:r>
        <w:rPr>
          <w:b/>
        </w:rPr>
        <w:t>公开仓库：</w:t>
      </w:r>
      <w:hyperlink r:id="rId13">
        <w:r>
          <w:rPr>
            <w:color w:val="0563C1"/>
            <w:u w:val="single"/>
          </w:rPr>
          <w:t>https://github.com/PWQ-GDOU/ASTRA</w:t>
        </w:r>
      </w:hyperlink>
      <w:r>
        <w:t>。GitHub 用于获取代码、数据清单、审计结果和复现说明；赛事正式作品仍以官方申报系统要求的作品包和报名表 PDF 为准。</w:t>
      </w:r>
    </w:p>
    <w:p>
      <w:r>
        <w:t>推荐阅读顺序：README.md -&gt; DATA_SOURCES.md -&gt; docs/competition/competition_rules.pdf -&gt; docs/engineering_demo.md -&gt; outputs/ 中的协议和审计文件。</w:t>
      </w:r>
    </w:p>
    <w:p>
      <w:r>
        <w:t>主实验入口为 scripts/exp_cross_transfer_v3.py；FEMTO -&gt; COMSOL 外层留出入口为 scripts/exp_femto_ims_to_comsol_outerloo_v5.py；Docker 入口为 Dockerfile、docker/docker-compose.yml 和 docker/requirements.lock.txt。</w:t>
      </w:r>
    </w:p>
    <w:p w14:paraId="731B8CE4" w14:textId="77777777" w:rsidR="00B6049B" w:rsidRPr="004643F8" w:rsidRDefault="00B6049B" w:rsidP="00B6049B">
      <w:pPr>
        <w:rPr>
          <w:rFonts w:asciiTheme="majorEastAsia" w:eastAsiaTheme="majorEastAsia" w:hAnsiTheme="majorEastAsia"/>
        </w:rPr>
      </w:pPr>
      <w:r>
        <w:t>根据赛事方案，本文覆盖问题建模与仿真场景、数据集与仿真方法、PyTorch 可执行代码、迁移预测验证及工程表达。评审证据采用报告章节、仓库路径和机器可读结果文件三重索引。</w:t>
      </w:r>
    </w:p>
    <w:p w14:paraId="02F90EFA" w14:textId="77777777" w:rsidR="00B6049B" w:rsidRPr="004643F8" w:rsidRDefault="00B6049B" w:rsidP="00B6049B">
      <w:pPr>
        <w:rPr>
          <w:rFonts w:asciiTheme="majorEastAsia" w:eastAsiaTheme="majorEastAsia" w:hAnsiTheme="majorEastAsia"/>
        </w:rPr>
      </w:pPr>
      <w:r>
        <w:t>据此，本方案定位为“地面知识驱动、航天场景验证、工程闭环交付”。下表仅用于帮助评委定位官方评审要点与证据位置，不代表本项目自评得分或替代评委判断：</w:t>
      </w:r>
    </w:p>
    <w:p w14:paraId="1FF61933" w14:textId="3AA418C9" w:rsidR="00AD2417" w:rsidRPr="004643F8" w:rsidRDefault="002A3235" w:rsidP="00B6049B">
      <w:pPr>
        <w:rPr>
          <w:rFonts w:asciiTheme="majorEastAsia" w:eastAsiaTheme="majorEastAsia" w:hAnsiTheme="majorEastAsia" w:hint="eastAsia"/>
        </w:rPr>
      </w:pPr>
      <w:r w:rsidRPr="004643F8">
        <w:rPr>
          <w:rFonts w:asciiTheme="majorEastAsia" w:eastAsiaTheme="majorEastAsia" w:hAnsiTheme="majorEastAsia"/>
        </w:rPr>
        <w:t>表1</w:t>
      </w:r>
      <w:r w:rsidRPr="004643F8">
        <w:rPr>
          <w:rFonts w:asciiTheme="majorEastAsia" w:eastAsiaTheme="majorEastAsia" w:hAnsiTheme="majorEastAsia" w:hint="eastAsia"/>
        </w:rPr>
        <w:t xml:space="preserve"> </w:t>
      </w:r>
      <w:r w:rsidRPr="004643F8">
        <w:rPr>
          <w:rFonts w:asciiTheme="majorEastAsia" w:eastAsiaTheme="majorEastAsia" w:hAnsiTheme="majorEastAsia"/>
        </w:rPr>
        <w:t>赛事评分维度与本项目证据映射表</w:t>
      </w:r>
    </w:p>
    <w:tbl>
      <w:tblPr>
        <w:tblW w:w="8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415"/>
        <w:gridCol w:w="1665"/>
        <w:gridCol w:w="2654"/>
        <w:gridCol w:w="1326"/>
      </w:tblGrid>
      <w:tr w:rsidR="00B6049B" w:rsidRPr="004643F8" w14:paraId="64F2E777" w14:textId="77777777" w:rsidTr="0077261C">
        <w:trPr>
          <w:trHeight w:val="283"/>
          <w:jc w:val="center"/>
        </w:trPr>
        <w:tc>
          <w:tcPr>
            <w:tcW w:w="1168" w:type="dxa"/>
            <w:noWrap/>
            <w:vAlign w:val="center"/>
            <w:hideMark/>
          </w:tcPr>
          <w:p>
            <w:r>
              <w:t>官方评审维度</w:t>
            </w:r>
          </w:p>
        </w:tc>
        <w:tc>
          <w:tcPr>
            <w:tcW w:w="1415" w:type="dxa"/>
            <w:noWrap/>
            <w:vAlign w:val="center"/>
            <w:hideMark/>
          </w:tcPr>
          <w:p>
            <w:r>
              <w:t>官方权重</w:t>
            </w:r>
          </w:p>
        </w:tc>
        <w:tc>
          <w:tcPr>
            <w:tcW w:w="1665" w:type="dxa"/>
            <w:noWrap/>
            <w:vAlign w:val="center"/>
            <w:hideMark/>
          </w:tcPr>
          <w:p>
            <w:r>
              <w:t>官方要求与本项目证据位置（不代表自评得分）</w:t>
            </w:r>
          </w:p>
        </w:tc>
        <w:tc>
          <w:tcPr>
            <w:tcW w:w="2654" w:type="dxa"/>
            <w:noWrap/>
            <w:vAlign w:val="center"/>
            <w:hideMark/>
          </w:tcPr>
          <w:p w14:paraId="64E90493"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本项目对应做法</w:t>
            </w:r>
          </w:p>
        </w:tc>
        <w:tc>
          <w:tcPr>
            <w:tcW w:w="1326" w:type="dxa"/>
            <w:noWrap/>
            <w:vAlign w:val="center"/>
            <w:hideMark/>
          </w:tcPr>
          <w:p w14:paraId="5A6161D4"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报告位置</w:t>
            </w:r>
          </w:p>
        </w:tc>
      </w:tr>
      <w:tr w:rsidR="00B6049B" w:rsidRPr="004643F8" w14:paraId="0ACA3278" w14:textId="77777777" w:rsidTr="0077261C">
        <w:trPr>
          <w:trHeight w:val="283"/>
          <w:jc w:val="center"/>
        </w:trPr>
        <w:tc>
          <w:tcPr>
            <w:tcW w:w="1168" w:type="dxa"/>
            <w:noWrap/>
            <w:vAlign w:val="center"/>
            <w:hideMark/>
          </w:tcPr>
          <w:p w14:paraId="55A6BE2F"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问题建模与仿真场景设计</w:t>
            </w:r>
          </w:p>
        </w:tc>
        <w:tc>
          <w:tcPr>
            <w:tcW w:w="1415" w:type="dxa"/>
            <w:noWrap/>
            <w:vAlign w:val="center"/>
            <w:hideMark/>
          </w:tcPr>
          <w:p w14:paraId="78DAF7DF" w14:textId="38153557" w:rsidR="00B6049B" w:rsidRPr="004643F8" w:rsidRDefault="00010475" w:rsidP="00C45BE4">
            <w:pPr>
              <w:widowControl/>
              <w:ind w:rightChars="-38" w:right="-80"/>
              <w:jc w:val="left"/>
              <w:rPr>
                <w:rFonts w:asciiTheme="majorEastAsia" w:eastAsiaTheme="majorEastAsia" w:hAnsiTheme="majorEastAsia" w:cs="宋体" w:hint="eastAsia"/>
                <w:color w:val="000000"/>
                <w:kern w:val="0"/>
                <w:sz w:val="22"/>
              </w:rPr>
            </w:pPr>
            <w:r w:rsidRPr="004643F8">
              <w:rPr>
                <w:rFonts w:asciiTheme="majorEastAsia" w:eastAsiaTheme="majorEastAsia" w:hAnsiTheme="majorEastAsia" w:cs="宋体" w:hint="eastAsia"/>
                <w:color w:val="000000"/>
                <w:kern w:val="0"/>
                <w:sz w:val="22"/>
              </w:rPr>
              <w:t>30</w:t>
            </w:r>
          </w:p>
        </w:tc>
        <w:tc>
          <w:tcPr>
            <w:tcW w:w="1665" w:type="dxa"/>
            <w:noWrap/>
            <w:vAlign w:val="center"/>
            <w:hideMark/>
          </w:tcPr>
          <w:p w14:paraId="03642E4F"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退化机理分析、可观测量定义、运行/故障/长期衰减场景构建</w:t>
            </w:r>
          </w:p>
        </w:tc>
        <w:tc>
          <w:tcPr>
            <w:tcW w:w="2654" w:type="dxa"/>
            <w:noWrap/>
            <w:vAlign w:val="center"/>
            <w:hideMark/>
          </w:tcPr>
          <w:p>
            <w:r>
              <w:t>以喷嘴烧蚀为源域知识来源，其热-力耦合衰减机理与航天器机械部件分别说明退化机理与可观测量；面向电池容量衰减与反作用轮磨损分别构建物理可信的退化指标体系与寿命演化工况</w:t>
            </w:r>
          </w:p>
        </w:tc>
        <w:tc>
          <w:tcPr>
            <w:tcW w:w="1326" w:type="dxa"/>
            <w:noWrap/>
            <w:vAlign w:val="center"/>
            <w:hideMark/>
          </w:tcPr>
          <w:p w14:paraId="0B6DB520"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第二章、第三章</w:t>
            </w:r>
          </w:p>
        </w:tc>
      </w:tr>
      <w:tr w:rsidR="00B6049B" w:rsidRPr="004643F8" w14:paraId="1269CEAD" w14:textId="77777777" w:rsidTr="0077261C">
        <w:trPr>
          <w:trHeight w:val="283"/>
          <w:jc w:val="center"/>
        </w:trPr>
        <w:tc>
          <w:tcPr>
            <w:tcW w:w="1168" w:type="dxa"/>
            <w:noWrap/>
            <w:vAlign w:val="center"/>
            <w:hideMark/>
          </w:tcPr>
          <w:p w14:paraId="09FECEA8"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工程实现与可复现性</w:t>
            </w:r>
          </w:p>
        </w:tc>
        <w:tc>
          <w:tcPr>
            <w:tcW w:w="1415" w:type="dxa"/>
            <w:noWrap/>
            <w:vAlign w:val="center"/>
            <w:hideMark/>
          </w:tcPr>
          <w:p w14:paraId="0F4ACB31" w14:textId="4F86DDCF"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50</w:t>
            </w:r>
          </w:p>
        </w:tc>
        <w:tc>
          <w:tcPr>
            <w:tcW w:w="1665" w:type="dxa"/>
            <w:noWrap/>
            <w:vAlign w:val="center"/>
            <w:hideMark/>
          </w:tcPr>
          <w:p w14:paraId="4361C734"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PyTorch可执行代码，完整复现训练、迁</w:t>
            </w:r>
            <w:r w:rsidRPr="004643F8">
              <w:rPr>
                <w:rFonts w:asciiTheme="majorEastAsia" w:eastAsiaTheme="majorEastAsia" w:hAnsiTheme="majorEastAsia" w:cs="宋体"/>
                <w:color w:val="000000"/>
                <w:kern w:val="0"/>
                <w:sz w:val="22"/>
              </w:rPr>
              <w:lastRenderedPageBreak/>
              <w:t>移微调与预测全过程</w:t>
            </w:r>
          </w:p>
        </w:tc>
        <w:tc>
          <w:tcPr>
            <w:tcW w:w="2654" w:type="dxa"/>
            <w:noWrap/>
            <w:vAlign w:val="center"/>
            <w:hideMark/>
          </w:tcPr>
          <w:p w14:paraId="1923FCC5"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lastRenderedPageBreak/>
              <w:t>构建标准化训练评估流水线，严格恪守“仅训练侧可见”原则（数据切分、</w:t>
            </w:r>
            <w:r w:rsidRPr="004643F8">
              <w:rPr>
                <w:rFonts w:asciiTheme="majorEastAsia" w:eastAsiaTheme="majorEastAsia" w:hAnsiTheme="majorEastAsia" w:cs="宋体"/>
                <w:color w:val="000000"/>
                <w:kern w:val="0"/>
                <w:sz w:val="22"/>
              </w:rPr>
              <w:lastRenderedPageBreak/>
              <w:t>归一化、标签尺度、早停等）；完成Docker镜像封装，固化Python运行时、PyTorch版本、CUDA环境及全部依赖，确保任意平台单指令复现</w:t>
            </w:r>
          </w:p>
        </w:tc>
        <w:tc>
          <w:tcPr>
            <w:tcW w:w="1326" w:type="dxa"/>
            <w:noWrap/>
            <w:vAlign w:val="center"/>
            <w:hideMark/>
          </w:tcPr>
          <w:p w14:paraId="14A4D41B"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lastRenderedPageBreak/>
              <w:t>第四章、第五章、第八章</w:t>
            </w:r>
          </w:p>
        </w:tc>
      </w:tr>
      <w:tr w:rsidR="00B6049B" w:rsidRPr="004643F8" w14:paraId="50E0ECDC" w14:textId="77777777" w:rsidTr="0077261C">
        <w:trPr>
          <w:trHeight w:val="283"/>
          <w:jc w:val="center"/>
        </w:trPr>
        <w:tc>
          <w:tcPr>
            <w:tcW w:w="1168" w:type="dxa"/>
            <w:noWrap/>
            <w:vAlign w:val="center"/>
            <w:hideMark/>
          </w:tcPr>
          <w:p w14:paraId="002A858A"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算法效果、迁移能力与应用表达</w:t>
            </w:r>
          </w:p>
        </w:tc>
        <w:tc>
          <w:tcPr>
            <w:tcW w:w="1415" w:type="dxa"/>
            <w:noWrap/>
            <w:vAlign w:val="center"/>
            <w:hideMark/>
          </w:tcPr>
          <w:p w14:paraId="7A51A591"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20</w:t>
            </w:r>
          </w:p>
        </w:tc>
        <w:tc>
          <w:tcPr>
            <w:tcW w:w="1665" w:type="dxa"/>
            <w:noWrap/>
            <w:vAlign w:val="center"/>
            <w:hideMark/>
          </w:tcPr>
          <w:p w14:paraId="2949B2D9"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公开数据训练至目标域适配，体现跨域迁移实质增益</w:t>
            </w:r>
          </w:p>
        </w:tc>
        <w:tc>
          <w:tcPr>
            <w:tcW w:w="2654" w:type="dxa"/>
            <w:noWrap/>
            <w:vAlign w:val="center"/>
            <w:hideMark/>
          </w:tcPr>
          <w:p w14:paraId="0B5F0AC6"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以统一health信号对齐退化方向；源域预训练共享编码器，目标域轻量化适配；反作用轮小样本留出验证中，精度优于从头训练基准、传统回归与固定趋势外推，证明迁移价值</w:t>
            </w:r>
          </w:p>
        </w:tc>
        <w:tc>
          <w:tcPr>
            <w:tcW w:w="1326" w:type="dxa"/>
            <w:noWrap/>
            <w:vAlign w:val="center"/>
            <w:hideMark/>
          </w:tcPr>
          <w:p w14:paraId="582CFC89"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第六章、第七章</w:t>
            </w:r>
          </w:p>
        </w:tc>
      </w:tr>
      <w:tr w:rsidR="00B6049B" w:rsidRPr="004643F8" w14:paraId="46157AEF" w14:textId="77777777" w:rsidTr="0077261C">
        <w:trPr>
          <w:trHeight w:val="283"/>
          <w:jc w:val="center"/>
        </w:trPr>
        <w:tc>
          <w:tcPr>
            <w:tcW w:w="1168" w:type="dxa"/>
            <w:noWrap/>
            <w:vAlign w:val="center"/>
            <w:hideMark/>
          </w:tcPr>
          <w:p w14:paraId="5FEB8CA3"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额外加分候选</w:t>
            </w:r>
          </w:p>
        </w:tc>
        <w:tc>
          <w:tcPr>
            <w:tcW w:w="1415" w:type="dxa"/>
            <w:noWrap/>
            <w:vAlign w:val="center"/>
            <w:hideMark/>
          </w:tcPr>
          <w:p w14:paraId="6A7F2573"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最高5</w:t>
            </w:r>
          </w:p>
        </w:tc>
        <w:tc>
          <w:tcPr>
            <w:tcW w:w="1665" w:type="dxa"/>
            <w:noWrap/>
            <w:vAlign w:val="center"/>
            <w:hideMark/>
          </w:tcPr>
          <w:p w14:paraId="2ACC9D9F"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寿命状态直观表达、工程应用流程</w:t>
            </w:r>
          </w:p>
        </w:tc>
        <w:tc>
          <w:tcPr>
            <w:tcW w:w="2654" w:type="dxa"/>
            <w:noWrap/>
            <w:vAlign w:val="center"/>
            <w:hideMark/>
          </w:tcPr>
          <w:p w14:paraId="06C7A55F"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开发轻量化寿命状态仪表板，支持预测结果在线回放与风险等级即时判别；采用操作员/审计员双角色分离视图，兼顾快速决策与结果可追溯；完整启动-运行-输出流程，可作为在轨健康管理辅助工具原型</w:t>
            </w:r>
          </w:p>
        </w:tc>
        <w:tc>
          <w:tcPr>
            <w:tcW w:w="1326" w:type="dxa"/>
            <w:noWrap/>
            <w:vAlign w:val="center"/>
            <w:hideMark/>
          </w:tcPr>
          <w:p w14:paraId="341FE15D"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第七章</w:t>
            </w:r>
          </w:p>
        </w:tc>
      </w:tr>
    </w:tbl>
    <w:p w14:paraId="55344053" w14:textId="43AA24F8" w:rsidR="005B0F5F" w:rsidRPr="004643F8" w:rsidRDefault="003B177B">
      <w:pPr>
        <w:rPr>
          <w:rFonts w:asciiTheme="majorEastAsia" w:eastAsiaTheme="majorEastAsia" w:hAnsiTheme="majorEastAsia"/>
        </w:rPr>
      </w:pPr>
      <w:r>
        <w:t>后文分别给出对应的实验、代码、数据和审计文件；评审方可按仓库索引独立复核。</w:t>
      </w:r>
    </w:p>
    <w:p w14:paraId="05A0D47E" w14:textId="77777777" w:rsidR="00C85671" w:rsidRPr="004643F8" w:rsidRDefault="00C85671" w:rsidP="00C85671">
      <w:pPr>
        <w:pStyle w:val="2"/>
        <w:rPr>
          <w:rFonts w:asciiTheme="majorEastAsia" w:eastAsiaTheme="majorEastAsia" w:hAnsiTheme="majorEastAsia"/>
          <w:b/>
          <w:bCs/>
        </w:rPr>
      </w:pPr>
      <w:r w:rsidRPr="004643F8">
        <w:rPr>
          <w:rFonts w:asciiTheme="majorEastAsia" w:eastAsiaTheme="majorEastAsia" w:hAnsiTheme="majorEastAsia"/>
          <w:b/>
          <w:bCs/>
        </w:rPr>
        <w:t>2.1 统一寿命预测问题</w:t>
      </w:r>
    </w:p>
    <w:p w14:paraId="06049475" w14:textId="77777777"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航天器关键组件的退化过程具有显著的个体差异性，且不同部件在物理机理、传感器配置和性能表征维度上各不相同。为构建一个可跨组件迁移的寿命预测框架，首先需要将异构的退化观测统一到相同的数学描述空间内。</w:t>
      </w:r>
    </w:p>
    <w:p w14:paraId="78C00632" w14:textId="4084023A"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设组件在时刻 </w:t>
      </w:r>
      <m:oMath>
        <m:r>
          <w:rPr>
            <w:rFonts w:ascii="Cambria Math" w:eastAsiaTheme="majorEastAsia" w:hAnsi="Cambria Math"/>
          </w:rPr>
          <m:t>t</m:t>
        </m:r>
      </m:oMath>
      <w:r w:rsidRPr="004643F8">
        <w:rPr>
          <w:rFonts w:asciiTheme="majorEastAsia" w:eastAsiaTheme="majorEastAsia" w:hAnsiTheme="majorEastAsia"/>
        </w:rPr>
        <w:t> 的可观测原始信号为 </w:t>
      </w:r>
      <m:oMath>
        <m:sSub>
          <m:sSubPr>
            <m:ctrlPr>
              <w:rPr>
                <w:rFonts w:ascii="Cambria Math" w:eastAsiaTheme="majorEastAsia" w:hAnsi="Cambria Math"/>
              </w:rPr>
            </m:ctrlPr>
          </m:sSubPr>
          <m:e>
            <m:r>
              <w:rPr>
                <w:rFonts w:ascii="Cambria Math" w:eastAsiaTheme="majorEastAsia" w:hAnsi="Cambria Math"/>
              </w:rPr>
              <m:t>x</m:t>
            </m:r>
          </m:e>
          <m:sub>
            <m:r>
              <w:rPr>
                <w:rFonts w:ascii="Cambria Math" w:eastAsiaTheme="majorEastAsia" w:hAnsi="Cambria Math"/>
              </w:rPr>
              <m:t>t</m:t>
            </m:r>
          </m:sub>
        </m:sSub>
      </m:oMath>
      <w:r w:rsidRPr="004643F8">
        <w:rPr>
          <w:rFonts w:asciiTheme="majorEastAsia" w:eastAsiaTheme="majorEastAsia" w:hAnsiTheme="majorEastAsia"/>
        </w:rPr>
        <w:t>。对于不同类型的部件，</w:t>
      </w:r>
      <m:oMath>
        <m:sSub>
          <m:sSubPr>
            <m:ctrlPr>
              <w:rPr>
                <w:rFonts w:ascii="Cambria Math" w:eastAsiaTheme="majorEastAsia" w:hAnsi="Cambria Math"/>
              </w:rPr>
            </m:ctrlPr>
          </m:sSubPr>
          <m:e>
            <m:r>
              <w:rPr>
                <w:rFonts w:ascii="Cambria Math" w:eastAsiaTheme="majorEastAsia" w:hAnsi="Cambria Math"/>
              </w:rPr>
              <m:t>x</m:t>
            </m:r>
          </m:e>
          <m:sub>
            <m:r>
              <w:rPr>
                <w:rFonts w:ascii="Cambria Math" w:eastAsiaTheme="majorEastAsia" w:hAnsi="Cambria Math"/>
              </w:rPr>
              <m:t>t</m:t>
            </m:r>
          </m:sub>
        </m:sSub>
      </m:oMath>
      <w:r w:rsidRPr="004643F8">
        <w:rPr>
          <w:rFonts w:asciiTheme="majorEastAsia" w:eastAsiaTheme="majorEastAsia" w:hAnsiTheme="majorEastAsia"/>
        </w:rPr>
        <w:t> 可能代表完全不同的物理量——在喷嘴场景中可能是烧蚀深度或热流密度，在电池场景中可能是电压曲线或容量测量值，在反作用轮场景中则可能是振动加速度的均方根值。模型的目标是：给定截至当前时刻 </w:t>
      </w:r>
      <m:oMath>
        <m:r>
          <w:rPr>
            <w:rFonts w:ascii="Cambria Math" w:eastAsiaTheme="majorEastAsia" w:hAnsi="Cambria Math"/>
          </w:rPr>
          <m:t>t</m:t>
        </m:r>
      </m:oMath>
      <w:r w:rsidRPr="004643F8">
        <w:rPr>
          <w:rFonts w:asciiTheme="majorEastAsia" w:eastAsiaTheme="majorEastAsia" w:hAnsiTheme="majorEastAsia"/>
        </w:rPr>
        <w:t> 的历史观测序列 </w:t>
      </w:r>
      <m:oMath>
        <m:sSub>
          <m:sSubPr>
            <m:ctrlPr>
              <w:rPr>
                <w:rFonts w:ascii="Cambria Math" w:eastAsiaTheme="majorEastAsia" w:hAnsi="Cambria Math"/>
              </w:rPr>
            </m:ctrlPr>
          </m:sSubPr>
          <m:e>
            <m:r>
              <w:rPr>
                <w:rFonts w:ascii="Cambria Math" w:eastAsiaTheme="majorEastAsia" w:hAnsi="Cambria Math"/>
              </w:rPr>
              <m:t>x</m:t>
            </m:r>
          </m:e>
          <m:sub>
            <m:d>
              <m:dPr>
                <m:ctrlPr>
                  <w:rPr>
                    <w:rFonts w:ascii="Cambria Math" w:eastAsiaTheme="majorEastAsia" w:hAnsi="Cambria Math"/>
                  </w:rPr>
                </m:ctrlPr>
              </m:dPr>
              <m:e>
                <m:r>
                  <w:rPr>
                    <w:rFonts w:ascii="Cambria Math" w:eastAsiaTheme="majorEastAsia" w:hAnsi="Cambria Math"/>
                  </w:rPr>
                  <m:t>1:t</m:t>
                </m:r>
              </m:e>
            </m:d>
          </m:sub>
        </m:sSub>
      </m:oMath>
      <w:r w:rsidRPr="004643F8">
        <w:rPr>
          <w:rFonts w:asciiTheme="majorEastAsia" w:eastAsiaTheme="majorEastAsia" w:hAnsiTheme="majorEastAsia"/>
        </w:rPr>
        <w:t>，预测该组件从当前时刻至寿命终结的剩余时长，即剩余寿命（Remaining Useful Life, RUL）</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w:t>
      </w:r>
    </w:p>
    <w:p w14:paraId="79BAA71E" w14:textId="77777777"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然而，不同组件的退化方向存在天然差异。例如，喷嘴烧蚀深度随时间单调增加，电池荷电状态（State of Health, SOH）单调递减，而反作用轮振动幅值则随磨损加剧而上升。若直接以原始物理量作为监督目标，模型需要为每个场景重新学习退化方向的语义，这违背了跨域知识迁移的设计初衷。</w:t>
      </w:r>
    </w:p>
    <w:p w14:paraId="08AA2CF4" w14:textId="346FBC98"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为此，本方案引入统一的健康指标 </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oMath>
      <w:r w:rsidRPr="004643F8">
        <w:rPr>
          <w:rFonts w:asciiTheme="majorEastAsia" w:eastAsiaTheme="majorEastAsia" w:hAnsiTheme="majorEastAsia"/>
        </w:rPr>
        <w:t>（health signal），其定义为：</w:t>
      </w:r>
      <w:r>
        <w:t xml:space="preserve"> [1, 6, 7]</w:t>
      </w:r>
    </w:p>
    <w:p w14:paraId="038B3448" w14:textId="77005EA2" w:rsidR="00C85671" w:rsidRPr="004643F8" w:rsidRDefault="00C85671" w:rsidP="00C85671">
      <w:pPr>
        <w:rPr>
          <w:rFonts w:asciiTheme="majorEastAsia" w:eastAsiaTheme="majorEastAsia" w:hAnsiTheme="majorEastAsia"/>
        </w:rPr>
      </w:pPr>
      <m:oMathPara>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r>
            <w:rPr>
              <w:rFonts w:ascii="Cambria Math" w:eastAsiaTheme="majorEastAsia" w:hAnsi="Cambria Math"/>
            </w:rPr>
            <m:t>=1-</m:t>
          </m:r>
          <m:sSub>
            <m:sSubPr>
              <m:ctrlPr>
                <w:rPr>
                  <w:rFonts w:ascii="Cambria Math" w:eastAsiaTheme="majorEastAsia" w:hAnsi="Cambria Math"/>
                </w:rPr>
              </m:ctrlPr>
            </m:sSubPr>
            <m:e>
              <m:r>
                <m:rPr>
                  <m:nor/>
                </m:rPr>
                <w:rPr>
                  <w:rFonts w:asciiTheme="majorEastAsia" w:eastAsiaTheme="majorEastAsia" w:hAnsiTheme="majorEastAsia"/>
                </w:rPr>
                <m:t>normalized</m:t>
              </m:r>
              <m:r>
                <m:rPr>
                  <m:lit/>
                  <m:nor/>
                </m:rPr>
                <w:rPr>
                  <w:rFonts w:asciiTheme="majorEastAsia" w:eastAsiaTheme="majorEastAsia" w:hAnsiTheme="majorEastAsia"/>
                </w:rPr>
                <m:t>_</m:t>
              </m:r>
              <m:r>
                <m:rPr>
                  <m:nor/>
                </m:rPr>
                <w:rPr>
                  <w:rFonts w:asciiTheme="majorEastAsia" w:eastAsiaTheme="majorEastAsia" w:hAnsiTheme="majorEastAsia"/>
                </w:rPr>
                <m:t>damage</m:t>
              </m:r>
            </m:e>
            <m:sub>
              <m:r>
                <w:rPr>
                  <w:rFonts w:ascii="Cambria Math" w:eastAsiaTheme="majorEastAsia" w:hAnsi="Cambria Math"/>
                </w:rPr>
                <m:t>t</m:t>
              </m:r>
            </m:sub>
          </m:sSub>
        </m:oMath>
      </m:oMathPara>
    </w:p>
    <w:p w14:paraId="0E616502" w14:textId="09562F0C"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其中 </w:t>
      </w:r>
      <m:oMath>
        <m:sSub>
          <m:sSubPr>
            <m:ctrlPr>
              <w:rPr>
                <w:rFonts w:ascii="Cambria Math" w:eastAsiaTheme="majorEastAsia" w:hAnsi="Cambria Math"/>
              </w:rPr>
            </m:ctrlPr>
          </m:sSubPr>
          <m:e>
            <m:r>
              <m:rPr>
                <m:nor/>
              </m:rPr>
              <w:rPr>
                <w:rFonts w:asciiTheme="majorEastAsia" w:eastAsiaTheme="majorEastAsia" w:hAnsiTheme="majorEastAsia"/>
              </w:rPr>
              <m:t>normalized</m:t>
            </m:r>
            <m:r>
              <m:rPr>
                <m:lit/>
                <m:nor/>
              </m:rPr>
              <w:rPr>
                <w:rFonts w:asciiTheme="majorEastAsia" w:eastAsiaTheme="majorEastAsia" w:hAnsiTheme="majorEastAsia"/>
              </w:rPr>
              <m:t>_</m:t>
            </m:r>
            <m:r>
              <m:rPr>
                <m:nor/>
              </m:rPr>
              <w:rPr>
                <w:rFonts w:asciiTheme="majorEastAsia" w:eastAsiaTheme="majorEastAsia" w:hAnsiTheme="majorEastAsia"/>
              </w:rPr>
              <m:t>damage</m:t>
            </m:r>
          </m:e>
          <m:sub>
            <m:r>
              <w:rPr>
                <w:rFonts w:ascii="Cambria Math" w:eastAsiaTheme="majorEastAsia" w:hAnsi="Cambria Math"/>
              </w:rPr>
              <m:t>t</m:t>
            </m:r>
          </m:sub>
        </m:sSub>
      </m:oMath>
      <w:r w:rsidRPr="004643F8">
        <w:rPr>
          <w:rFonts w:asciiTheme="majorEastAsia" w:eastAsiaTheme="majorEastAsia" w:hAnsiTheme="majorEastAsia"/>
        </w:rPr>
        <w:t> 表示将原始退化量按该组件全生命周期的幅值范围映射至 </w:t>
      </w:r>
      <m:oMath>
        <m:d>
          <m:dPr>
            <m:begChr m:val="["/>
            <m:sepChr m:val=","/>
            <m:end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1</m:t>
            </m:r>
          </m:e>
        </m:d>
      </m:oMath>
      <w:r w:rsidRPr="004643F8">
        <w:rPr>
          <w:rFonts w:asciiTheme="majorEastAsia" w:eastAsiaTheme="majorEastAsia" w:hAnsiTheme="majorEastAsia"/>
        </w:rPr>
        <w:t> 区间的损伤程度，</w:t>
      </w:r>
      <m:oMath>
        <m:r>
          <w:rPr>
            <w:rFonts w:ascii="Cambria Math" w:eastAsiaTheme="majorEastAsia" w:hAnsi="Cambria Math"/>
          </w:rPr>
          <m:t>0</m:t>
        </m:r>
      </m:oMath>
      <w:r w:rsidRPr="004643F8">
        <w:rPr>
          <w:rFonts w:asciiTheme="majorEastAsia" w:eastAsiaTheme="majorEastAsia" w:hAnsiTheme="majorEastAsia"/>
        </w:rPr>
        <w:t> 代表全新状态，</w:t>
      </w:r>
      <m:oMath>
        <m:r>
          <w:rPr>
            <w:rFonts w:ascii="Cambria Math" w:eastAsiaTheme="majorEastAsia" w:hAnsi="Cambria Math"/>
          </w:rPr>
          <m:t>1</m:t>
        </m:r>
      </m:oMath>
      <w:r w:rsidRPr="004643F8">
        <w:rPr>
          <w:rFonts w:asciiTheme="majorEastAsia" w:eastAsiaTheme="majorEastAsia" w:hAnsiTheme="majorEastAsia"/>
        </w:rPr>
        <w:t> 代表寿命终结。经过此变换，</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oMath>
      <w:r w:rsidRPr="004643F8">
        <w:rPr>
          <w:rFonts w:asciiTheme="majorEastAsia" w:eastAsiaTheme="majorEastAsia" w:hAnsiTheme="majorEastAsia"/>
        </w:rPr>
        <w:t> 始终落在 </w:t>
      </w:r>
      <m:oMath>
        <m:d>
          <m:dPr>
            <m:begChr m:val="["/>
            <m:sepChr m:val=","/>
            <m:end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1</m:t>
            </m:r>
          </m:e>
        </m:d>
      </m:oMath>
      <w:r w:rsidRPr="004643F8">
        <w:rPr>
          <w:rFonts w:asciiTheme="majorEastAsia" w:eastAsiaTheme="majorEastAsia" w:hAnsiTheme="majorEastAsia"/>
        </w:rPr>
        <w:t> 区间内，且具有统一的语义方向——数值越大表示健康状态越优，数值趋近 </w:t>
      </w:r>
      <m:oMath>
        <m:r>
          <w:rPr>
            <w:rFonts w:ascii="Cambria Math" w:eastAsiaTheme="majorEastAsia" w:hAnsi="Cambria Math"/>
          </w:rPr>
          <m:t>0</m:t>
        </m:r>
      </m:oMath>
      <w:r w:rsidRPr="004643F8">
        <w:rPr>
          <w:rFonts w:asciiTheme="majorEastAsia" w:eastAsiaTheme="majorEastAsia" w:hAnsiTheme="majorEastAsia"/>
        </w:rPr>
        <w:t> 时表明组件已接近失效。这一变换的关键作用在于：尽管喷嘴、电池和反作用轮的</w:t>
      </w:r>
      <w:r w:rsidRPr="004643F8">
        <w:rPr>
          <w:rFonts w:asciiTheme="majorEastAsia" w:eastAsiaTheme="majorEastAsia" w:hAnsiTheme="majorEastAsia"/>
        </w:rPr>
        <w:lastRenderedPageBreak/>
        <w:t>物理退化机理各异，但在 health 空间中它们共享“从健康向故障单调衰减”的共同模式，从而为跨域迁移学习提供了对齐基础。</w:t>
      </w:r>
    </w:p>
    <w:p w14:paraId="496CAFB4" w14:textId="0A1F85C4"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基于 health 信号，剩余寿命标签 </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定义为：</w:t>
      </w:r>
    </w:p>
    <w:p w14:paraId="699D6C26" w14:textId="3DBBEB55" w:rsidR="00C85671" w:rsidRPr="004643F8" w:rsidRDefault="00C85671" w:rsidP="00C85671">
      <w:pPr>
        <w:rPr>
          <w:rFonts w:asciiTheme="majorEastAsia" w:eastAsiaTheme="majorEastAsia" w:hAnsiTheme="majorEastAsia"/>
        </w:rPr>
      </w:pPr>
      <m:oMathPara>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m:oMathPara>
    </w:p>
    <w:p w14:paraId="574ACCE3" w14:textId="22659459"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其中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为该组件在全生命周期轨迹上达到寿命终点（即 </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oMath>
      <w:r w:rsidRPr="004643F8">
        <w:rPr>
          <w:rFonts w:asciiTheme="majorEastAsia" w:eastAsiaTheme="majorEastAsia" w:hAnsiTheme="majorEastAsia"/>
        </w:rPr>
        <w:t> 首次触及 </w:t>
      </w:r>
      <m:oMath>
        <m:r>
          <w:rPr>
            <w:rFonts w:ascii="Cambria Math" w:eastAsiaTheme="majorEastAsia" w:hAnsi="Cambria Math"/>
          </w:rPr>
          <m:t>0</m:t>
        </m:r>
      </m:oMath>
      <w:r w:rsidRPr="004643F8">
        <w:rPr>
          <w:rFonts w:asciiTheme="majorEastAsia" w:eastAsiaTheme="majorEastAsia" w:hAnsiTheme="majorEastAsia"/>
        </w:rPr>
        <w:t> 或预设失效阈值）的时刻。</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的单位可以是物理时间（秒、循环次数）或离散观测步数，具体取决于目标域的采样约定。值得注意的是，</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并非模型直接预测的原始数值，而是经目标域标签尺度归一化后参与损失计算，以消除不同组件服役时长量级差异对训练稳定性的影响。</w:t>
      </w:r>
    </w:p>
    <w:p w14:paraId="6BA30D8F" w14:textId="53504E49"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模型采用滑动窗口方式进行序列化预测。设窗口长度为 </w:t>
      </w:r>
      <m:oMath>
        <m:r>
          <w:rPr>
            <w:rFonts w:ascii="Cambria Math" w:eastAsiaTheme="majorEastAsia" w:hAnsi="Cambria Math"/>
          </w:rPr>
          <m:t>L</m:t>
        </m:r>
      </m:oMath>
      <w:r w:rsidRPr="004643F8">
        <w:rPr>
          <w:rFonts w:asciiTheme="majorEastAsia" w:eastAsiaTheme="majorEastAsia" w:hAnsiTheme="majorEastAsia"/>
        </w:rPr>
        <w:t>，则在时刻 </w:t>
      </w:r>
      <m:oMath>
        <m:r>
          <w:rPr>
            <w:rFonts w:ascii="Cambria Math" w:eastAsiaTheme="majorEastAsia" w:hAnsi="Cambria Math"/>
          </w:rPr>
          <m:t>t</m:t>
        </m:r>
      </m:oMath>
      <w:r w:rsidRPr="004643F8">
        <w:rPr>
          <w:rFonts w:asciiTheme="majorEastAsia" w:eastAsiaTheme="majorEastAsia" w:hAnsiTheme="majorEastAsia"/>
        </w:rPr>
        <w:t> 的输入为最近 </w:t>
      </w:r>
      <m:oMath>
        <m:r>
          <w:rPr>
            <w:rFonts w:ascii="Cambria Math" w:eastAsiaTheme="majorEastAsia" w:hAnsi="Cambria Math"/>
          </w:rPr>
          <m:t>L</m:t>
        </m:r>
      </m:oMath>
      <w:r w:rsidRPr="004643F8">
        <w:rPr>
          <w:rFonts w:asciiTheme="majorEastAsia" w:eastAsiaTheme="majorEastAsia" w:hAnsiTheme="majorEastAsia"/>
        </w:rPr>
        <w:t> 个时刻的历史观测窗口 </w:t>
      </w:r>
      <m:oMath>
        <m:sSub>
          <m:sSubPr>
            <m:ctrlPr>
              <w:rPr>
                <w:rFonts w:ascii="Cambria Math" w:eastAsiaTheme="majorEastAsia" w:hAnsi="Cambria Math"/>
              </w:rPr>
            </m:ctrlPr>
          </m:sSubPr>
          <m:e>
            <m:r>
              <w:rPr>
                <w:rFonts w:ascii="Cambria Math" w:eastAsiaTheme="majorEastAsia" w:hAnsi="Cambria Math"/>
              </w:rPr>
              <m:t>x</m:t>
            </m:r>
          </m:e>
          <m:sub>
            <m:d>
              <m:dPr>
                <m:ctrlPr>
                  <w:rPr>
                    <w:rFonts w:ascii="Cambria Math" w:eastAsiaTheme="majorEastAsia" w:hAnsi="Cambria Math"/>
                  </w:rPr>
                </m:ctrlPr>
              </m:dPr>
              <m:e>
                <m:r>
                  <w:rPr>
                    <w:rFonts w:ascii="Cambria Math" w:eastAsiaTheme="majorEastAsia" w:hAnsi="Cambria Math"/>
                  </w:rPr>
                  <m:t>t-L+1:t</m:t>
                </m:r>
              </m:e>
            </m:d>
          </m:sub>
        </m:sSub>
      </m:oMath>
      <w:r w:rsidRPr="004643F8">
        <w:rPr>
          <w:rFonts w:asciiTheme="majorEastAsia" w:eastAsiaTheme="majorEastAsia" w:hAnsiTheme="majorEastAsia"/>
        </w:rPr>
        <w:t>，模型 </w:t>
      </w:r>
      <m:oMath>
        <m:sSub>
          <m:sSubPr>
            <m:ctrlPr>
              <w:rPr>
                <w:rFonts w:ascii="Cambria Math" w:eastAsiaTheme="majorEastAsia" w:hAnsi="Cambria Math"/>
              </w:rPr>
            </m:ctrlPr>
          </m:sSubPr>
          <m:e>
            <m:r>
              <w:rPr>
                <w:rFonts w:ascii="Cambria Math" w:eastAsiaTheme="majorEastAsia" w:hAnsi="Cambria Math"/>
              </w:rPr>
              <m:t>f</m:t>
            </m:r>
          </m:e>
          <m:sub>
            <m:r>
              <w:rPr>
                <w:rFonts w:ascii="Cambria Math" w:eastAsiaTheme="majorEastAsia" w:hAnsi="Cambria Math"/>
              </w:rPr>
              <m:t>θ</m:t>
            </m:r>
          </m:sub>
        </m:sSub>
      </m:oMath>
      <w:r w:rsidRPr="004643F8">
        <w:rPr>
          <w:rFonts w:asciiTheme="majorEastAsia" w:eastAsiaTheme="majorEastAsia" w:hAnsiTheme="majorEastAsia"/>
        </w:rPr>
        <w:t> 输出该时刻的剩余寿命估计值：</w:t>
      </w:r>
    </w:p>
    <w:p w14:paraId="694C12C5" w14:textId="4A19C4CB" w:rsidR="00C85671" w:rsidRPr="004643F8" w:rsidRDefault="00C85671" w:rsidP="00C85671">
      <w:pPr>
        <w:rPr>
          <w:rFonts w:asciiTheme="majorEastAsia" w:eastAsiaTheme="majorEastAsia" w:hAnsiTheme="majorEastAsia"/>
        </w:rPr>
      </w:pPr>
      <m:oMathPara>
        <m:oMath>
          <m:sSub>
            <m:sSubPr>
              <m:ctrlPr>
                <w:rPr>
                  <w:rFonts w:ascii="Cambria Math" w:eastAsiaTheme="majorEastAsia" w:hAnsi="Cambria Math"/>
                </w:rPr>
              </m:ctrlPr>
            </m:sSubPr>
            <m:e>
              <m:acc>
                <m:accPr>
                  <m:ctrlPr>
                    <w:rPr>
                      <w:rFonts w:ascii="Cambria Math" w:eastAsiaTheme="majorEastAsia" w:hAnsi="Cambria Math"/>
                    </w:rPr>
                  </m:ctrlPr>
                </m:accPr>
                <m:e>
                  <m:r>
                    <w:rPr>
                      <w:rFonts w:ascii="Cambria Math" w:eastAsiaTheme="majorEastAsia" w:hAnsi="Cambria Math"/>
                    </w:rPr>
                    <m:t>r</m:t>
                  </m:r>
                </m:e>
              </m:acc>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f</m:t>
              </m:r>
            </m:e>
            <m:sub>
              <m:r>
                <w:rPr>
                  <w:rFonts w:ascii="Cambria Math" w:eastAsiaTheme="majorEastAsia" w:hAnsi="Cambria Math"/>
                </w:rPr>
                <m:t>θ</m:t>
              </m:r>
            </m:sub>
          </m:sSub>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x</m:t>
                  </m:r>
                </m:e>
                <m:sub>
                  <m:d>
                    <m:dPr>
                      <m:ctrlPr>
                        <w:rPr>
                          <w:rFonts w:ascii="Cambria Math" w:eastAsiaTheme="majorEastAsia" w:hAnsi="Cambria Math"/>
                        </w:rPr>
                      </m:ctrlPr>
                    </m:dPr>
                    <m:e>
                      <m:r>
                        <w:rPr>
                          <w:rFonts w:ascii="Cambria Math" w:eastAsiaTheme="majorEastAsia" w:hAnsi="Cambria Math"/>
                        </w:rPr>
                        <m:t>t-L+1:t</m:t>
                      </m:r>
                    </m:e>
                  </m:d>
                </m:sub>
              </m:sSub>
            </m:e>
          </m:d>
        </m:oMath>
      </m:oMathPara>
    </w:p>
    <w:p w14:paraId="2678F818" w14:textId="7AFBB410" w:rsidR="00C85671" w:rsidRPr="004643F8" w:rsidRDefault="00C85671" w:rsidP="00C85671">
      <w:pPr>
        <w:rPr>
          <w:rFonts w:asciiTheme="majorEastAsia" w:eastAsiaTheme="majorEastAsia" w:hAnsiTheme="majorEastAsia"/>
        </w:rPr>
      </w:pPr>
      <m:oMath>
        <m:sSub>
          <m:sSubPr>
            <m:ctrlPr>
              <w:rPr>
                <w:rFonts w:ascii="Cambria Math" w:eastAsiaTheme="majorEastAsia" w:hAnsi="Cambria Math"/>
              </w:rPr>
            </m:ctrlPr>
          </m:sSubPr>
          <m:e>
            <m:r>
              <w:rPr>
                <w:rFonts w:ascii="Cambria Math" w:eastAsiaTheme="majorEastAsia" w:hAnsi="Cambria Math"/>
              </w:rPr>
              <m:t>f</m:t>
            </m:r>
          </m:e>
          <m:sub>
            <m:r>
              <w:rPr>
                <w:rFonts w:ascii="Cambria Math" w:eastAsiaTheme="majorEastAsia" w:hAnsi="Cambria Math"/>
              </w:rPr>
              <m:t>θ</m:t>
            </m:r>
          </m:sub>
        </m:sSub>
      </m:oMath>
      <w:r w:rsidRPr="004643F8">
        <w:rPr>
          <w:rFonts w:asciiTheme="majorEastAsia" w:eastAsiaTheme="majorEastAsia" w:hAnsiTheme="majorEastAsia"/>
        </w:rPr>
        <w:t> 采用编码器-预测头架构：编码器负责从原始多通道传感器数据中提取随时间演化的退化特征表征；预测头则将编码后的隐状态映射为标量 RUL 估计。在源域预训练阶段，编码器学习通用的退化动力学表征；在目标域适配阶段，仅调整输入投影层与预测头，编码器进行全量微调，从而在保留通用退化知识的同时适应目标域特有的信号分布。</w:t>
      </w:r>
    </w:p>
    <w:p w14:paraId="09D2731C" w14:textId="77777777"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在数据流的组织上，所有预处理步骤严格遵循“训练侧可见”原则。输入的归一化均值和标准差、标签的缩放因子、窗口切分策略、趋势先验约束以及早停判据，均在每一折训练集内部独立计算并固化，再应用于对应的验证集与测试集。测试集在整个模型开发周期中保持完全隔离，仅在最终评估阶段使用一次。这一约束的工程动机在于模拟航天在轨场景的真实部署条件——在卫星发射前，地面仅拥有有限的历史试验数据，任何“未来信息”的提前泄露都会导致对泛化性能的过度乐观估计。</w:t>
      </w:r>
    </w:p>
    <w:p w14:paraId="59811561" w14:textId="77777777" w:rsidR="007213A2" w:rsidRPr="004643F8" w:rsidRDefault="007213A2" w:rsidP="007213A2">
      <w:pPr>
        <w:rPr>
          <w:rFonts w:asciiTheme="majorEastAsia" w:eastAsiaTheme="majorEastAsia" w:hAnsiTheme="majorEastAsia"/>
        </w:rPr>
      </w:pPr>
      <w:r w:rsidRPr="004643F8">
        <w:rPr>
          <w:rFonts w:asciiTheme="majorEastAsia" w:eastAsiaTheme="majorEastAsia" w:hAnsiTheme="majorEastAsia"/>
        </w:rPr>
        <w:t>综上，统一寿命预测问题的核心设计可总结为下表：</w:t>
      </w:r>
    </w:p>
    <w:p w14:paraId="252D2F0D" w14:textId="61243E37" w:rsidR="00A373F9" w:rsidRPr="004643F8" w:rsidRDefault="00A373F9" w:rsidP="007213A2">
      <w:pPr>
        <w:rPr>
          <w:rFonts w:asciiTheme="majorEastAsia" w:eastAsiaTheme="majorEastAsia" w:hAnsiTheme="majorEastAsia" w:hint="eastAsia"/>
        </w:rPr>
      </w:pPr>
      <w:r w:rsidRPr="004643F8">
        <w:rPr>
          <w:rFonts w:asciiTheme="majorEastAsia" w:eastAsiaTheme="majorEastAsia" w:hAnsiTheme="majorEastAsia" w:hint="eastAsia"/>
        </w:rPr>
        <w:t xml:space="preserve">表2 </w:t>
      </w:r>
      <w:r w:rsidR="00D229E7" w:rsidRPr="004643F8">
        <w:rPr>
          <w:rFonts w:asciiTheme="majorEastAsia" w:eastAsiaTheme="majorEastAsia" w:hAnsiTheme="majorEastAsia"/>
        </w:rPr>
        <w:t>统一寿命预测核心变量定义与关联关系表</w:t>
      </w:r>
    </w:p>
    <w:tbl>
      <w:tblPr>
        <w:tblStyle w:val="af2"/>
        <w:tblW w:w="8217" w:type="dxa"/>
        <w:jc w:val="center"/>
        <w:tblLayout w:type="fixed"/>
        <w:tblLook w:val="04A0" w:firstRow="1" w:lastRow="0" w:firstColumn="1" w:lastColumn="0" w:noHBand="0" w:noVBand="1"/>
      </w:tblPr>
      <w:tblGrid>
        <w:gridCol w:w="2263"/>
        <w:gridCol w:w="3828"/>
        <w:gridCol w:w="2126"/>
      </w:tblGrid>
      <w:tr w:rsidR="00340041" w:rsidRPr="004643F8" w14:paraId="42892D27" w14:textId="77777777" w:rsidTr="00B20E3D">
        <w:trPr>
          <w:trHeight w:val="360"/>
          <w:jc w:val="center"/>
        </w:trPr>
        <w:tc>
          <w:tcPr>
            <w:tcW w:w="2263" w:type="dxa"/>
            <w:hideMark/>
          </w:tcPr>
          <w:p w14:paraId="08189FD2" w14:textId="6026B4AD" w:rsidR="00340041" w:rsidRPr="004643F8" w:rsidRDefault="00340041" w:rsidP="00DE66FF">
            <w:pPr>
              <w:jc w:val="center"/>
              <w:rPr>
                <w:rFonts w:asciiTheme="majorEastAsia" w:eastAsiaTheme="majorEastAsia" w:hAnsiTheme="majorEastAsia" w:hint="eastAsia"/>
              </w:rPr>
            </w:pPr>
            <w:r w:rsidRPr="004643F8">
              <w:rPr>
                <w:rFonts w:asciiTheme="majorEastAsia" w:eastAsiaTheme="majorEastAsia" w:hAnsiTheme="majorEastAsia"/>
              </w:rPr>
              <w:t>变量</w:t>
            </w:r>
            <w:r w:rsidRPr="004643F8">
              <w:rPr>
                <w:rFonts w:asciiTheme="majorEastAsia" w:eastAsiaTheme="majorEastAsia" w:hAnsiTheme="majorEastAsia" w:hint="eastAsia"/>
              </w:rPr>
              <w:t>名称</w:t>
            </w:r>
          </w:p>
        </w:tc>
        <w:tc>
          <w:tcPr>
            <w:tcW w:w="3828" w:type="dxa"/>
            <w:hideMark/>
          </w:tcPr>
          <w:p w14:paraId="0F488B61" w14:textId="3559DFFE"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定义与说明</w:t>
            </w:r>
          </w:p>
        </w:tc>
        <w:tc>
          <w:tcPr>
            <w:tcW w:w="2126" w:type="dxa"/>
            <w:hideMark/>
          </w:tcPr>
          <w:p w14:paraId="6D17BBB6" w14:textId="06CB78BB" w:rsidR="00340041" w:rsidRPr="004643F8" w:rsidRDefault="00D36D69" w:rsidP="00DE66FF">
            <w:pPr>
              <w:jc w:val="center"/>
              <w:rPr>
                <w:rFonts w:asciiTheme="majorEastAsia" w:eastAsiaTheme="majorEastAsia" w:hAnsiTheme="majorEastAsia"/>
              </w:rPr>
            </w:pPr>
            <w:r w:rsidRPr="004643F8">
              <w:rPr>
                <w:rFonts w:asciiTheme="majorEastAsia" w:eastAsiaTheme="majorEastAsia" w:hAnsiTheme="majorEastAsia"/>
              </w:rPr>
              <w:t>变量间关联与约束</w:t>
            </w:r>
          </w:p>
        </w:tc>
      </w:tr>
      <w:tr w:rsidR="00340041" w:rsidRPr="004643F8" w14:paraId="5B1C923B" w14:textId="77777777" w:rsidTr="00B20E3D">
        <w:trPr>
          <w:trHeight w:val="875"/>
          <w:jc w:val="center"/>
        </w:trPr>
        <w:tc>
          <w:tcPr>
            <w:tcW w:w="2263" w:type="dxa"/>
            <w:hideMark/>
          </w:tcPr>
          <w:p w14:paraId="23960AB6" w14:textId="46969D2B" w:rsidR="00340041" w:rsidRPr="004643F8" w:rsidRDefault="00340041" w:rsidP="00DE66FF">
            <w:pPr>
              <w:jc w:val="cente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X</m:t>
                    </m:r>
                  </m:e>
                  <m:sub>
                    <m:r>
                      <w:rPr>
                        <w:rFonts w:ascii="Cambria Math" w:eastAsiaTheme="majorEastAsia" w:hAnsi="Cambria Math"/>
                      </w:rPr>
                      <m:t>t</m:t>
                    </m:r>
                  </m:sub>
                </m:sSub>
              </m:oMath>
            </m:oMathPara>
          </w:p>
        </w:tc>
        <w:tc>
          <w:tcPr>
            <w:tcW w:w="3828" w:type="dxa"/>
            <w:hideMark/>
          </w:tcPr>
          <w:p w14:paraId="5E29C1D4" w14:textId="0828006A"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时刻 </w:t>
            </w:r>
            <m:oMath>
              <m:r>
                <w:rPr>
                  <w:rFonts w:ascii="Cambria Math" w:eastAsiaTheme="majorEastAsia" w:hAnsi="Cambria Math"/>
                </w:rPr>
                <m:t>t</m:t>
              </m:r>
            </m:oMath>
            <w:r w:rsidRPr="004643F8">
              <w:rPr>
                <w:rFonts w:asciiTheme="majorEastAsia" w:eastAsiaTheme="majorEastAsia" w:hAnsiTheme="majorEastAsia"/>
              </w:rPr>
              <w:t> 的多通道原始传感器观测（如温度、振动、电压等），模型的基础输入</w:t>
            </w:r>
          </w:p>
        </w:tc>
        <w:tc>
          <w:tcPr>
            <w:tcW w:w="2126" w:type="dxa"/>
            <w:hideMark/>
          </w:tcPr>
          <w:p w14:paraId="02FDBBDC" w14:textId="093285E6"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经归一化后送入编码器；窗口</w:t>
            </w:r>
            <m:oMath>
              <m:r>
                <w:rPr>
                  <w:rFonts w:ascii="Cambria Math" w:eastAsiaTheme="majorEastAsia" w:hAnsi="Cambria Math"/>
                </w:rPr>
                <m:t>L</m:t>
              </m:r>
            </m:oMath>
            <w:r w:rsidRPr="004643F8">
              <w:rPr>
                <w:rFonts w:asciiTheme="majorEastAsia" w:eastAsiaTheme="majorEastAsia" w:hAnsiTheme="majorEastAsia"/>
              </w:rPr>
              <w:t>决定其历史上下文长度</w:t>
            </w:r>
          </w:p>
        </w:tc>
      </w:tr>
      <w:tr w:rsidR="00340041" w:rsidRPr="004643F8" w14:paraId="5C67C1DB" w14:textId="77777777" w:rsidTr="00B20E3D">
        <w:trPr>
          <w:trHeight w:val="1171"/>
          <w:jc w:val="center"/>
        </w:trPr>
        <w:tc>
          <w:tcPr>
            <w:tcW w:w="2263" w:type="dxa"/>
            <w:hideMark/>
          </w:tcPr>
          <w:p w14:paraId="7222BAD3" w14:textId="3D4641E6" w:rsidR="00340041" w:rsidRPr="004643F8" w:rsidRDefault="00340041" w:rsidP="00DE66FF">
            <w:pPr>
              <w:jc w:val="center"/>
              <w:rPr>
                <w:rFonts w:asciiTheme="majorEastAsia" w:eastAsiaTheme="majorEastAsia" w:hAnsiTheme="majorEastAsia" w:hint="eastAsia"/>
              </w:rPr>
            </w:pPr>
            <m:oMathPara>
              <m:oMath>
                <m:sSub>
                  <m:sSubPr>
                    <m:ctrlPr>
                      <w:rPr>
                        <w:rFonts w:ascii="Cambria Math" w:eastAsiaTheme="majorEastAsia" w:hAnsi="Cambria Math"/>
                        <w:i/>
                        <w:iCs/>
                      </w:rPr>
                    </m:ctrlPr>
                  </m:sSubPr>
                  <m:e>
                    <m:r>
                      <m:rPr>
                        <m:sty m:val="p"/>
                      </m:rPr>
                      <w:rPr>
                        <w:rFonts w:ascii="Cambria Math" w:eastAsiaTheme="majorEastAsia" w:hAnsi="Cambria Math"/>
                      </w:rPr>
                      <m:t>normalized</m:t>
                    </m:r>
                    <m:r>
                      <m:rPr>
                        <m:sty m:val="p"/>
                      </m:rPr>
                      <w:rPr>
                        <w:rFonts w:ascii="Cambria Math" w:eastAsiaTheme="majorEastAsia" w:hAnsi="Cambria Math" w:cs="Cambria Math"/>
                      </w:rPr>
                      <m:t>_</m:t>
                    </m:r>
                    <m:r>
                      <m:rPr>
                        <m:sty m:val="p"/>
                      </m:rPr>
                      <w:rPr>
                        <w:rFonts w:ascii="Cambria Math" w:eastAsiaTheme="majorEastAsia" w:hAnsi="Cambria Math"/>
                      </w:rPr>
                      <m:t>damage</m:t>
                    </m:r>
                  </m:e>
                  <m:sub>
                    <m:r>
                      <w:rPr>
                        <w:rFonts w:ascii="Cambria Math" w:eastAsiaTheme="majorEastAsia" w:hAnsi="Cambria Math"/>
                      </w:rPr>
                      <m:t>t</m:t>
                    </m:r>
                  </m:sub>
                </m:sSub>
              </m:oMath>
            </m:oMathPara>
          </w:p>
        </w:tc>
        <w:tc>
          <w:tcPr>
            <w:tcW w:w="3828" w:type="dxa"/>
            <w:hideMark/>
          </w:tcPr>
          <w:p w14:paraId="00858F0F" w14:textId="5605B0D0"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将 </w:t>
            </w:r>
            <m:oMath>
              <m:sSub>
                <m:sSubPr>
                  <m:ctrlPr>
                    <w:rPr>
                      <w:rFonts w:ascii="Cambria Math" w:eastAsiaTheme="majorEastAsia" w:hAnsi="Cambria Math"/>
                    </w:rPr>
                  </m:ctrlPr>
                </m:sSubPr>
                <m:e>
                  <m:r>
                    <w:rPr>
                      <w:rFonts w:ascii="Cambria Math" w:eastAsiaTheme="majorEastAsia" w:hAnsi="Cambria Math"/>
                    </w:rPr>
                    <m:t>x</m:t>
                  </m:r>
                </m:e>
                <m:sub>
                  <m:r>
                    <w:rPr>
                      <w:rFonts w:ascii="Cambria Math" w:eastAsiaTheme="majorEastAsia" w:hAnsi="Cambria Math"/>
                    </w:rPr>
                    <m:t>t</m:t>
                  </m:r>
                </m:sub>
              </m:sSub>
            </m:oMath>
            <w:r w:rsidRPr="004643F8">
              <w:rPr>
                <w:rFonts w:asciiTheme="majorEastAsia" w:eastAsiaTheme="majorEastAsia" w:hAnsiTheme="majorEastAsia"/>
              </w:rPr>
              <w:t> 映射至 </w:t>
            </w:r>
            <m:oMath>
              <m:d>
                <m:dPr>
                  <m:begChr m:val="["/>
                  <m:sepChr m:val=","/>
                  <m:end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1</m:t>
                  </m:r>
                </m:e>
              </m:d>
            </m:oMath>
            <w:r w:rsidRPr="004643F8">
              <w:rPr>
                <w:rFonts w:asciiTheme="majorEastAsia" w:eastAsiaTheme="majorEastAsia" w:hAnsiTheme="majorEastAsia"/>
              </w:rPr>
              <w:t> 的损伤程度，0 为全新，1 为失效，用于消除不同量纲间的尺度差异</w:t>
            </w:r>
          </w:p>
        </w:tc>
        <w:tc>
          <w:tcPr>
            <w:tcW w:w="2126" w:type="dxa"/>
            <w:hideMark/>
          </w:tcPr>
          <w:p w14:paraId="1ECDE8C6" w14:textId="77777777"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直接决定 ht</w:t>
            </w:r>
            <w:r w:rsidRPr="004643F8">
              <w:rPr>
                <w:rFonts w:asciiTheme="majorEastAsia" w:eastAsiaTheme="majorEastAsia" w:hAnsiTheme="majorEastAsia"/>
                <w:i/>
                <w:iCs/>
              </w:rPr>
              <w:t>ht</w:t>
            </w:r>
            <w:r w:rsidRPr="004643F8">
              <w:rPr>
                <w:rFonts w:ascii="Times New Roman" w:eastAsiaTheme="majorEastAsia" w:hAnsi="Times New Roman" w:cs="Times New Roman"/>
              </w:rPr>
              <w:t>​</w:t>
            </w:r>
            <w:r w:rsidRPr="004643F8">
              <w:rPr>
                <w:rFonts w:asciiTheme="majorEastAsia" w:eastAsiaTheme="majorEastAsia" w:hAnsiTheme="majorEastAsia"/>
              </w:rPr>
              <w:t> 的数值；需知晓全寿命幅值范围，仅训练侧可计算</w:t>
            </w:r>
          </w:p>
        </w:tc>
      </w:tr>
      <w:tr w:rsidR="00340041" w:rsidRPr="004643F8" w14:paraId="673D61BF" w14:textId="77777777" w:rsidTr="00B20E3D">
        <w:trPr>
          <w:trHeight w:val="907"/>
          <w:jc w:val="center"/>
        </w:trPr>
        <w:tc>
          <w:tcPr>
            <w:tcW w:w="2263" w:type="dxa"/>
            <w:hideMark/>
          </w:tcPr>
          <w:p w14:paraId="1384D04E" w14:textId="7DF2ACA0" w:rsidR="00340041" w:rsidRPr="004643F8" w:rsidRDefault="00340041" w:rsidP="00DE66FF">
            <w:pPr>
              <w:jc w:val="cente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h</m:t>
                    </m:r>
                  </m:e>
                  <m:sub>
                    <m:r>
                      <w:rPr>
                        <w:rFonts w:ascii="Cambria Math" w:eastAsiaTheme="majorEastAsia" w:hAnsi="Cambria Math"/>
                      </w:rPr>
                      <m:t>t</m:t>
                    </m:r>
                  </m:sub>
                </m:sSub>
              </m:oMath>
            </m:oMathPara>
          </w:p>
        </w:tc>
        <w:tc>
          <w:tcPr>
            <w:tcW w:w="3828" w:type="dxa"/>
            <w:hideMark/>
          </w:tcPr>
          <w:p w14:paraId="3B7D17EE" w14:textId="37373753" w:rsidR="00340041" w:rsidRPr="004643F8" w:rsidRDefault="00340041" w:rsidP="00DE66FF">
            <w:pPr>
              <w:jc w:val="center"/>
              <w:rPr>
                <w:rFonts w:asciiTheme="majorEastAsia" w:eastAsiaTheme="majorEastAsia" w:hAnsiTheme="majorEastAsia"/>
              </w:rPr>
            </w:pPr>
            <m:oMath>
              <m:r>
                <w:rPr>
                  <w:rFonts w:ascii="Cambria Math" w:eastAsiaTheme="majorEastAsia" w:hAnsi="Cambria Math"/>
                </w:rPr>
                <m:t>1-</m:t>
              </m:r>
              <m:sSub>
                <m:sSubPr>
                  <m:ctrlPr>
                    <w:rPr>
                      <w:rFonts w:ascii="Cambria Math" w:eastAsiaTheme="majorEastAsia" w:hAnsi="Cambria Math"/>
                      <w:i/>
                      <w:iCs/>
                    </w:rPr>
                  </m:ctrlPr>
                </m:sSubPr>
                <m:e>
                  <m:r>
                    <m:rPr>
                      <m:sty m:val="p"/>
                    </m:rPr>
                    <w:rPr>
                      <w:rFonts w:ascii="Cambria Math" w:eastAsiaTheme="majorEastAsia" w:hAnsi="Cambria Math"/>
                    </w:rPr>
                    <m:t>normalized</m:t>
                  </m:r>
                  <m:r>
                    <m:rPr>
                      <m:sty m:val="p"/>
                    </m:rPr>
                    <w:rPr>
                      <w:rFonts w:ascii="Cambria Math" w:eastAsiaTheme="majorEastAsia" w:hAnsi="Cambria Math" w:cs="Cambria Math"/>
                    </w:rPr>
                    <m:t>_</m:t>
                  </m:r>
                  <m:r>
                    <m:rPr>
                      <m:sty m:val="p"/>
                    </m:rPr>
                    <w:rPr>
                      <w:rFonts w:ascii="Cambria Math" w:eastAsiaTheme="majorEastAsia" w:hAnsi="Cambria Math"/>
                    </w:rPr>
                    <m:t>damage</m:t>
                  </m:r>
                </m:e>
                <m:sub>
                  <m:r>
                    <w:rPr>
                      <w:rFonts w:ascii="Cambria Math" w:eastAsiaTheme="majorEastAsia" w:hAnsi="Cambria Math"/>
                    </w:rPr>
                    <m:t>t</m:t>
                  </m:r>
                </m:sub>
              </m:sSub>
            </m:oMath>
            <w:r w:rsidRPr="004643F8">
              <w:rPr>
                <w:rFonts w:asciiTheme="majorEastAsia" w:eastAsiaTheme="majorEastAsia" w:hAnsiTheme="majorEastAsia"/>
              </w:rPr>
              <w:t>，统一方向为“越大越健康”，作为跨域迁移的语义对齐锚点</w:t>
            </w:r>
          </w:p>
        </w:tc>
        <w:tc>
          <w:tcPr>
            <w:tcW w:w="2126" w:type="dxa"/>
            <w:hideMark/>
          </w:tcPr>
          <w:p w14:paraId="490BDD80" w14:textId="5A30524E"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用于计算</w:t>
            </w:r>
            <m:oMath>
              <m:sSub>
                <m:sSubPr>
                  <m:ctrlPr>
                    <w:rPr>
                      <w:rFonts w:ascii="Cambria Math" w:eastAsiaTheme="majorEastAsia" w:hAnsi="Cambria Math"/>
                      <w:i/>
                      <w:iCs/>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；作为可视化仪表板的健康状态指示核心</w:t>
            </w:r>
          </w:p>
        </w:tc>
      </w:tr>
      <w:tr w:rsidR="00340041" w:rsidRPr="004643F8" w14:paraId="73DA0B91" w14:textId="77777777" w:rsidTr="00B20E3D">
        <w:trPr>
          <w:trHeight w:val="948"/>
          <w:jc w:val="center"/>
        </w:trPr>
        <w:tc>
          <w:tcPr>
            <w:tcW w:w="2263" w:type="dxa"/>
            <w:hideMark/>
          </w:tcPr>
          <w:p w14:paraId="38DBCBF5" w14:textId="20C33A14" w:rsidR="00340041" w:rsidRPr="004643F8" w:rsidRDefault="00340041" w:rsidP="00DE66FF">
            <w:pPr>
              <w:jc w:val="cente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T</m:t>
                    </m:r>
                  </m:e>
                  <m:sub>
                    <m:r>
                      <w:rPr>
                        <w:rFonts w:ascii="Cambria Math" w:eastAsiaTheme="majorEastAsia" w:hAnsi="Cambria Math"/>
                      </w:rPr>
                      <m:t>EOL</m:t>
                    </m:r>
                    <m:r>
                      <w:rPr>
                        <w:rFonts w:ascii="Cambria Math" w:eastAsiaTheme="majorEastAsia" w:hAnsi="Cambria Math"/>
                      </w:rPr>
                      <m:t>​</m:t>
                    </m:r>
                  </m:sub>
                </m:sSub>
              </m:oMath>
            </m:oMathPara>
          </w:p>
        </w:tc>
        <w:tc>
          <w:tcPr>
            <w:tcW w:w="3828" w:type="dxa"/>
            <w:hideMark/>
          </w:tcPr>
          <w:p w14:paraId="3F15F589" w14:textId="7086B82D" w:rsidR="00340041" w:rsidRPr="004643F8" w:rsidRDefault="00B20E3D" w:rsidP="00DE66FF">
            <w:pPr>
              <w:jc w:val="center"/>
              <w:rPr>
                <w:rFonts w:asciiTheme="majorEastAsia" w:eastAsiaTheme="majorEastAsia" w:hAnsiTheme="majorEastAsia"/>
              </w:rPr>
            </w:pPr>
            <w:r w:rsidRPr="004643F8">
              <w:rPr>
                <w:rFonts w:asciiTheme="majorEastAsia" w:eastAsiaTheme="majorEastAsia" w:hAnsiTheme="majorEastAsia"/>
              </w:rPr>
              <w:t>寿命终点时刻，即 </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oMath>
            <w:r w:rsidRPr="004643F8">
              <w:rPr>
                <w:rFonts w:asciiTheme="majorEastAsia" w:eastAsiaTheme="majorEastAsia" w:hAnsiTheme="majorEastAsia"/>
              </w:rPr>
              <w:t> 首次触及 0 或失效阈值的时刻</w:t>
            </w:r>
          </w:p>
        </w:tc>
        <w:tc>
          <w:tcPr>
            <w:tcW w:w="2126" w:type="dxa"/>
            <w:hideMark/>
          </w:tcPr>
          <w:p w14:paraId="4879630F" w14:textId="1748B3B3"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与  </w:t>
            </w:r>
            <m:oMath>
              <m:r>
                <w:rPr>
                  <w:rFonts w:ascii="Cambria Math" w:eastAsiaTheme="majorEastAsia" w:hAnsi="Cambria Math"/>
                </w:rPr>
                <m:t>t</m:t>
              </m:r>
            </m:oMath>
            <w:r w:rsidRPr="004643F8">
              <w:rPr>
                <w:rFonts w:asciiTheme="majorEastAsia" w:eastAsiaTheme="majorEastAsia" w:hAnsiTheme="majorEastAsia"/>
              </w:rPr>
              <w:t> 共同决定 </w:t>
            </w:r>
            <m:oMath>
              <m:sSub>
                <m:sSubPr>
                  <m:ctrlPr>
                    <w:rPr>
                      <w:rFonts w:ascii="Cambria Math" w:eastAsiaTheme="majorEastAsia" w:hAnsi="Cambria Math"/>
                      <w:i/>
                      <w:iCs/>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w:t>
            </w:r>
            <w:r w:rsidRPr="004643F8">
              <w:rPr>
                <w:rFonts w:asciiTheme="majorEastAsia" w:eastAsiaTheme="majorEastAsia" w:hAnsiTheme="majorEastAsia"/>
                <w:i/>
                <w:iCs/>
              </w:rPr>
              <w:br/>
            </w:r>
            <m:oMath>
              <m:r>
                <w:rPr>
                  <w:rFonts w:ascii="Cambria Math" w:eastAsiaTheme="majorEastAsia" w:hAnsi="Cambria Math"/>
                </w:rPr>
                <m:t>TEOL</m:t>
              </m:r>
              <m:r>
                <w:rPr>
                  <w:rFonts w:ascii="Cambria Math" w:eastAsiaTheme="majorEastAsia" w:hAnsi="Cambria Math"/>
                </w:rPr>
                <m:t>​</m:t>
              </m:r>
            </m:oMath>
            <w:r w:rsidRPr="004643F8">
              <w:rPr>
                <w:rFonts w:asciiTheme="majorEastAsia" w:eastAsiaTheme="majorEastAsia" w:hAnsiTheme="majorEastAsia"/>
              </w:rPr>
              <w:t> 仅在训练集轨迹中确定</w:t>
            </w:r>
          </w:p>
        </w:tc>
      </w:tr>
      <w:tr w:rsidR="00340041" w:rsidRPr="004643F8" w14:paraId="54524D1C" w14:textId="77777777" w:rsidTr="00B20E3D">
        <w:trPr>
          <w:trHeight w:val="875"/>
          <w:jc w:val="center"/>
        </w:trPr>
        <w:tc>
          <w:tcPr>
            <w:tcW w:w="2263" w:type="dxa"/>
            <w:hideMark/>
          </w:tcPr>
          <w:p w14:paraId="0EFAA0B5" w14:textId="2AA7AE15" w:rsidR="00340041" w:rsidRPr="004643F8" w:rsidRDefault="00340041" w:rsidP="00DE66FF">
            <w:pPr>
              <w:jc w:val="cente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r</m:t>
                    </m:r>
                  </m:e>
                  <m:sub>
                    <m:r>
                      <w:rPr>
                        <w:rFonts w:ascii="Cambria Math" w:eastAsiaTheme="majorEastAsia" w:hAnsi="Cambria Math"/>
                      </w:rPr>
                      <m:t>t</m:t>
                    </m:r>
                  </m:sub>
                </m:sSub>
              </m:oMath>
            </m:oMathPara>
          </w:p>
        </w:tc>
        <w:tc>
          <w:tcPr>
            <w:tcW w:w="3828" w:type="dxa"/>
            <w:hideMark/>
          </w:tcPr>
          <w:p w14:paraId="5CDACAC1" w14:textId="31916F76" w:rsidR="00340041" w:rsidRPr="004643F8" w:rsidRDefault="00B20E3D" w:rsidP="00DE66FF">
            <w:pPr>
              <w:jc w:val="center"/>
              <w:rPr>
                <w:rFonts w:asciiTheme="majorEastAsia" w:eastAsiaTheme="majorEastAsia" w:hAnsiTheme="majorEastAsia"/>
              </w:rPr>
            </w:pPr>
            <w:r w:rsidRPr="004643F8">
              <w:rPr>
                <w:rFonts w:asciiTheme="majorEastAsia" w:eastAsiaTheme="majorEastAsia" w:hAnsiTheme="majorEastAsia"/>
              </w:rPr>
              <w:t>真实剩余寿命，</w:t>
            </w:r>
            <m:oMath>
              <m:sSub>
                <m:sSubPr>
                  <m:ctrlPr>
                    <w:rPr>
                      <w:rFonts w:ascii="Cambria Math" w:eastAsiaTheme="majorEastAsia" w:hAnsi="Cambria Math"/>
                    </w:rPr>
                  </m:ctrlPr>
                </m:sSubPr>
                <m:e>
                  <m:r>
                    <m:rPr>
                      <m:sty m:val="p"/>
                    </m:rPr>
                    <w:rPr>
                      <w:rFonts w:ascii="Cambria Math" w:eastAsiaTheme="majorEastAsia" w:hAnsi="Cambria Math"/>
                    </w:rPr>
                    <m:t>T</m:t>
                  </m:r>
                </m:e>
                <m:sub>
                  <m:r>
                    <m:rPr>
                      <m:sty m:val="p"/>
                    </m:rPr>
                    <w:rPr>
                      <w:rFonts w:ascii="Cambria Math" w:eastAsiaTheme="majorEastAsia" w:hAnsi="Cambria Math"/>
                    </w:rPr>
                    <m:t>EOL</m:t>
                  </m:r>
                </m:sub>
              </m:sSub>
              <m:r>
                <m:rPr>
                  <m:sty m:val="p"/>
                </m:rPr>
                <w:rPr>
                  <w:rFonts w:ascii="Cambria Math" w:eastAsiaTheme="majorEastAsia" w:hAnsi="Cambria Math"/>
                </w:rPr>
                <m:t>-t</m:t>
              </m:r>
            </m:oMath>
            <w:r w:rsidRPr="004643F8">
              <w:rPr>
                <w:rFonts w:asciiTheme="majorEastAsia" w:eastAsiaTheme="majorEastAsia" w:hAnsiTheme="majorEastAsia"/>
              </w:rPr>
              <w:t>，作为模型训练的监督标签</w:t>
            </w:r>
          </w:p>
        </w:tc>
        <w:tc>
          <w:tcPr>
            <w:tcW w:w="2126" w:type="dxa"/>
            <w:hideMark/>
          </w:tcPr>
          <w:p w14:paraId="50A13A9C" w14:textId="09F8CC09"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标签尺度归一化后参与损失计算；输出 </w:t>
            </w:r>
            <w:r w:rsidRPr="004643F8">
              <w:rPr>
                <w:rFonts w:asciiTheme="majorEastAsia" w:eastAsiaTheme="majorEastAsia" w:hAnsiTheme="majorEastAsia"/>
                <w:i/>
              </w:rPr>
              <w:br/>
            </w:r>
            <m:oMath>
              <m:sSup>
                <m:sSupPr>
                  <m:ctrlPr>
                    <w:rPr>
                      <w:rFonts w:ascii="Cambria Math" w:eastAsiaTheme="majorEastAsia" w:hAnsi="Cambria Math"/>
                      <w:i/>
                    </w:rPr>
                  </m:ctrlPr>
                </m:sSupPr>
                <m:e>
                  <m:r>
                    <w:rPr>
                      <w:rFonts w:ascii="Cambria Math" w:eastAsiaTheme="majorEastAsia" w:hAnsi="Cambria Math"/>
                    </w:rPr>
                    <m:t>r</m:t>
                  </m:r>
                </m:e>
                <m:sup>
                  <m:r>
                    <w:rPr>
                      <w:rFonts w:ascii="Cambria Math" w:eastAsiaTheme="majorEastAsia" w:hAnsi="Cambria Math"/>
                    </w:rPr>
                    <m:t>t</m:t>
                  </m:r>
                </m:sup>
              </m:sSup>
            </m:oMath>
            <w:r w:rsidRPr="004643F8">
              <w:rPr>
                <w:rFonts w:asciiTheme="majorEastAsia" w:eastAsiaTheme="majorEastAsia" w:hAnsiTheme="majorEastAsia"/>
              </w:rPr>
              <w:t>的对照基准</w:t>
            </w:r>
          </w:p>
        </w:tc>
      </w:tr>
      <w:tr w:rsidR="00340041" w:rsidRPr="004643F8" w14:paraId="4608427A" w14:textId="77777777" w:rsidTr="00B20E3D">
        <w:trPr>
          <w:trHeight w:val="720"/>
          <w:jc w:val="center"/>
        </w:trPr>
        <w:tc>
          <w:tcPr>
            <w:tcW w:w="2263" w:type="dxa"/>
            <w:hideMark/>
          </w:tcPr>
          <w:p w14:paraId="74650E39" w14:textId="023B46CF" w:rsidR="00340041" w:rsidRPr="004643F8" w:rsidRDefault="00340041" w:rsidP="00DE66FF">
            <w:pPr>
              <w:jc w:val="center"/>
              <w:rPr>
                <w:rFonts w:asciiTheme="majorEastAsia" w:eastAsiaTheme="majorEastAsia" w:hAnsiTheme="majorEastAsia"/>
              </w:rPr>
            </w:pPr>
            <m:oMathPara>
              <m:oMath>
                <m:r>
                  <w:rPr>
                    <w:rFonts w:ascii="Cambria Math" w:eastAsiaTheme="majorEastAsia" w:hAnsi="Cambria Math"/>
                  </w:rPr>
                  <m:t>L</m:t>
                </m:r>
              </m:oMath>
            </m:oMathPara>
          </w:p>
        </w:tc>
        <w:tc>
          <w:tcPr>
            <w:tcW w:w="3828" w:type="dxa"/>
            <w:hideMark/>
          </w:tcPr>
          <w:p w14:paraId="63371578" w14:textId="65D413D9" w:rsidR="00340041" w:rsidRPr="004643F8" w:rsidRDefault="00B20E3D" w:rsidP="00DE66FF">
            <w:pPr>
              <w:jc w:val="center"/>
              <w:rPr>
                <w:rFonts w:asciiTheme="majorEastAsia" w:eastAsiaTheme="majorEastAsia" w:hAnsiTheme="majorEastAsia"/>
              </w:rPr>
            </w:pPr>
            <w:r w:rsidRPr="004643F8">
              <w:rPr>
                <w:rFonts w:asciiTheme="majorEastAsia" w:eastAsiaTheme="majorEastAsia" w:hAnsiTheme="majorEastAsia"/>
              </w:rPr>
              <w:t>滑动窗口长度，决定每次推理回溯的历史步数</w:t>
            </w:r>
          </w:p>
        </w:tc>
        <w:tc>
          <w:tcPr>
            <w:tcW w:w="2126" w:type="dxa"/>
            <w:hideMark/>
          </w:tcPr>
          <w:p w14:paraId="533F7F6C" w14:textId="77777777"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影响输入张量维度；过长则放大噪声，过短则丢失趋势信息</w:t>
            </w:r>
          </w:p>
        </w:tc>
      </w:tr>
      <w:tr w:rsidR="00340041" w:rsidRPr="004643F8" w14:paraId="718A3448" w14:textId="77777777" w:rsidTr="00B20E3D">
        <w:trPr>
          <w:trHeight w:val="875"/>
          <w:jc w:val="center"/>
        </w:trPr>
        <w:tc>
          <w:tcPr>
            <w:tcW w:w="2263" w:type="dxa"/>
            <w:hideMark/>
          </w:tcPr>
          <w:p w14:paraId="45EB1FE8" w14:textId="3EE55144" w:rsidR="00340041" w:rsidRPr="004643F8" w:rsidRDefault="00340041" w:rsidP="00DE66FF">
            <w:pPr>
              <w:jc w:val="center"/>
              <w:rPr>
                <w:rFonts w:asciiTheme="majorEastAsia" w:eastAsiaTheme="majorEastAsia" w:hAnsiTheme="majorEastAsia"/>
              </w:rPr>
            </w:pPr>
            <m:oMathPara>
              <m:oMath>
                <m:sSub>
                  <m:sSubPr>
                    <m:ctrlPr>
                      <w:rPr>
                        <w:rFonts w:ascii="Cambria Math" w:eastAsiaTheme="majorEastAsia" w:hAnsi="Cambria Math"/>
                        <w:i/>
                      </w:rPr>
                    </m:ctrlPr>
                  </m:sSubPr>
                  <m:e>
                    <m:acc>
                      <m:accPr>
                        <m:ctrlPr>
                          <w:rPr>
                            <w:rFonts w:ascii="Cambria Math" w:eastAsiaTheme="majorEastAsia" w:hAnsi="Cambria Math"/>
                            <w:i/>
                          </w:rPr>
                        </m:ctrlPr>
                      </m:accPr>
                      <m:e>
                        <m:r>
                          <w:rPr>
                            <w:rFonts w:ascii="Cambria Math" w:eastAsiaTheme="majorEastAsia" w:hAnsi="Cambria Math"/>
                          </w:rPr>
                          <m:t>r</m:t>
                        </m:r>
                      </m:e>
                    </m:acc>
                  </m:e>
                  <m:sub>
                    <m:r>
                      <w:rPr>
                        <w:rFonts w:ascii="Cambria Math" w:eastAsiaTheme="majorEastAsia" w:hAnsi="Cambria Math"/>
                      </w:rPr>
                      <m:t>t</m:t>
                    </m:r>
                  </m:sub>
                </m:sSub>
              </m:oMath>
            </m:oMathPara>
          </w:p>
        </w:tc>
        <w:tc>
          <w:tcPr>
            <w:tcW w:w="3828" w:type="dxa"/>
            <w:hideMark/>
          </w:tcPr>
          <w:p w14:paraId="28777A8A" w14:textId="4145A6D2" w:rsidR="00340041" w:rsidRPr="004643F8" w:rsidRDefault="00B20E3D" w:rsidP="00DE66FF">
            <w:pPr>
              <w:jc w:val="center"/>
              <w:rPr>
                <w:rFonts w:asciiTheme="majorEastAsia" w:eastAsiaTheme="majorEastAsia" w:hAnsiTheme="majorEastAsia"/>
              </w:rPr>
            </w:pPr>
            <w:r w:rsidRPr="004643F8">
              <w:rPr>
                <w:rFonts w:asciiTheme="majorEastAsia" w:eastAsiaTheme="majorEastAsia" w:hAnsiTheme="majorEastAsia"/>
              </w:rPr>
              <w:t>模型 </w:t>
            </w:r>
            <m:oMath>
              <m:sSub>
                <m:sSubPr>
                  <m:ctrlPr>
                    <w:rPr>
                      <w:rFonts w:ascii="Cambria Math" w:eastAsiaTheme="majorEastAsia" w:hAnsi="Cambria Math"/>
                    </w:rPr>
                  </m:ctrlPr>
                </m:sSubPr>
                <m:e>
                  <m:r>
                    <w:rPr>
                      <w:rFonts w:ascii="Cambria Math" w:eastAsiaTheme="majorEastAsia" w:hAnsi="Cambria Math"/>
                    </w:rPr>
                    <m:t>f</m:t>
                  </m:r>
                </m:e>
                <m:sub>
                  <m:r>
                    <w:rPr>
                      <w:rFonts w:ascii="Cambria Math" w:eastAsiaTheme="majorEastAsia" w:hAnsi="Cambria Math"/>
                    </w:rPr>
                    <m:t>θ</m:t>
                  </m:r>
                </m:sub>
              </m:sSub>
            </m:oMath>
            <w:r w:rsidRPr="004643F8">
              <w:rPr>
                <w:rFonts w:asciiTheme="majorEastAsia" w:eastAsiaTheme="majorEastAsia" w:hAnsiTheme="majorEastAsia"/>
              </w:rPr>
              <w:t> 输出的剩余寿命估计值</w:t>
            </w:r>
          </w:p>
        </w:tc>
        <w:tc>
          <w:tcPr>
            <w:tcW w:w="2126" w:type="dxa"/>
            <w:hideMark/>
          </w:tcPr>
          <w:p w14:paraId="0AA4DBA0" w14:textId="10489B79"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与 </w:t>
            </w:r>
            <m:oMath>
              <m:sSup>
                <m:sSupPr>
                  <m:ctrlPr>
                    <w:rPr>
                      <w:rFonts w:ascii="Cambria Math" w:eastAsiaTheme="majorEastAsia" w:hAnsi="Cambria Math"/>
                      <w:i/>
                    </w:rPr>
                  </m:ctrlPr>
                </m:sSupPr>
                <m:e>
                  <m:r>
                    <w:rPr>
                      <w:rFonts w:ascii="Cambria Math" w:eastAsiaTheme="majorEastAsia" w:hAnsi="Cambria Math"/>
                    </w:rPr>
                    <m:t>r</m:t>
                  </m:r>
                </m:e>
                <m:sup>
                  <m:r>
                    <w:rPr>
                      <w:rFonts w:ascii="Cambria Math" w:eastAsiaTheme="majorEastAsia" w:hAnsi="Cambria Math"/>
                    </w:rPr>
                    <m:t>t</m:t>
                  </m:r>
                </m:sup>
              </m:sSup>
            </m:oMath>
            <w:r w:rsidRPr="004643F8">
              <w:rPr>
                <w:rFonts w:asciiTheme="majorEastAsia" w:eastAsiaTheme="majorEastAsia" w:hAnsiTheme="majorEastAsia"/>
              </w:rPr>
              <w:t>计算预测误差；经反归一化还原为原始物理时间单位</w:t>
            </w:r>
          </w:p>
        </w:tc>
      </w:tr>
    </w:tbl>
    <w:p w14:paraId="26D9C8EB" w14:textId="77777777" w:rsidR="00E52018" w:rsidRPr="004643F8" w:rsidRDefault="00E52018" w:rsidP="00E52018">
      <w:pPr>
        <w:pStyle w:val="2"/>
        <w:rPr>
          <w:rFonts w:asciiTheme="majorEastAsia" w:eastAsiaTheme="majorEastAsia" w:hAnsiTheme="majorEastAsia"/>
        </w:rPr>
      </w:pPr>
      <w:r w:rsidRPr="004643F8">
        <w:rPr>
          <w:rFonts w:asciiTheme="majorEastAsia" w:eastAsiaTheme="majorEastAsia" w:hAnsiTheme="majorEastAsia"/>
          <w:b/>
          <w:bCs/>
        </w:rPr>
        <w:t>2.2 源域：喷嘴烧蚀退化</w:t>
      </w:r>
    </w:p>
    <w:p w14:paraId="0BFDA342"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源域承担着为整个迁移学习框架提供退化知识基座的功能。我们选取喷嘴烧蚀退化数据作为源域知识来源，其工程动机在于：喷嘴在高温高速气流作用下的烧蚀过程具有明确的物理机理和清晰的退化轨迹，烧蚀深度随工作时间单调递增，这一“健康余量持续消耗”的演化模式与航天器电池容量衰减、反作用轮机械磨损等典型在轨退化过程在动力学形态上具有高度结构相似性，适合作为跨域迁移的起点。</w:t>
      </w:r>
    </w:p>
    <w:p w14:paraId="1C6CE42F" w14:textId="550A2BEE"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退化机理方面，喷嘴长期工作于极端热-力耦合环境中，材料表面在高温气流冲刷和热化学氧化作用下逐渐损失，表现为烧蚀深度随累积工作时间的不可逆增长。本数据集中，烧蚀深度作为可直接观测的退化量被连续记录，随服役时间推进，材料剩余厚度递减，健康余量相应下降。基于此，我们将原始烧蚀深度 </w:t>
      </w:r>
      <m:oMath>
        <m:sSub>
          <m:sSubPr>
            <m:ctrlPr>
              <w:rPr>
                <w:rFonts w:ascii="Cambria Math" w:eastAsiaTheme="majorEastAsia" w:hAnsi="Cambria Math"/>
              </w:rPr>
            </m:ctrlPr>
          </m:sSubPr>
          <m:e>
            <m:r>
              <w:rPr>
                <w:rFonts w:ascii="Cambria Math" w:eastAsiaTheme="majorEastAsia" w:hAnsi="Cambria Math"/>
              </w:rPr>
              <m:t>d</m:t>
            </m:r>
          </m:e>
          <m:sub>
            <m:r>
              <w:rPr>
                <w:rFonts w:ascii="Cambria Math" w:eastAsiaTheme="majorEastAsia" w:hAnsi="Cambria Math"/>
              </w:rPr>
              <m:t>t</m:t>
            </m:r>
          </m:sub>
        </m:sSub>
      </m:oMath>
      <w:r w:rsidRPr="004643F8">
        <w:rPr>
          <w:rFonts w:asciiTheme="majorEastAsia" w:eastAsiaTheme="majorEastAsia" w:hAnsiTheme="majorEastAsia"/>
        </w:rPr>
        <w:t> 按轨迹全寿命幅值范围归一化为 </w:t>
      </w:r>
      <m:oMath>
        <m:sSub>
          <m:sSubPr>
            <m:ctrlPr>
              <w:rPr>
                <w:rFonts w:ascii="Cambria Math" w:eastAsiaTheme="majorEastAsia" w:hAnsi="Cambria Math"/>
              </w:rPr>
            </m:ctrlPr>
          </m:sSubPr>
          <m:e>
            <m:r>
              <m:rPr>
                <m:nor/>
              </m:rPr>
              <w:rPr>
                <w:rFonts w:asciiTheme="majorEastAsia" w:eastAsiaTheme="majorEastAsia" w:hAnsiTheme="majorEastAsia"/>
              </w:rPr>
              <m:t>normalized</m:t>
            </m:r>
            <m:r>
              <m:rPr>
                <m:lit/>
                <m:nor/>
              </m:rPr>
              <w:rPr>
                <w:rFonts w:asciiTheme="majorEastAsia" w:eastAsiaTheme="majorEastAsia" w:hAnsiTheme="majorEastAsia"/>
              </w:rPr>
              <m:t>_</m:t>
            </m:r>
            <m:r>
              <m:rPr>
                <m:nor/>
              </m:rPr>
              <w:rPr>
                <w:rFonts w:asciiTheme="majorEastAsia" w:eastAsiaTheme="majorEastAsia" w:hAnsiTheme="majorEastAsia"/>
              </w:rPr>
              <m:t>damage</m:t>
            </m:r>
          </m:e>
          <m:sub>
            <m:r>
              <w:rPr>
                <w:rFonts w:ascii="Cambria Math" w:eastAsiaTheme="majorEastAsia" w:hAnsi="Cambria Math"/>
              </w:rPr>
              <m:t>t</m:t>
            </m:r>
          </m:sub>
        </m:sSub>
        <m:r>
          <w:rPr>
            <w:rFonts w:ascii="Cambria Math" w:eastAsiaTheme="majorEastAsia" w:hAnsi="Cambria Math"/>
          </w:rPr>
          <m:t>∈</m:t>
        </m:r>
        <m:d>
          <m:dPr>
            <m:begChr m:val="["/>
            <m:sepChr m:val=","/>
            <m:end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1</m:t>
            </m:r>
          </m:e>
        </m:d>
      </m:oMath>
      <w:r w:rsidRPr="004643F8">
        <w:rPr>
          <w:rFonts w:asciiTheme="majorEastAsia" w:eastAsiaTheme="majorEastAsia" w:hAnsiTheme="majorEastAsia"/>
        </w:rPr>
        <w:t>，进而构造源域健康信号：</w:t>
      </w:r>
    </w:p>
    <w:p w14:paraId="187AA450" w14:textId="6C011577" w:rsidR="00E52018" w:rsidRPr="004643F8" w:rsidRDefault="00E52018" w:rsidP="00E52018">
      <w:pPr>
        <w:rPr>
          <w:rFonts w:asciiTheme="majorEastAsia" w:eastAsiaTheme="majorEastAsia" w:hAnsiTheme="majorEastAsia"/>
        </w:rPr>
      </w:pPr>
      <m:oMathPara>
        <m:oMath>
          <m:sSubSup>
            <m:sSubSupPr>
              <m:ctrlPr>
                <w:rPr>
                  <w:rFonts w:ascii="Cambria Math" w:eastAsiaTheme="majorEastAsia" w:hAnsi="Cambria Math"/>
                </w:rPr>
              </m:ctrlPr>
            </m:sSubSupPr>
            <m:e>
              <m:r>
                <w:rPr>
                  <w:rFonts w:ascii="Cambria Math" w:eastAsiaTheme="majorEastAsia" w:hAnsi="Cambria Math"/>
                </w:rPr>
                <m:t>h</m:t>
              </m:r>
            </m:e>
            <m:sub>
              <m:r>
                <w:rPr>
                  <w:rFonts w:ascii="Cambria Math" w:eastAsiaTheme="majorEastAsia" w:hAnsi="Cambria Math"/>
                </w:rPr>
                <m:t>t</m:t>
              </m:r>
            </m:sub>
            <m:sup>
              <m:r>
                <m:rPr>
                  <m:nor/>
                </m:rPr>
                <w:rPr>
                  <w:rFonts w:asciiTheme="majorEastAsia" w:eastAsiaTheme="majorEastAsia" w:hAnsiTheme="majorEastAsia"/>
                </w:rPr>
                <m:t>(source)</m:t>
              </m:r>
            </m:sup>
          </m:sSubSup>
          <m:r>
            <w:rPr>
              <w:rFonts w:ascii="Cambria Math" w:eastAsiaTheme="majorEastAsia" w:hAnsi="Cambria Math"/>
            </w:rPr>
            <m:t>=1-</m:t>
          </m:r>
          <m:sSub>
            <m:sSubPr>
              <m:ctrlPr>
                <w:rPr>
                  <w:rFonts w:ascii="Cambria Math" w:eastAsiaTheme="majorEastAsia" w:hAnsi="Cambria Math"/>
                </w:rPr>
              </m:ctrlPr>
            </m:sSubPr>
            <m:e>
              <m:r>
                <m:rPr>
                  <m:nor/>
                </m:rPr>
                <w:rPr>
                  <w:rFonts w:asciiTheme="majorEastAsia" w:eastAsiaTheme="majorEastAsia" w:hAnsiTheme="majorEastAsia"/>
                </w:rPr>
                <m:t>normalized</m:t>
              </m:r>
              <m:r>
                <m:rPr>
                  <m:lit/>
                  <m:nor/>
                </m:rPr>
                <w:rPr>
                  <w:rFonts w:asciiTheme="majorEastAsia" w:eastAsiaTheme="majorEastAsia" w:hAnsiTheme="majorEastAsia"/>
                </w:rPr>
                <m:t>_</m:t>
              </m:r>
              <m:r>
                <m:rPr>
                  <m:nor/>
                </m:rPr>
                <w:rPr>
                  <w:rFonts w:asciiTheme="majorEastAsia" w:eastAsiaTheme="majorEastAsia" w:hAnsiTheme="majorEastAsia"/>
                </w:rPr>
                <m:t>depth</m:t>
              </m:r>
            </m:e>
            <m:sub>
              <m:r>
                <w:rPr>
                  <w:rFonts w:ascii="Cambria Math" w:eastAsiaTheme="majorEastAsia" w:hAnsi="Cambria Math"/>
                </w:rPr>
                <m:t>t</m:t>
              </m:r>
            </m:sub>
          </m:sSub>
        </m:oMath>
      </m:oMathPara>
    </w:p>
    <w:p w14:paraId="33FE3E3F"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该变换使源域健康信号方向统一为“越大越健康”，与目标域（电池、反作用轮）的 health 语义保持一致，为后续编码器共享奠定基础。</w:t>
      </w:r>
    </w:p>
    <w:p w14:paraId="3BA6BEAB"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数据构成方面，源域包含严格筛选的 200 条多轨迹退化数据，每条轨迹代表一个独立喷嘴样本从全新至报废的完整服役过程。数据清单中记录了每条轨迹的唯一 ID 及其 SHA-256 哈希值，确保数据版本的可追溯性与复现一致性。</w:t>
      </w:r>
    </w:p>
    <w:p w14:paraId="06ED806A" w14:textId="53619F7C"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标签关系方面，本方案以每条轨迹的末端时刻作为该样本的寿命终点（End of Life, EOL）参考点，即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取为轨迹最终观测时刻，则任意当前时刻 </w:t>
      </w:r>
      <m:oMath>
        <m:r>
          <w:rPr>
            <w:rFonts w:ascii="Cambria Math" w:eastAsiaTheme="majorEastAsia" w:hAnsi="Cambria Math"/>
          </w:rPr>
          <m:t>t</m:t>
        </m:r>
      </m:oMath>
      <w:r w:rsidRPr="004643F8">
        <w:rPr>
          <w:rFonts w:asciiTheme="majorEastAsia" w:eastAsiaTheme="majorEastAsia" w:hAnsiTheme="majorEastAsia"/>
        </w:rPr>
        <w:t> 的剩余寿命标签为：</w:t>
      </w:r>
    </w:p>
    <w:p w14:paraId="60641143" w14:textId="0026A262" w:rsidR="00E52018" w:rsidRPr="004643F8" w:rsidRDefault="00E52018" w:rsidP="00E52018">
      <w:pPr>
        <w:rPr>
          <w:rFonts w:asciiTheme="majorEastAsia" w:eastAsiaTheme="majorEastAsia" w:hAnsiTheme="majorEastAsia"/>
        </w:rPr>
      </w:pPr>
      <m:oMathPara>
        <m:oMath>
          <m:sSubSup>
            <m:sSubSupPr>
              <m:ctrlPr>
                <w:rPr>
                  <w:rFonts w:ascii="Cambria Math" w:eastAsiaTheme="majorEastAsia" w:hAnsi="Cambria Math"/>
                </w:rPr>
              </m:ctrlPr>
            </m:sSubSupPr>
            <m:e>
              <m:r>
                <w:rPr>
                  <w:rFonts w:ascii="Cambria Math" w:eastAsiaTheme="majorEastAsia" w:hAnsi="Cambria Math"/>
                </w:rPr>
                <m:t>r</m:t>
              </m:r>
            </m:e>
            <m:sub>
              <m:r>
                <w:rPr>
                  <w:rFonts w:ascii="Cambria Math" w:eastAsiaTheme="majorEastAsia" w:hAnsi="Cambria Math"/>
                </w:rPr>
                <m:t>t</m:t>
              </m:r>
            </m:sub>
            <m:sup>
              <m:r>
                <m:rPr>
                  <m:nor/>
                </m:rPr>
                <w:rPr>
                  <w:rFonts w:asciiTheme="majorEastAsia" w:eastAsiaTheme="majorEastAsia" w:hAnsiTheme="majorEastAsia"/>
                </w:rPr>
                <m:t>(source)</m:t>
              </m:r>
            </m:sup>
          </m:sSubSup>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m:oMathPara>
    </w:p>
    <w:p w14:paraId="79F71E5D" w14:textId="32388A14"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此处 </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以离散观测步数为单位，表示从当前时刻到轨迹终结所剩余的采样点数。该标签与 health 信号形成直接的映射关系：health 趋近于 0 时，RUL 趋于 0；health 接近 1 时，RUL 处于较大值。两者的单调对齐关系需要在预训练前予以验证。</w:t>
      </w:r>
    </w:p>
    <w:p w14:paraId="1854CCA0"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数据切分策略严格遵循“训练侧可见”原则。200 条轨迹按 trajectory 级别（而非单行记录）随机划分为训练集、验证集与源域测试集：训练集轨迹用于模型参数更新；验证集轨迹用于超参数选择、窗口长度确定以及趋势先验的筛选；源域测试集仅在源域模型审计阶段使用一次，全程不参与目标域的适配过程。这一 trajectory 级别切分避免了同一轨迹的早期数据用于训练而晚期数据用于验证所导致的信息泄露，更贴近实际部署中“用若干完整历史样本训练、对全新样本预测”的场景。</w:t>
      </w:r>
    </w:p>
    <w:p w14:paraId="083ACCE7"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方向一致性检查是源域预训练前的必要质量门控。我们计算每条轨迹中 health 信号与 RUL 标签之间的 Pearson 相关系数，若两者呈强正相关，则表明 health 随服役时间递减的同时 RUL 同步递减，即模型需要学习的映射关系具有明确的单调趋势先验。经核算，源域 200 条轨迹的 health-RUL 平均相关系数为 0.9885，满足方向一致性预检要求，确认源域数据具备清晰的退化趋势结构，可作为后续跨域迁移的可靠知识来源。</w:t>
      </w:r>
    </w:p>
    <w:p w14:paraId="52D364ED"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综上，源域的关键要素汇总如下：</w:t>
      </w:r>
    </w:p>
    <w:p w14:paraId="4ABAA3BE" w14:textId="5BC32400" w:rsidR="002A3235" w:rsidRPr="004643F8" w:rsidRDefault="002A3235" w:rsidP="00E52018">
      <w:pPr>
        <w:rPr>
          <w:rFonts w:asciiTheme="majorEastAsia" w:eastAsiaTheme="majorEastAsia" w:hAnsiTheme="majorEastAsia" w:hint="eastAsia"/>
        </w:rPr>
      </w:pPr>
      <w:r w:rsidRPr="004643F8">
        <w:rPr>
          <w:rFonts w:asciiTheme="majorEastAsia" w:eastAsiaTheme="majorEastAsia" w:hAnsiTheme="majorEastAsia" w:hint="eastAsia"/>
        </w:rPr>
        <w:t xml:space="preserve">表3 </w:t>
      </w:r>
      <w:r w:rsidR="000F3D51" w:rsidRPr="004643F8">
        <w:rPr>
          <w:rFonts w:asciiTheme="majorEastAsia" w:eastAsiaTheme="majorEastAsia" w:hAnsiTheme="majorEastAsia"/>
        </w:rPr>
        <w:t>源域喷嘴烧蚀退化数据要素汇总表</w:t>
      </w:r>
    </w:p>
    <w:tbl>
      <w:tblPr>
        <w:tblStyle w:val="af2"/>
        <w:tblW w:w="7792" w:type="dxa"/>
        <w:jc w:val="center"/>
        <w:tblLook w:val="04A0" w:firstRow="1" w:lastRow="0" w:firstColumn="1" w:lastColumn="0" w:noHBand="0" w:noVBand="1"/>
      </w:tblPr>
      <w:tblGrid>
        <w:gridCol w:w="1419"/>
        <w:gridCol w:w="6373"/>
      </w:tblGrid>
      <w:tr w:rsidR="00E5759E" w:rsidRPr="004643F8" w14:paraId="37AB4CE3" w14:textId="77777777" w:rsidTr="008B50F0">
        <w:trPr>
          <w:trHeight w:val="283"/>
          <w:jc w:val="center"/>
        </w:trPr>
        <w:tc>
          <w:tcPr>
            <w:tcW w:w="1419" w:type="dxa"/>
            <w:hideMark/>
          </w:tcPr>
          <w:p w14:paraId="710BE715"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要素</w:t>
            </w:r>
          </w:p>
        </w:tc>
        <w:tc>
          <w:tcPr>
            <w:tcW w:w="6373" w:type="dxa"/>
            <w:hideMark/>
          </w:tcPr>
          <w:p w14:paraId="70ACFE79"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说明</w:t>
            </w:r>
          </w:p>
        </w:tc>
      </w:tr>
      <w:tr w:rsidR="00E5759E" w:rsidRPr="004643F8" w14:paraId="5975AC7C" w14:textId="77777777" w:rsidTr="00BF0BE1">
        <w:trPr>
          <w:trHeight w:val="312"/>
          <w:jc w:val="center"/>
        </w:trPr>
        <w:tc>
          <w:tcPr>
            <w:tcW w:w="1419" w:type="dxa"/>
            <w:hideMark/>
          </w:tcPr>
          <w:p w14:paraId="41B16DB7"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退化机理</w:t>
            </w:r>
          </w:p>
        </w:tc>
        <w:tc>
          <w:tcPr>
            <w:tcW w:w="6373" w:type="dxa"/>
            <w:hideMark/>
          </w:tcPr>
          <w:p w14:paraId="4ECAE9BC"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高温热流冲刷引起材料表面烧蚀，烧蚀深度随工作时间不可逆增长</w:t>
            </w:r>
          </w:p>
        </w:tc>
      </w:tr>
      <w:tr w:rsidR="00E5759E" w:rsidRPr="004643F8" w14:paraId="70638EEE" w14:textId="77777777" w:rsidTr="00BF0BE1">
        <w:trPr>
          <w:trHeight w:val="273"/>
          <w:jc w:val="center"/>
        </w:trPr>
        <w:tc>
          <w:tcPr>
            <w:tcW w:w="1419" w:type="dxa"/>
            <w:hideMark/>
          </w:tcPr>
          <w:p w14:paraId="1266ED10"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原始观测量</w:t>
            </w:r>
          </w:p>
        </w:tc>
        <w:tc>
          <w:tcPr>
            <w:tcW w:w="6373" w:type="dxa"/>
            <w:hideMark/>
          </w:tcPr>
          <w:p w14:paraId="11A13464" w14:textId="5BEA726E" w:rsidR="00E5759E" w:rsidRPr="004643F8" w:rsidRDefault="008B50F0" w:rsidP="0022698D">
            <w:pPr>
              <w:jc w:val="center"/>
              <w:rPr>
                <w:rFonts w:asciiTheme="majorEastAsia" w:eastAsiaTheme="majorEastAsia" w:hAnsiTheme="majorEastAsia"/>
              </w:rPr>
            </w:pPr>
            <w:r w:rsidRPr="004643F8">
              <w:rPr>
                <w:rFonts w:asciiTheme="majorEastAsia" w:eastAsiaTheme="majorEastAsia" w:hAnsiTheme="majorEastAsia"/>
              </w:rPr>
              <w:t>烧蚀深度 </w:t>
            </w:r>
            <m:oMath>
              <m:sSub>
                <m:sSubPr>
                  <m:ctrlPr>
                    <w:rPr>
                      <w:rFonts w:ascii="Cambria Math" w:eastAsiaTheme="majorEastAsia" w:hAnsi="Cambria Math"/>
                    </w:rPr>
                  </m:ctrlPr>
                </m:sSubPr>
                <m:e>
                  <m:r>
                    <w:rPr>
                      <w:rFonts w:ascii="Cambria Math" w:eastAsiaTheme="majorEastAsia" w:hAnsi="Cambria Math"/>
                    </w:rPr>
                    <m:t>d</m:t>
                  </m:r>
                </m:e>
                <m:sub>
                  <m:r>
                    <w:rPr>
                      <w:rFonts w:ascii="Cambria Math" w:eastAsiaTheme="majorEastAsia" w:hAnsi="Cambria Math"/>
                    </w:rPr>
                    <m:t>t</m:t>
                  </m:r>
                </m:sub>
              </m:sSub>
            </m:oMath>
            <w:r w:rsidRPr="004643F8">
              <w:rPr>
                <w:rFonts w:asciiTheme="majorEastAsia" w:eastAsiaTheme="majorEastAsia" w:hAnsiTheme="majorEastAsia"/>
              </w:rPr>
              <w:t>，随服役时间单调递增</w:t>
            </w:r>
          </w:p>
        </w:tc>
      </w:tr>
      <w:tr w:rsidR="00E5759E" w:rsidRPr="004643F8" w14:paraId="78049150" w14:textId="77777777" w:rsidTr="00BF0BE1">
        <w:trPr>
          <w:trHeight w:val="346"/>
          <w:jc w:val="center"/>
        </w:trPr>
        <w:tc>
          <w:tcPr>
            <w:tcW w:w="1419" w:type="dxa"/>
            <w:hideMark/>
          </w:tcPr>
          <w:p w14:paraId="366F3FEA"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health 构造</w:t>
            </w:r>
          </w:p>
        </w:tc>
        <w:tc>
          <w:tcPr>
            <w:tcW w:w="6373" w:type="dxa"/>
            <w:hideMark/>
          </w:tcPr>
          <w:p w14:paraId="64F3CCCC" w14:textId="68302AFE" w:rsidR="00E5759E" w:rsidRPr="004643F8" w:rsidRDefault="00DD51F0" w:rsidP="0022698D">
            <w:pPr>
              <w:jc w:val="center"/>
              <w:rPr>
                <w:rFonts w:asciiTheme="majorEastAsia" w:eastAsiaTheme="majorEastAsia" w:hAnsiTheme="majorEastAsia"/>
              </w:rPr>
            </w:pP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t</m:t>
                  </m:r>
                </m:sub>
              </m:sSub>
              <m:r>
                <w:rPr>
                  <w:rFonts w:ascii="Cambria Math" w:eastAsiaTheme="majorEastAsia" w:hAnsi="Cambria Math"/>
                </w:rPr>
                <m:t>=1-</m:t>
              </m:r>
              <m:sSub>
                <m:sSubPr>
                  <m:ctrlPr>
                    <w:rPr>
                      <w:rFonts w:ascii="Cambria Math" w:eastAsiaTheme="majorEastAsia" w:hAnsi="Cambria Math"/>
                      <w:i/>
                    </w:rPr>
                  </m:ctrlPr>
                </m:sSubPr>
                <m:e>
                  <m:r>
                    <w:rPr>
                      <w:rFonts w:ascii="Cambria Math" w:eastAsiaTheme="majorEastAsia" w:hAnsi="Cambria Math"/>
                    </w:rPr>
                    <m:t>normalized_depth</m:t>
                  </m:r>
                </m:e>
                <m:sub>
                  <m:r>
                    <w:rPr>
                      <w:rFonts w:ascii="Cambria Math" w:eastAsiaTheme="majorEastAsia" w:hAnsi="Cambria Math"/>
                    </w:rPr>
                    <m:t>t</m:t>
                  </m:r>
                </m:sub>
              </m:sSub>
            </m:oMath>
            <w:r w:rsidRPr="004643F8">
              <w:rPr>
                <w:rFonts w:asciiTheme="majorEastAsia" w:eastAsiaTheme="majorEastAsia" w:hAnsiTheme="majorEastAsia"/>
              </w:rPr>
              <w:t>，对齐“越大越健康”的统一方向</w:t>
            </w:r>
          </w:p>
        </w:tc>
      </w:tr>
      <w:tr w:rsidR="00E5759E" w:rsidRPr="004643F8" w14:paraId="4608C490" w14:textId="77777777" w:rsidTr="00BF0BE1">
        <w:trPr>
          <w:trHeight w:val="346"/>
          <w:jc w:val="center"/>
        </w:trPr>
        <w:tc>
          <w:tcPr>
            <w:tcW w:w="1419" w:type="dxa"/>
            <w:hideMark/>
          </w:tcPr>
          <w:p w14:paraId="624796C8"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EOL 定义</w:t>
            </w:r>
          </w:p>
        </w:tc>
        <w:tc>
          <w:tcPr>
            <w:tcW w:w="6373" w:type="dxa"/>
            <w:hideMark/>
          </w:tcPr>
          <w:p w14:paraId="6F706612" w14:textId="5E4E08FE" w:rsidR="00E5759E" w:rsidRPr="004643F8" w:rsidRDefault="00E73A2C" w:rsidP="0022698D">
            <w:pPr>
              <w:widowControl/>
              <w:spacing w:line="375" w:lineRule="atLeast"/>
              <w:jc w:val="center"/>
              <w:rPr>
                <w:rFonts w:asciiTheme="majorEastAsia" w:eastAsiaTheme="majorEastAsia" w:hAnsiTheme="majorEastAsia" w:cs="Segoe UI" w:hint="eastAsia"/>
                <w:sz w:val="23"/>
                <w:szCs w:val="23"/>
              </w:rPr>
            </w:pPr>
            <w:r w:rsidRPr="004643F8">
              <w:rPr>
                <w:rFonts w:asciiTheme="majorEastAsia" w:eastAsiaTheme="majorEastAsia" w:hAnsiTheme="majorEastAsia" w:cs="Segoe UI"/>
                <w:sz w:val="23"/>
                <w:szCs w:val="23"/>
              </w:rPr>
              <w:t>每条轨迹的最终观测时刻作为寿命终点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p>
        </w:tc>
      </w:tr>
      <w:tr w:rsidR="00E5759E" w:rsidRPr="004643F8" w14:paraId="54483D6F" w14:textId="77777777" w:rsidTr="00BF0BE1">
        <w:trPr>
          <w:trHeight w:val="439"/>
          <w:jc w:val="center"/>
        </w:trPr>
        <w:tc>
          <w:tcPr>
            <w:tcW w:w="1419" w:type="dxa"/>
            <w:hideMark/>
          </w:tcPr>
          <w:p w14:paraId="5969A440"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lastRenderedPageBreak/>
              <w:t>RUL 标签</w:t>
            </w:r>
          </w:p>
        </w:tc>
        <w:tc>
          <w:tcPr>
            <w:tcW w:w="6373" w:type="dxa"/>
            <w:hideMark/>
          </w:tcPr>
          <w:p w14:paraId="44CF0038" w14:textId="7807F3E4" w:rsidR="00E5759E" w:rsidRPr="004643F8" w:rsidRDefault="00E5759E" w:rsidP="0022698D">
            <w:pPr>
              <w:widowControl/>
              <w:spacing w:line="375" w:lineRule="atLeast"/>
              <w:jc w:val="center"/>
              <w:rPr>
                <w:rFonts w:asciiTheme="majorEastAsia" w:eastAsiaTheme="majorEastAsia" w:hAnsiTheme="majorEastAsia"/>
              </w:rPr>
            </w:pP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hint="eastAsia"/>
              </w:rPr>
              <w:t>，</w:t>
            </w:r>
            <w:r w:rsidRPr="004643F8">
              <w:rPr>
                <w:rFonts w:asciiTheme="majorEastAsia" w:eastAsiaTheme="majorEastAsia" w:hAnsiTheme="majorEastAsia"/>
              </w:rPr>
              <w:t>以离散观测步数为单位</w:t>
            </w:r>
          </w:p>
        </w:tc>
      </w:tr>
      <w:tr w:rsidR="00E5759E" w:rsidRPr="004643F8" w14:paraId="3FED0891" w14:textId="77777777" w:rsidTr="00BF0BE1">
        <w:trPr>
          <w:trHeight w:val="248"/>
          <w:jc w:val="center"/>
        </w:trPr>
        <w:tc>
          <w:tcPr>
            <w:tcW w:w="1419" w:type="dxa"/>
            <w:hideMark/>
          </w:tcPr>
          <w:p w14:paraId="7269A409"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数据规模</w:t>
            </w:r>
          </w:p>
        </w:tc>
        <w:tc>
          <w:tcPr>
            <w:tcW w:w="6373" w:type="dxa"/>
            <w:hideMark/>
          </w:tcPr>
          <w:p w14:paraId="59C6EFDE"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200 条多轨迹完整退化数据，每条含唯一 ID 与 SHA-256 校验</w:t>
            </w:r>
          </w:p>
        </w:tc>
      </w:tr>
      <w:tr w:rsidR="00E5759E" w:rsidRPr="004643F8" w14:paraId="104F197F" w14:textId="77777777" w:rsidTr="00BF0BE1">
        <w:trPr>
          <w:trHeight w:val="209"/>
          <w:jc w:val="center"/>
        </w:trPr>
        <w:tc>
          <w:tcPr>
            <w:tcW w:w="1419" w:type="dxa"/>
            <w:hideMark/>
          </w:tcPr>
          <w:p w14:paraId="036E7241"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切分策略</w:t>
            </w:r>
          </w:p>
        </w:tc>
        <w:tc>
          <w:tcPr>
            <w:tcW w:w="6373" w:type="dxa"/>
            <w:hideMark/>
          </w:tcPr>
          <w:p w14:paraId="3F21D758"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trajectory 级别随机划分，严防同一轨迹跨 splits 的信息泄露</w:t>
            </w:r>
          </w:p>
        </w:tc>
      </w:tr>
      <w:tr w:rsidR="00E5759E" w:rsidRPr="004643F8" w14:paraId="15145D07" w14:textId="77777777" w:rsidTr="00BF0BE1">
        <w:trPr>
          <w:trHeight w:val="172"/>
          <w:jc w:val="center"/>
        </w:trPr>
        <w:tc>
          <w:tcPr>
            <w:tcW w:w="1419" w:type="dxa"/>
            <w:hideMark/>
          </w:tcPr>
          <w:p w14:paraId="4591DE66"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质量门控</w:t>
            </w:r>
          </w:p>
        </w:tc>
        <w:tc>
          <w:tcPr>
            <w:tcW w:w="6373" w:type="dxa"/>
            <w:hideMark/>
          </w:tcPr>
          <w:p w14:paraId="080DD0EA"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health-RUL 平均相关系数 0.9885，确认单调退化趋势清晰可用</w:t>
            </w:r>
          </w:p>
        </w:tc>
      </w:tr>
    </w:tbl>
    <w:p w14:paraId="04F0F064" w14:textId="77777777" w:rsidR="002774BE" w:rsidRPr="004643F8" w:rsidRDefault="002774BE" w:rsidP="002774BE">
      <w:pPr>
        <w:pStyle w:val="2"/>
        <w:rPr>
          <w:rFonts w:asciiTheme="majorEastAsia" w:eastAsiaTheme="majorEastAsia" w:hAnsiTheme="majorEastAsia"/>
          <w:b/>
          <w:bCs/>
        </w:rPr>
      </w:pPr>
      <w:r w:rsidRPr="004643F8">
        <w:rPr>
          <w:rFonts w:asciiTheme="majorEastAsia" w:eastAsiaTheme="majorEastAsia" w:hAnsiTheme="majorEastAsia"/>
          <w:b/>
          <w:bCs/>
        </w:rPr>
        <w:t>2.3 目标场景一：NASA电池长期衰减</w:t>
      </w:r>
    </w:p>
    <w:p w14:paraId="2A42DA09"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本场景选取NASA锂离子电池退化数据集作为第一个迁移目标域，用以验证源域预训练编码器在电化学退化系统中的泛化能力。电池作为航天器电源系统的核心组件，其在轨服役期间呈现“内阻逐步增加、可用容量持续下降”的典型退化特征，与喷嘴烧蚀的单调耗损机理同属渐进式退化范畴，是跨域迁移学习的适宜切入点。</w:t>
      </w:r>
      <w:r>
        <w:t xml:space="preserve"> [1, 2]</w:t>
      </w:r>
    </w:p>
    <w:p w14:paraId="61B35D77"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从电化学退化机理来看，锂离子电池在反复充放电循环过程中，负极表面固态电解质界面膜持续增厚、活性锂离子发生不可逆损失、电极材料微观结构逐渐劣化，这些内部物理化学演变共同表现为宏观可测的可用容量衰减与内阻增长。本数据集记录了四组电池（B0005、B0006、B0007、B0018）在循环老化试验中每一充放电周期的电压、电流、温度等多通道遥测参数，以及通过定期参考性能测试标定的健康状态（State of Health, SOH）基准值。</w:t>
      </w:r>
    </w:p>
    <w:p w14:paraId="39158209" w14:textId="6E6E9941"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SOH定义为当前可用容量与标称容量的比值，其值域为 </w:t>
      </w:r>
      <m:oMath>
        <m:d>
          <m:dPr>
            <m:sepChr m:val=","/>
            <m:end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1</m:t>
            </m:r>
          </m:e>
        </m:d>
      </m:oMath>
      <w:r w:rsidRPr="004643F8">
        <w:rPr>
          <w:rFonts w:asciiTheme="majorEastAsia" w:eastAsiaTheme="majorEastAsia" w:hAnsiTheme="majorEastAsia"/>
        </w:rPr>
        <w:t>，随循环次数增加而单调递减。为与源域保持统一的退化语义方向，本方案直接将SOH作为电池健康信号：</w:t>
      </w:r>
    </w:p>
    <w:p w14:paraId="092A6B04" w14:textId="09CB3221" w:rsidR="002774BE" w:rsidRPr="004643F8" w:rsidRDefault="002774BE" w:rsidP="002774BE">
      <w:pPr>
        <w:rPr>
          <w:rFonts w:asciiTheme="majorEastAsia" w:eastAsiaTheme="majorEastAsia" w:hAnsiTheme="majorEastAsia"/>
        </w:rPr>
      </w:pPr>
      <m:oMathPara>
        <m:oMath>
          <m:sSubSup>
            <m:sSubSupPr>
              <m:ctrlPr>
                <w:rPr>
                  <w:rFonts w:ascii="Cambria Math" w:eastAsiaTheme="majorEastAsia" w:hAnsi="Cambria Math"/>
                </w:rPr>
              </m:ctrlPr>
            </m:sSubSupPr>
            <m:e>
              <m:r>
                <w:rPr>
                  <w:rFonts w:ascii="Cambria Math" w:eastAsiaTheme="majorEastAsia" w:hAnsi="Cambria Math"/>
                </w:rPr>
                <m:t>h</m:t>
              </m:r>
            </m:e>
            <m:sub>
              <m:r>
                <w:rPr>
                  <w:rFonts w:ascii="Cambria Math" w:eastAsiaTheme="majorEastAsia" w:hAnsi="Cambria Math"/>
                </w:rPr>
                <m:t>t</m:t>
              </m:r>
            </m:sub>
            <m:sup>
              <m:r>
                <m:rPr>
                  <m:nor/>
                </m:rPr>
                <w:rPr>
                  <w:rFonts w:asciiTheme="majorEastAsia" w:eastAsiaTheme="majorEastAsia" w:hAnsiTheme="majorEastAsia"/>
                </w:rPr>
                <m:t>(battery)</m:t>
              </m:r>
            </m:sup>
          </m:sSubSup>
          <m:r>
            <w:rPr>
              <w:rFonts w:ascii="Cambria Math" w:eastAsiaTheme="majorEastAsia" w:hAnsi="Cambria Math"/>
            </w:rPr>
            <m:t>=</m:t>
          </m:r>
          <m:sSub>
            <m:sSubPr>
              <m:ctrlPr>
                <w:rPr>
                  <w:rFonts w:ascii="Cambria Math" w:eastAsiaTheme="majorEastAsia" w:hAnsi="Cambria Math"/>
                </w:rPr>
              </m:ctrlPr>
            </m:sSubPr>
            <m:e>
              <m:r>
                <m:rPr>
                  <m:nor/>
                </m:rPr>
                <w:rPr>
                  <w:rFonts w:asciiTheme="majorEastAsia" w:eastAsiaTheme="majorEastAsia" w:hAnsiTheme="majorEastAsia"/>
                </w:rPr>
                <m:t>SOH</m:t>
              </m:r>
            </m:e>
            <m:sub>
              <m:r>
                <w:rPr>
                  <w:rFonts w:ascii="Cambria Math" w:eastAsiaTheme="majorEastAsia" w:hAnsi="Cambria Math"/>
                </w:rPr>
                <m:t>t</m:t>
              </m:r>
            </m:sub>
          </m:sSub>
          <m:r>
            <w:rPr>
              <w:rFonts w:ascii="Cambria Math" w:eastAsiaTheme="majorEastAsia" w:hAnsi="Cambria Math"/>
            </w:rPr>
            <m:t>=</m:t>
          </m:r>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C</m:t>
                  </m:r>
                </m:e>
                <m:sub>
                  <m:r>
                    <w:rPr>
                      <w:rFonts w:ascii="Cambria Math" w:eastAsiaTheme="majorEastAsia" w:hAnsi="Cambria Math"/>
                    </w:rPr>
                    <m:t>t</m:t>
                  </m:r>
                </m:sub>
              </m:sSub>
            </m:num>
            <m:den>
              <m:sSub>
                <m:sSubPr>
                  <m:ctrlPr>
                    <w:rPr>
                      <w:rFonts w:ascii="Cambria Math" w:eastAsiaTheme="majorEastAsia" w:hAnsi="Cambria Math"/>
                    </w:rPr>
                  </m:ctrlPr>
                </m:sSubPr>
                <m:e>
                  <m:r>
                    <w:rPr>
                      <w:rFonts w:ascii="Cambria Math" w:eastAsiaTheme="majorEastAsia" w:hAnsi="Cambria Math"/>
                    </w:rPr>
                    <m:t>C</m:t>
                  </m:r>
                </m:e>
                <m:sub>
                  <m:r>
                    <m:rPr>
                      <m:nor/>
                    </m:rPr>
                    <w:rPr>
                      <w:rFonts w:asciiTheme="majorEastAsia" w:eastAsiaTheme="majorEastAsia" w:hAnsiTheme="majorEastAsia"/>
                    </w:rPr>
                    <m:t>nominal</m:t>
                  </m:r>
                </m:sub>
              </m:sSub>
            </m:den>
          </m:f>
        </m:oMath>
      </m:oMathPara>
    </w:p>
    <w:p w14:paraId="3B582077"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该定义天然满足“越大越健康”的统一方向约束，无需额外构造损伤指标后再行翻转。在此基础上，剩余寿命标签定义为：</w:t>
      </w:r>
    </w:p>
    <w:p w14:paraId="3EE24EEC" w14:textId="75AD5BD0" w:rsidR="002774BE" w:rsidRPr="004643F8" w:rsidRDefault="002774BE" w:rsidP="002774BE">
      <w:pPr>
        <w:rPr>
          <w:rFonts w:asciiTheme="majorEastAsia" w:eastAsiaTheme="majorEastAsia" w:hAnsiTheme="majorEastAsia"/>
        </w:rPr>
      </w:pPr>
      <m:oMathPara>
        <m:oMath>
          <m:sSubSup>
            <m:sSubSupPr>
              <m:ctrlPr>
                <w:rPr>
                  <w:rFonts w:ascii="Cambria Math" w:eastAsiaTheme="majorEastAsia" w:hAnsi="Cambria Math"/>
                </w:rPr>
              </m:ctrlPr>
            </m:sSubSupPr>
            <m:e>
              <m:r>
                <w:rPr>
                  <w:rFonts w:ascii="Cambria Math" w:eastAsiaTheme="majorEastAsia" w:hAnsi="Cambria Math"/>
                </w:rPr>
                <m:t>r</m:t>
              </m:r>
            </m:e>
            <m:sub>
              <m:r>
                <w:rPr>
                  <w:rFonts w:ascii="Cambria Math" w:eastAsiaTheme="majorEastAsia" w:hAnsi="Cambria Math"/>
                </w:rPr>
                <m:t>t</m:t>
              </m:r>
            </m:sub>
            <m:sup>
              <m:r>
                <m:rPr>
                  <m:nor/>
                </m:rPr>
                <w:rPr>
                  <w:rFonts w:asciiTheme="majorEastAsia" w:eastAsiaTheme="majorEastAsia" w:hAnsiTheme="majorEastAsia"/>
                </w:rPr>
                <m:t>(battery)</m:t>
              </m:r>
            </m:sup>
          </m:sSubSup>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m:oMathPara>
    </w:p>
    <w:p w14:paraId="0AFA7779" w14:textId="38808E01"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其中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依据预设容量失效阈值确定——当 SOH 首次下降至标称容量的70%（即 </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r>
          <w:rPr>
            <w:rFonts w:ascii="Cambria Math" w:eastAsiaTheme="majorEastAsia" w:hAnsi="Cambria Math"/>
          </w:rPr>
          <m:t>≤0.7</m:t>
        </m:r>
      </m:oMath>
      <w:r w:rsidRPr="004643F8">
        <w:rPr>
          <w:rFonts w:asciiTheme="majorEastAsia" w:eastAsiaTheme="majorEastAsia" w:hAnsiTheme="majorEastAsia"/>
        </w:rPr>
        <w:t>）时判定为寿命终点。</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以剩余充放电循环次数为单位。需要说明的是，各电池样本的初始容量存在微小差异，因此在计算 SOH 时，标称容量 </w:t>
      </w:r>
      <m:oMath>
        <m:sSub>
          <m:sSubPr>
            <m:ctrlPr>
              <w:rPr>
                <w:rFonts w:ascii="Cambria Math" w:eastAsiaTheme="majorEastAsia" w:hAnsi="Cambria Math"/>
              </w:rPr>
            </m:ctrlPr>
          </m:sSubPr>
          <m:e>
            <m:r>
              <w:rPr>
                <w:rFonts w:ascii="Cambria Math" w:eastAsiaTheme="majorEastAsia" w:hAnsi="Cambria Math"/>
              </w:rPr>
              <m:t>C</m:t>
            </m:r>
          </m:e>
          <m:sub>
            <m:r>
              <m:rPr>
                <m:nor/>
              </m:rPr>
              <w:rPr>
                <w:rFonts w:asciiTheme="majorEastAsia" w:eastAsiaTheme="majorEastAsia" w:hAnsiTheme="majorEastAsia"/>
              </w:rPr>
              <m:t>nominal</m:t>
            </m:r>
          </m:sub>
        </m:sSub>
      </m:oMath>
      <w:r w:rsidRPr="004643F8">
        <w:rPr>
          <w:rFonts w:asciiTheme="majorEastAsia" w:eastAsiaTheme="majorEastAsia" w:hAnsiTheme="majorEastAsia"/>
        </w:rPr>
        <w:t> 取该样本首个循环的实测容量，该值在训练折内部确定，不引入测试折信息。</w:t>
      </w:r>
    </w:p>
    <w:p w14:paraId="45C6183A" w14:textId="52AB1E73"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数据组织方面，B0005、B0006、B0018 三条轨迹均完整经历了从全新状态至触碰失效阈值的全过程，作为 event-observed outer folds 纳入标准 RMSE 宏平均统计；B0007 则为 right-censored 诊断样本——该电池在试验终止时尚未触及70%容量阈值，真实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未知，故不参与精确 RMSE 数值计算，仅作为定性趋势验证样本辅助分析。这一处理方式符合工程实际中“部分在轨组件尚未失效”的右删失观测情境，也为后续讨论模型在删失数据下的行为提供了参照。</w:t>
      </w:r>
    </w:p>
    <w:p w14:paraId="5B9C368B" w14:textId="5A26E03B"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防泄漏机制严格对标源域标准：目标域标签的尺度参数仅由每一微调单元内的训练折独立估计并固化；验证折与测试折的标签值、各自轨迹的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位置以及全寿命周期的 min/max 极值，均不参与归一化 scaler 的参数拟合、adapter 模块的适应性调整、趋势先验的筛选比较以及 early stopping 的判定依据。所有预处理参数的生命周期严格限定于训练侧可见的数据范围之内。</w:t>
      </w:r>
    </w:p>
    <w:p w14:paraId="12E56BA9"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方向一致性检查方面，按严格协议计算各电池轨迹中 health 与 RUL 的 Pearson 相关系数，平均值为 0.9350，确认目标域电池数据具备清晰可辨的单调退化趋势结构，具备承接源域迁移知识的良好基础。</w:t>
      </w:r>
    </w:p>
    <w:p w14:paraId="065FDADC"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综上，目标场景一的关键要素汇总如下：</w:t>
      </w:r>
    </w:p>
    <w:p w14:paraId="0FDF2A0A" w14:textId="49D709D4" w:rsidR="00105EC7" w:rsidRPr="004643F8" w:rsidRDefault="00105EC7" w:rsidP="002774BE">
      <w:pPr>
        <w:rPr>
          <w:rFonts w:asciiTheme="majorEastAsia" w:eastAsiaTheme="majorEastAsia" w:hAnsiTheme="majorEastAsia" w:hint="eastAsia"/>
        </w:rPr>
      </w:pPr>
      <w:r w:rsidRPr="004643F8">
        <w:rPr>
          <w:rFonts w:asciiTheme="majorEastAsia" w:eastAsiaTheme="majorEastAsia" w:hAnsiTheme="majorEastAsia" w:hint="eastAsia"/>
        </w:rPr>
        <w:t xml:space="preserve">表4 </w:t>
      </w:r>
      <w:r w:rsidRPr="004643F8">
        <w:rPr>
          <w:rFonts w:asciiTheme="majorEastAsia" w:eastAsiaTheme="majorEastAsia" w:hAnsiTheme="majorEastAsia"/>
        </w:rPr>
        <w:t>目标场景一——电池退化数据要素汇总表</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6733"/>
      </w:tblGrid>
      <w:tr w:rsidR="002774BE" w:rsidRPr="004643F8" w14:paraId="679DE326" w14:textId="77777777" w:rsidTr="002774BE">
        <w:trPr>
          <w:trHeight w:val="272"/>
          <w:tblHeader/>
        </w:trPr>
        <w:tc>
          <w:tcPr>
            <w:tcW w:w="0" w:type="auto"/>
            <w:tcMar>
              <w:top w:w="150" w:type="dxa"/>
              <w:left w:w="0" w:type="dxa"/>
              <w:bottom w:w="150" w:type="dxa"/>
              <w:right w:w="240" w:type="dxa"/>
            </w:tcMar>
            <w:vAlign w:val="center"/>
            <w:hideMark/>
          </w:tcPr>
          <w:p w14:paraId="265BE0B2"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lastRenderedPageBreak/>
              <w:t>要素</w:t>
            </w:r>
          </w:p>
        </w:tc>
        <w:tc>
          <w:tcPr>
            <w:tcW w:w="6733" w:type="dxa"/>
            <w:tcMar>
              <w:top w:w="150" w:type="dxa"/>
              <w:left w:w="240" w:type="dxa"/>
              <w:bottom w:w="150" w:type="dxa"/>
              <w:right w:w="240" w:type="dxa"/>
            </w:tcMar>
            <w:vAlign w:val="center"/>
            <w:hideMark/>
          </w:tcPr>
          <w:p w14:paraId="2DC7DE0A"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说明</w:t>
            </w:r>
          </w:p>
        </w:tc>
      </w:tr>
      <w:tr w:rsidR="002774BE" w:rsidRPr="004643F8" w14:paraId="29E65452" w14:textId="77777777" w:rsidTr="002774BE">
        <w:trPr>
          <w:trHeight w:val="272"/>
        </w:trPr>
        <w:tc>
          <w:tcPr>
            <w:tcW w:w="0" w:type="auto"/>
            <w:tcMar>
              <w:top w:w="150" w:type="dxa"/>
              <w:left w:w="0" w:type="dxa"/>
              <w:bottom w:w="150" w:type="dxa"/>
              <w:right w:w="240" w:type="dxa"/>
            </w:tcMar>
            <w:vAlign w:val="center"/>
            <w:hideMark/>
          </w:tcPr>
          <w:p w14:paraId="2F200784"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退化机理</w:t>
            </w:r>
          </w:p>
        </w:tc>
        <w:tc>
          <w:tcPr>
            <w:tcW w:w="6733" w:type="dxa"/>
            <w:tcMar>
              <w:top w:w="150" w:type="dxa"/>
              <w:left w:w="240" w:type="dxa"/>
              <w:bottom w:w="150" w:type="dxa"/>
              <w:right w:w="0" w:type="dxa"/>
            </w:tcMar>
            <w:vAlign w:val="center"/>
            <w:hideMark/>
          </w:tcPr>
          <w:p w14:paraId="7ACD1D34"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循环充放电中 SEI 膜增厚、活性锂损失、电极材料劣化，表现为容量衰减与内阻增长</w:t>
            </w:r>
          </w:p>
        </w:tc>
      </w:tr>
      <w:tr w:rsidR="002774BE" w:rsidRPr="004643F8" w14:paraId="6F996475" w14:textId="77777777" w:rsidTr="002774BE">
        <w:trPr>
          <w:trHeight w:val="272"/>
        </w:trPr>
        <w:tc>
          <w:tcPr>
            <w:tcW w:w="0" w:type="auto"/>
            <w:tcMar>
              <w:top w:w="150" w:type="dxa"/>
              <w:left w:w="0" w:type="dxa"/>
              <w:bottom w:w="150" w:type="dxa"/>
              <w:right w:w="240" w:type="dxa"/>
            </w:tcMar>
            <w:vAlign w:val="center"/>
            <w:hideMark/>
          </w:tcPr>
          <w:p w14:paraId="043D8E28"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原始观测量</w:t>
            </w:r>
          </w:p>
        </w:tc>
        <w:tc>
          <w:tcPr>
            <w:tcW w:w="6733" w:type="dxa"/>
            <w:tcMar>
              <w:top w:w="150" w:type="dxa"/>
              <w:left w:w="240" w:type="dxa"/>
              <w:bottom w:w="150" w:type="dxa"/>
              <w:right w:w="0" w:type="dxa"/>
            </w:tcMar>
            <w:vAlign w:val="center"/>
            <w:hideMark/>
          </w:tcPr>
          <w:p w14:paraId="48834921"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电压、电流、温度等循环遥测，以及参考性能测试标定的 SOH 基准值</w:t>
            </w:r>
          </w:p>
        </w:tc>
      </w:tr>
      <w:tr w:rsidR="002774BE" w:rsidRPr="004643F8" w14:paraId="3A2784DE" w14:textId="77777777" w:rsidTr="002774BE">
        <w:trPr>
          <w:trHeight w:val="272"/>
        </w:trPr>
        <w:tc>
          <w:tcPr>
            <w:tcW w:w="0" w:type="auto"/>
            <w:tcMar>
              <w:top w:w="150" w:type="dxa"/>
              <w:left w:w="0" w:type="dxa"/>
              <w:bottom w:w="150" w:type="dxa"/>
              <w:right w:w="240" w:type="dxa"/>
            </w:tcMar>
            <w:vAlign w:val="center"/>
            <w:hideMark/>
          </w:tcPr>
          <w:p w14:paraId="6AAFC4CD"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health 构造</w:t>
            </w:r>
          </w:p>
        </w:tc>
        <w:tc>
          <w:tcPr>
            <w:tcW w:w="6733" w:type="dxa"/>
            <w:tcMar>
              <w:top w:w="150" w:type="dxa"/>
              <w:left w:w="240" w:type="dxa"/>
              <w:bottom w:w="150" w:type="dxa"/>
              <w:right w:w="0" w:type="dxa"/>
            </w:tcMar>
            <w:vAlign w:val="center"/>
            <w:hideMark/>
          </w:tcPr>
          <w:p w14:paraId="741DE6AE" w14:textId="3C6B4AD8" w:rsidR="002774BE" w:rsidRPr="004643F8" w:rsidRDefault="002774BE" w:rsidP="002774BE">
            <w:pPr>
              <w:rPr>
                <w:rFonts w:asciiTheme="majorEastAsia" w:eastAsiaTheme="majorEastAsia" w:hAnsiTheme="majorEastAsia"/>
              </w:rPr>
            </w:pP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m:rPr>
                      <m:nor/>
                    </m:rPr>
                    <w:rPr>
                      <w:rFonts w:asciiTheme="majorEastAsia" w:eastAsiaTheme="majorEastAsia" w:hAnsiTheme="majorEastAsia"/>
                    </w:rPr>
                    <m:t>SOH</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C</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C</m:t>
                  </m:r>
                </m:e>
                <m:sub>
                  <m:r>
                    <m:rPr>
                      <m:nor/>
                    </m:rPr>
                    <w:rPr>
                      <w:rFonts w:asciiTheme="majorEastAsia" w:eastAsiaTheme="majorEastAsia" w:hAnsiTheme="majorEastAsia"/>
                    </w:rPr>
                    <m:t>nominal</m:t>
                  </m:r>
                </m:sub>
              </m:sSub>
            </m:oMath>
            <w:r w:rsidRPr="004643F8">
              <w:rPr>
                <w:rFonts w:asciiTheme="majorEastAsia" w:eastAsiaTheme="majorEastAsia" w:hAnsiTheme="majorEastAsia"/>
              </w:rPr>
              <w:t>，天然满足“越大越健康”统一方向</w:t>
            </w:r>
          </w:p>
        </w:tc>
      </w:tr>
      <w:tr w:rsidR="002774BE" w:rsidRPr="004643F8" w14:paraId="6565A932" w14:textId="77777777" w:rsidTr="002774BE">
        <w:trPr>
          <w:trHeight w:val="272"/>
        </w:trPr>
        <w:tc>
          <w:tcPr>
            <w:tcW w:w="0" w:type="auto"/>
            <w:tcMar>
              <w:top w:w="150" w:type="dxa"/>
              <w:left w:w="0" w:type="dxa"/>
              <w:bottom w:w="150" w:type="dxa"/>
              <w:right w:w="240" w:type="dxa"/>
            </w:tcMar>
            <w:vAlign w:val="center"/>
            <w:hideMark/>
          </w:tcPr>
          <w:p w14:paraId="1921029B"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EOL 定义</w:t>
            </w:r>
          </w:p>
        </w:tc>
        <w:tc>
          <w:tcPr>
            <w:tcW w:w="6733" w:type="dxa"/>
            <w:tcMar>
              <w:top w:w="150" w:type="dxa"/>
              <w:left w:w="240" w:type="dxa"/>
              <w:bottom w:w="150" w:type="dxa"/>
              <w:right w:w="0" w:type="dxa"/>
            </w:tcMar>
            <w:vAlign w:val="center"/>
            <w:hideMark/>
          </w:tcPr>
          <w:p w14:paraId="226DB280" w14:textId="17662721"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SOH 首次下降至标称容量 70% 的时刻（</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r>
                <w:rPr>
                  <w:rFonts w:ascii="Cambria Math" w:eastAsiaTheme="majorEastAsia" w:hAnsi="Cambria Math"/>
                </w:rPr>
                <m:t>≤0.7</m:t>
              </m:r>
            </m:oMath>
            <w:r w:rsidRPr="004643F8">
              <w:rPr>
                <w:rFonts w:asciiTheme="majorEastAsia" w:eastAsiaTheme="majorEastAsia" w:hAnsiTheme="majorEastAsia"/>
              </w:rPr>
              <w:t>）</w:t>
            </w:r>
          </w:p>
        </w:tc>
      </w:tr>
      <w:tr w:rsidR="002774BE" w:rsidRPr="004643F8" w14:paraId="43D47690" w14:textId="77777777" w:rsidTr="002774BE">
        <w:trPr>
          <w:trHeight w:val="272"/>
        </w:trPr>
        <w:tc>
          <w:tcPr>
            <w:tcW w:w="0" w:type="auto"/>
            <w:tcMar>
              <w:top w:w="150" w:type="dxa"/>
              <w:left w:w="0" w:type="dxa"/>
              <w:bottom w:w="150" w:type="dxa"/>
              <w:right w:w="240" w:type="dxa"/>
            </w:tcMar>
            <w:vAlign w:val="center"/>
            <w:hideMark/>
          </w:tcPr>
          <w:p w14:paraId="0818D50F"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RUL 标签</w:t>
            </w:r>
          </w:p>
        </w:tc>
        <w:tc>
          <w:tcPr>
            <w:tcW w:w="6733" w:type="dxa"/>
            <w:tcMar>
              <w:top w:w="150" w:type="dxa"/>
              <w:left w:w="240" w:type="dxa"/>
              <w:bottom w:w="150" w:type="dxa"/>
              <w:right w:w="0" w:type="dxa"/>
            </w:tcMar>
            <w:vAlign w:val="center"/>
            <w:hideMark/>
          </w:tcPr>
          <w:p w14:paraId="3BB25786" w14:textId="587D214D" w:rsidR="002774BE" w:rsidRPr="004643F8" w:rsidRDefault="002774BE" w:rsidP="002774BE">
            <w:pPr>
              <w:rPr>
                <w:rFonts w:asciiTheme="majorEastAsia" w:eastAsiaTheme="majorEastAsia" w:hAnsiTheme="majorEastAsia"/>
              </w:rPr>
            </w:pP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，以剩余循环次数为单位</w:t>
            </w:r>
          </w:p>
        </w:tc>
      </w:tr>
      <w:tr w:rsidR="002774BE" w:rsidRPr="004643F8" w14:paraId="06F78FE7" w14:textId="77777777" w:rsidTr="002774BE">
        <w:trPr>
          <w:trHeight w:val="272"/>
        </w:trPr>
        <w:tc>
          <w:tcPr>
            <w:tcW w:w="0" w:type="auto"/>
            <w:tcMar>
              <w:top w:w="150" w:type="dxa"/>
              <w:left w:w="0" w:type="dxa"/>
              <w:bottom w:w="150" w:type="dxa"/>
              <w:right w:w="240" w:type="dxa"/>
            </w:tcMar>
            <w:vAlign w:val="center"/>
            <w:hideMark/>
          </w:tcPr>
          <w:p w14:paraId="48D545B5"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数据规模</w:t>
            </w:r>
          </w:p>
        </w:tc>
        <w:tc>
          <w:tcPr>
            <w:tcW w:w="6733" w:type="dxa"/>
            <w:tcMar>
              <w:top w:w="150" w:type="dxa"/>
              <w:left w:w="240" w:type="dxa"/>
              <w:bottom w:w="150" w:type="dxa"/>
              <w:right w:w="0" w:type="dxa"/>
            </w:tcMar>
            <w:vAlign w:val="center"/>
            <w:hideMark/>
          </w:tcPr>
          <w:p w14:paraId="38E010F6"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4 组电池轨迹：B0005、B0006、B0018（完整事件观测），B0007（右删失）</w:t>
            </w:r>
          </w:p>
        </w:tc>
      </w:tr>
      <w:tr w:rsidR="002774BE" w:rsidRPr="004643F8" w14:paraId="45E79F28" w14:textId="77777777" w:rsidTr="002774BE">
        <w:trPr>
          <w:trHeight w:val="272"/>
        </w:trPr>
        <w:tc>
          <w:tcPr>
            <w:tcW w:w="0" w:type="auto"/>
            <w:tcMar>
              <w:top w:w="150" w:type="dxa"/>
              <w:left w:w="0" w:type="dxa"/>
              <w:bottom w:w="150" w:type="dxa"/>
              <w:right w:w="240" w:type="dxa"/>
            </w:tcMar>
            <w:vAlign w:val="center"/>
            <w:hideMark/>
          </w:tcPr>
          <w:p w14:paraId="62583EEC"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特殊样本处理</w:t>
            </w:r>
          </w:p>
        </w:tc>
        <w:tc>
          <w:tcPr>
            <w:tcW w:w="6733" w:type="dxa"/>
            <w:tcMar>
              <w:top w:w="150" w:type="dxa"/>
              <w:left w:w="240" w:type="dxa"/>
              <w:bottom w:w="150" w:type="dxa"/>
              <w:right w:w="0" w:type="dxa"/>
            </w:tcMar>
            <w:vAlign w:val="center"/>
            <w:hideMark/>
          </w:tcPr>
          <w:p w14:paraId="6E72D1CD"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B0007 不纳入精确 RMSE 宏平均，仅作定性趋势验证</w:t>
            </w:r>
          </w:p>
        </w:tc>
      </w:tr>
      <w:tr w:rsidR="002774BE" w:rsidRPr="004643F8" w14:paraId="37CA5E57" w14:textId="77777777" w:rsidTr="002774BE">
        <w:trPr>
          <w:trHeight w:val="272"/>
        </w:trPr>
        <w:tc>
          <w:tcPr>
            <w:tcW w:w="0" w:type="auto"/>
            <w:tcMar>
              <w:top w:w="150" w:type="dxa"/>
              <w:left w:w="0" w:type="dxa"/>
              <w:bottom w:w="150" w:type="dxa"/>
              <w:right w:w="240" w:type="dxa"/>
            </w:tcMar>
            <w:vAlign w:val="center"/>
            <w:hideMark/>
          </w:tcPr>
          <w:p w14:paraId="61D19AC5"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防泄漏策略</w:t>
            </w:r>
          </w:p>
        </w:tc>
        <w:tc>
          <w:tcPr>
            <w:tcW w:w="6733" w:type="dxa"/>
            <w:tcMar>
              <w:top w:w="150" w:type="dxa"/>
              <w:left w:w="240" w:type="dxa"/>
              <w:bottom w:w="150" w:type="dxa"/>
              <w:right w:w="0" w:type="dxa"/>
            </w:tcMar>
            <w:vAlign w:val="center"/>
            <w:hideMark/>
          </w:tcPr>
          <w:p w14:paraId="412B5E38"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目标域尺度参数、EOL 位置、全寿命极值均仅在训练折内确定，测试折全程不可见</w:t>
            </w:r>
          </w:p>
        </w:tc>
      </w:tr>
      <w:tr w:rsidR="002774BE" w:rsidRPr="004643F8" w14:paraId="50E278B4" w14:textId="77777777" w:rsidTr="002774BE">
        <w:trPr>
          <w:trHeight w:val="272"/>
        </w:trPr>
        <w:tc>
          <w:tcPr>
            <w:tcW w:w="0" w:type="auto"/>
            <w:tcMar>
              <w:top w:w="150" w:type="dxa"/>
              <w:left w:w="0" w:type="dxa"/>
              <w:bottom w:w="150" w:type="dxa"/>
              <w:right w:w="240" w:type="dxa"/>
            </w:tcMar>
            <w:vAlign w:val="center"/>
            <w:hideMark/>
          </w:tcPr>
          <w:p w14:paraId="6991FAD5"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质量门控</w:t>
            </w:r>
          </w:p>
        </w:tc>
        <w:tc>
          <w:tcPr>
            <w:tcW w:w="6733" w:type="dxa"/>
            <w:tcMar>
              <w:top w:w="150" w:type="dxa"/>
              <w:left w:w="240" w:type="dxa"/>
              <w:bottom w:w="150" w:type="dxa"/>
              <w:right w:w="0" w:type="dxa"/>
            </w:tcMar>
            <w:vAlign w:val="center"/>
            <w:hideMark/>
          </w:tcPr>
          <w:p w14:paraId="2050A54F"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health-RUL 平均相关系数 0.9350，单调退化结构清晰</w:t>
            </w:r>
          </w:p>
        </w:tc>
      </w:tr>
    </w:tbl>
    <w:p w14:paraId="5D9E2E54" w14:textId="77777777" w:rsidR="002774BE" w:rsidRPr="004643F8" w:rsidRDefault="002774BE" w:rsidP="000F75BD">
      <w:pPr>
        <w:rPr>
          <w:rFonts w:asciiTheme="majorEastAsia" w:eastAsiaTheme="majorEastAsia" w:hAnsiTheme="majorEastAsia"/>
          <w:b/>
          <w:bCs/>
        </w:rPr>
      </w:pPr>
    </w:p>
    <w:p w14:paraId="6E1D3668" w14:textId="27AE1D13" w:rsidR="000F75BD" w:rsidRPr="004643F8" w:rsidRDefault="000F75BD" w:rsidP="000F75BD">
      <w:pPr>
        <w:pStyle w:val="2"/>
        <w:rPr>
          <w:rFonts w:asciiTheme="majorEastAsia" w:eastAsiaTheme="majorEastAsia" w:hAnsiTheme="majorEastAsia"/>
        </w:rPr>
      </w:pPr>
      <w:r w:rsidRPr="004643F8">
        <w:rPr>
          <w:rFonts w:asciiTheme="majorEastAsia" w:eastAsiaTheme="majorEastAsia" w:hAnsiTheme="majorEastAsia"/>
          <w:b/>
          <w:bCs/>
        </w:rPr>
        <w:t>2.4 目标场景二：反作用轮长期机械退化</w:t>
      </w:r>
    </w:p>
    <w:p w14:paraId="71BD1F3A"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反作用轮作为航天器姿态控制系统的关键执行部件，其在轨长期运行中面临的主要退化模式为轴承润滑剂损耗与滚动接触面微动磨损，两者共同表现为轴系摩擦力矩的渐进性增加。摩擦力矩上升直接导致电机电流异常、转速波动加剧以及组件温度场漂移，这些遥测量均可被星上传感器连续捕获，构成退化状态推断的信息基础。本场景选取反作用轮作为第二个迁移目标域，旨在验证源域预训练编码器在面对具有不同退化速率与信号特征谱的机械旋转部件时的迁移适配效果。</w:t>
      </w:r>
    </w:p>
    <w:p w14:paraId="7F63E030"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由于真实在轨反作用轮遥测数据获取困难且缺乏全生命周期退化记录，项目自主构建了反作用轮长期机械退化的高保真退化模拟数据集。该模拟依据轴承润滑状态随时间恶化的物理模型，通过参数化退化进程驱动转速、温度、电流等多通道时序信号产生符合工程认知的渐进变化——健康阶段各通道保持稳定基线，退化阶段摩擦信号逐步抬升且波动加剧，直至触碰预设失效阈值，从而完整覆盖从全新至寿命终结的全过程退化轨迹。该批数据共生成五条独立轨迹，模拟不同初始状态与退化速率下的反作用轮服役历程，每条轨迹均以离散观测步数为单位记录全生命周期的多通道遥测信号。需要说明的是，本数据集旨在为迁移学习算法提供退化趋势结构清晰的目标域素材，其验证结果反映的是跨数据集知识迁移的方法可行性，不等同于真实在轨反作用轮遥测条件下的星上放行结论。</w:t>
      </w:r>
      <w:r>
        <w:t xml:space="preserve"> [3, 4, 5]</w:t>
      </w:r>
    </w:p>
    <w:p w14:paraId="359C95D6"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同步地，为强化迁移效果的机械退化场景泛化证据，本项目引入 FEMTO/IMS 公开轴承退化数据集作为第二条独立的机械退化验证线。FEMTO 轴承数据记录了六个轴承样本在加速寿命试验中从正常运转至完全失效的完整振动信号历程，其退化机理（滚动接触疲劳与磨损）与反作用轮轴承具有物理同源性，可作为补充性的目标域数据参与迁移效果验证。</w:t>
      </w:r>
    </w:p>
    <w:p w14:paraId="532D0B15" w14:textId="5534130A"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lastRenderedPageBreak/>
        <w:t>在健康信号构造上，两类目标数据统一遵循源域的 health 对齐策略。对于 COMSOL 反作用轮数据，以摩擦力矩相对增量或等效损伤指标为基础，按轨迹全寿命极值归一化后翻转得到 </w:t>
      </w:r>
      <m:oMath>
        <m:sSubSup>
          <m:sSubSupPr>
            <m:ctrlPr>
              <w:rPr>
                <w:rFonts w:ascii="Cambria Math" w:eastAsiaTheme="majorEastAsia" w:hAnsi="Cambria Math"/>
              </w:rPr>
            </m:ctrlPr>
          </m:sSubSupPr>
          <m:e>
            <m:r>
              <w:rPr>
                <w:rFonts w:ascii="Cambria Math" w:eastAsiaTheme="majorEastAsia" w:hAnsi="Cambria Math"/>
              </w:rPr>
              <m:t>h</m:t>
            </m:r>
          </m:e>
          <m:sub>
            <m:r>
              <w:rPr>
                <w:rFonts w:ascii="Cambria Math" w:eastAsiaTheme="majorEastAsia" w:hAnsi="Cambria Math"/>
              </w:rPr>
              <m:t>t</m:t>
            </m:r>
          </m:sub>
          <m:sup>
            <m:r>
              <m:rPr>
                <m:nor/>
              </m:rPr>
              <w:rPr>
                <w:rFonts w:asciiTheme="majorEastAsia" w:eastAsiaTheme="majorEastAsia" w:hAnsiTheme="majorEastAsia"/>
              </w:rPr>
              <m:t>(RW)</m:t>
            </m:r>
          </m:sup>
        </m:sSubSup>
        <m:r>
          <w:rPr>
            <w:rFonts w:ascii="Cambria Math" w:eastAsiaTheme="majorEastAsia" w:hAnsi="Cambria Math"/>
          </w:rPr>
          <m:t>=1-</m:t>
        </m:r>
        <m:sSub>
          <m:sSubPr>
            <m:ctrlPr>
              <w:rPr>
                <w:rFonts w:ascii="Cambria Math" w:eastAsiaTheme="majorEastAsia" w:hAnsi="Cambria Math"/>
              </w:rPr>
            </m:ctrlPr>
          </m:sSubPr>
          <m:e>
            <m:r>
              <m:rPr>
                <m:nor/>
              </m:rPr>
              <w:rPr>
                <w:rFonts w:asciiTheme="majorEastAsia" w:eastAsiaTheme="majorEastAsia" w:hAnsiTheme="majorEastAsia"/>
              </w:rPr>
              <m:t>normalized</m:t>
            </m:r>
            <m:r>
              <m:rPr>
                <m:lit/>
                <m:nor/>
              </m:rPr>
              <w:rPr>
                <w:rFonts w:asciiTheme="majorEastAsia" w:eastAsiaTheme="majorEastAsia" w:hAnsiTheme="majorEastAsia"/>
              </w:rPr>
              <m:t>_</m:t>
            </m:r>
            <m:r>
              <m:rPr>
                <m:nor/>
              </m:rPr>
              <w:rPr>
                <w:rFonts w:asciiTheme="majorEastAsia" w:eastAsiaTheme="majorEastAsia" w:hAnsiTheme="majorEastAsia"/>
              </w:rPr>
              <m:t>friction</m:t>
            </m:r>
            <m:r>
              <m:rPr>
                <m:lit/>
                <m:nor/>
              </m:rPr>
              <w:rPr>
                <w:rFonts w:asciiTheme="majorEastAsia" w:eastAsiaTheme="majorEastAsia" w:hAnsiTheme="majorEastAsia"/>
              </w:rPr>
              <m:t>_</m:t>
            </m:r>
            <m:r>
              <m:rPr>
                <m:nor/>
              </m:rPr>
              <w:rPr>
                <w:rFonts w:asciiTheme="majorEastAsia" w:eastAsiaTheme="majorEastAsia" w:hAnsiTheme="majorEastAsia"/>
              </w:rPr>
              <m:t>damage</m:t>
            </m:r>
          </m:e>
          <m:sub>
            <m:r>
              <w:rPr>
                <w:rFonts w:ascii="Cambria Math" w:eastAsiaTheme="majorEastAsia" w:hAnsi="Cambria Math"/>
              </w:rPr>
              <m:t>t</m:t>
            </m:r>
          </m:sub>
        </m:sSub>
      </m:oMath>
      <w:r w:rsidRPr="004643F8">
        <w:rPr>
          <w:rFonts w:asciiTheme="majorEastAsia" w:eastAsiaTheme="majorEastAsia" w:hAnsiTheme="majorEastAsia"/>
        </w:rPr>
        <w:t>，使“越大越健康”方向一致。对于 FEMTO 轴承数据，以振动信号均方根值（RMS）的长期漂移作为退化表征，经归一化翻转后得到 </w:t>
      </w:r>
      <m:oMath>
        <m:sSubSup>
          <m:sSubSupPr>
            <m:ctrlPr>
              <w:rPr>
                <w:rFonts w:ascii="Cambria Math" w:eastAsiaTheme="majorEastAsia" w:hAnsi="Cambria Math"/>
              </w:rPr>
            </m:ctrlPr>
          </m:sSubSupPr>
          <m:e>
            <m:r>
              <w:rPr>
                <w:rFonts w:ascii="Cambria Math" w:eastAsiaTheme="majorEastAsia" w:hAnsi="Cambria Math"/>
              </w:rPr>
              <m:t>h</m:t>
            </m:r>
          </m:e>
          <m:sub>
            <m:r>
              <w:rPr>
                <w:rFonts w:ascii="Cambria Math" w:eastAsiaTheme="majorEastAsia" w:hAnsi="Cambria Math"/>
              </w:rPr>
              <m:t>t</m:t>
            </m:r>
          </m:sub>
          <m:sup>
            <m:r>
              <m:rPr>
                <m:nor/>
              </m:rPr>
              <w:rPr>
                <w:rFonts w:asciiTheme="majorEastAsia" w:eastAsiaTheme="majorEastAsia" w:hAnsiTheme="majorEastAsia"/>
              </w:rPr>
              <m:t>(bearing)</m:t>
            </m:r>
          </m:sup>
        </m:sSubSup>
      </m:oMath>
      <w:r w:rsidRPr="004643F8">
        <w:rPr>
          <w:rFonts w:asciiTheme="majorEastAsia" w:eastAsiaTheme="majorEastAsia" w:hAnsiTheme="majorEastAsia"/>
        </w:rPr>
        <w:t>。两者的 RUL 标签均定义为 </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，其中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由各自场景的失效阈值判定，</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以剩余观测步数为单位。</w:t>
      </w:r>
    </w:p>
    <w:p w14:paraId="020F0464"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数据切分策略方面，COMSOL 反作用轮场景按五条独立轨迹执行 outer-LOO（留一轨迹验证），每一折使用四条轨迹进行微调训练、一条轨迹作为测试折，轮换五次完成全量评估。FEMTO 轴承场景则按六个轴承样本执行相同的 outer-LOO 协议。两种切分策略均保证各折之间轨迹完全隔离，不存在同一轨迹跨 splits 的信息渗透。</w:t>
      </w:r>
    </w:p>
    <w:p w14:paraId="1528290D"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在源域与目标域的联动关系上，两个目标场景均不直接接触源域的原始数据——源域预训练编码器在源域完成参数固化后，其权重作为初始化参数传递至目标域，目标域微调过程仅依赖自身训练折数据更新输入投影层、编码器（全量微调）与预测头，源域训练集的标签分布、极值范围及归一化参数不参与目标域的任何预处理步骤。这一隔离设计确保了迁移评估的纯净性，即目标域性能增益完全源于编码器所承载的退化表征知识，而非源域数据统计量的间接泄露。</w:t>
      </w:r>
    </w:p>
    <w:p w14:paraId="40BB9E75"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在方向一致性检查方面，COMSOL 反作用轮数据的 health-RUL 平均相关系数为 0.9421，FEMTO 轴承数据为 0.9587，均确认单调退化趋势结构清晰，具备承接迁移学习的条件。</w:t>
      </w:r>
    </w:p>
    <w:p w14:paraId="29C123C5" w14:textId="0A7BFD93" w:rsidR="007213A2" w:rsidRPr="004643F8" w:rsidRDefault="000F75BD">
      <w:pPr>
        <w:rPr>
          <w:rFonts w:asciiTheme="majorEastAsia" w:eastAsiaTheme="majorEastAsia" w:hAnsiTheme="majorEastAsia"/>
        </w:rPr>
      </w:pPr>
      <w:r w:rsidRPr="004643F8">
        <w:rPr>
          <w:rFonts w:asciiTheme="majorEastAsia" w:eastAsiaTheme="majorEastAsia" w:hAnsiTheme="majorEastAsia"/>
        </w:rPr>
        <w:t>综上，目标场景二的关键要素汇总如下：</w:t>
      </w:r>
    </w:p>
    <w:p w14:paraId="4622EB22" w14:textId="40D952D4" w:rsidR="002774BE" w:rsidRPr="004643F8" w:rsidRDefault="002774BE">
      <w:pPr>
        <w:rPr>
          <w:rFonts w:asciiTheme="majorEastAsia" w:eastAsiaTheme="majorEastAsia" w:hAnsiTheme="majorEastAsia" w:hint="eastAsia"/>
        </w:rPr>
      </w:pPr>
      <w:r w:rsidRPr="004643F8">
        <w:rPr>
          <w:rFonts w:asciiTheme="majorEastAsia" w:eastAsiaTheme="majorEastAsia" w:hAnsiTheme="majorEastAsia" w:hint="eastAsia"/>
        </w:rPr>
        <w:t>表</w:t>
      </w:r>
      <w:r w:rsidR="00374385" w:rsidRPr="004643F8">
        <w:rPr>
          <w:rFonts w:asciiTheme="majorEastAsia" w:eastAsiaTheme="majorEastAsia" w:hAnsiTheme="majorEastAsia" w:hint="eastAsia"/>
        </w:rPr>
        <w:t>5</w:t>
      </w:r>
      <w:r w:rsidRPr="004643F8">
        <w:rPr>
          <w:rFonts w:asciiTheme="majorEastAsia" w:eastAsiaTheme="majorEastAsia" w:hAnsiTheme="majorEastAsia" w:hint="eastAsia"/>
        </w:rPr>
        <w:t xml:space="preserve"> </w:t>
      </w:r>
      <w:r w:rsidRPr="004643F8">
        <w:rPr>
          <w:rFonts w:asciiTheme="majorEastAsia" w:eastAsiaTheme="majorEastAsia" w:hAnsiTheme="majorEastAsia"/>
        </w:rPr>
        <w:t>目标场景二——反作用轮与轴承退化数据要素对比表</w:t>
      </w:r>
    </w:p>
    <w:tbl>
      <w:tblPr>
        <w:tblStyle w:val="af2"/>
        <w:tblW w:w="0" w:type="auto"/>
        <w:tblLook w:val="04A0" w:firstRow="1" w:lastRow="0" w:firstColumn="1" w:lastColumn="0" w:noHBand="0" w:noVBand="1"/>
      </w:tblPr>
      <w:tblGrid>
        <w:gridCol w:w="846"/>
        <w:gridCol w:w="3685"/>
        <w:gridCol w:w="3765"/>
      </w:tblGrid>
      <w:tr w:rsidR="00022419" w:rsidRPr="004643F8" w14:paraId="3B12DA67" w14:textId="77777777" w:rsidTr="00BF0BE1">
        <w:trPr>
          <w:trHeight w:val="360"/>
        </w:trPr>
        <w:tc>
          <w:tcPr>
            <w:tcW w:w="846" w:type="dxa"/>
            <w:hideMark/>
          </w:tcPr>
          <w:p w14:paraId="21877092" w14:textId="77777777" w:rsidR="00022419" w:rsidRPr="004643F8" w:rsidRDefault="00022419" w:rsidP="00022419">
            <w:pPr>
              <w:rPr>
                <w:rFonts w:asciiTheme="majorEastAsia" w:eastAsiaTheme="majorEastAsia" w:hAnsiTheme="majorEastAsia"/>
              </w:rPr>
            </w:pPr>
            <w:r w:rsidRPr="004643F8">
              <w:rPr>
                <w:rFonts w:asciiTheme="majorEastAsia" w:eastAsiaTheme="majorEastAsia" w:hAnsiTheme="majorEastAsia"/>
              </w:rPr>
              <w:t>要素</w:t>
            </w:r>
          </w:p>
        </w:tc>
        <w:tc>
          <w:tcPr>
            <w:tcW w:w="3685" w:type="dxa"/>
            <w:hideMark/>
          </w:tcPr>
          <w:p w14:paraId="63F65BE4"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COMSOL 反作用轮场景</w:t>
            </w:r>
          </w:p>
        </w:tc>
        <w:tc>
          <w:tcPr>
            <w:tcW w:w="3765" w:type="dxa"/>
            <w:hideMark/>
          </w:tcPr>
          <w:p w14:paraId="7D302546"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FEMTO 轴承场景</w:t>
            </w:r>
          </w:p>
        </w:tc>
      </w:tr>
      <w:tr w:rsidR="00022419" w:rsidRPr="004643F8" w14:paraId="53B57987" w14:textId="77777777" w:rsidTr="00BF0BE1">
        <w:trPr>
          <w:trHeight w:val="720"/>
        </w:trPr>
        <w:tc>
          <w:tcPr>
            <w:tcW w:w="846" w:type="dxa"/>
            <w:hideMark/>
          </w:tcPr>
          <w:p w14:paraId="5D517184"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退化机理</w:t>
            </w:r>
          </w:p>
        </w:tc>
        <w:tc>
          <w:tcPr>
            <w:tcW w:w="3685" w:type="dxa"/>
            <w:hideMark/>
          </w:tcPr>
          <w:p w14:paraId="187CB577"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轴承润滑剂损耗与接触面微动磨损，表现为摩擦力矩渐进增加</w:t>
            </w:r>
          </w:p>
        </w:tc>
        <w:tc>
          <w:tcPr>
            <w:tcW w:w="3765" w:type="dxa"/>
            <w:hideMark/>
          </w:tcPr>
          <w:p w14:paraId="034A47E9"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滚动接触疲劳与磨损，振动信号能量持续抬升</w:t>
            </w:r>
          </w:p>
        </w:tc>
      </w:tr>
      <w:tr w:rsidR="00022419" w:rsidRPr="004643F8" w14:paraId="7A26B41E" w14:textId="77777777" w:rsidTr="00BF0BE1">
        <w:trPr>
          <w:trHeight w:val="540"/>
        </w:trPr>
        <w:tc>
          <w:tcPr>
            <w:tcW w:w="846" w:type="dxa"/>
            <w:hideMark/>
          </w:tcPr>
          <w:p w14:paraId="74041F9C"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原始观测量</w:t>
            </w:r>
          </w:p>
        </w:tc>
        <w:tc>
          <w:tcPr>
            <w:tcW w:w="3685" w:type="dxa"/>
            <w:hideMark/>
          </w:tcPr>
          <w:p w14:paraId="5D3DA645"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转速、电流、温度等多通道 raw-level 遥测</w:t>
            </w:r>
          </w:p>
        </w:tc>
        <w:tc>
          <w:tcPr>
            <w:tcW w:w="3765" w:type="dxa"/>
            <w:hideMark/>
          </w:tcPr>
          <w:p w14:paraId="212095FC"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振动加速度时域信号，提取 RMS 等统计特征</w:t>
            </w:r>
          </w:p>
        </w:tc>
      </w:tr>
      <w:tr w:rsidR="00022419" w:rsidRPr="004643F8" w14:paraId="18A2BADD" w14:textId="77777777" w:rsidTr="00BF0BE1">
        <w:trPr>
          <w:trHeight w:val="649"/>
        </w:trPr>
        <w:tc>
          <w:tcPr>
            <w:tcW w:w="846" w:type="dxa"/>
            <w:hideMark/>
          </w:tcPr>
          <w:p w14:paraId="39D8DF5B"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health 构造</w:t>
            </w:r>
          </w:p>
        </w:tc>
        <w:tc>
          <w:tcPr>
            <w:tcW w:w="3685" w:type="dxa"/>
            <w:hideMark/>
          </w:tcPr>
          <w:p w14:paraId="4FFD74A8" w14:textId="2433CB30" w:rsidR="00022419" w:rsidRPr="004643F8" w:rsidRDefault="00022419">
            <w:pP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h</m:t>
                    </m:r>
                    <m:r>
                      <w:rPr>
                        <w:rFonts w:ascii="Cambria Math" w:eastAsiaTheme="majorEastAsia" w:hAnsi="Cambria Math"/>
                      </w:rPr>
                      <m:t>​</m:t>
                    </m:r>
                  </m:e>
                  <m:sub>
                    <m:r>
                      <w:rPr>
                        <w:rFonts w:ascii="Cambria Math" w:eastAsiaTheme="majorEastAsia" w:hAnsi="Cambria Math"/>
                      </w:rPr>
                      <m:t>t</m:t>
                    </m:r>
                  </m:sub>
                </m:sSub>
                <m:r>
                  <w:rPr>
                    <w:rFonts w:ascii="Cambria Math" w:eastAsiaTheme="majorEastAsia" w:hAnsi="Cambria Math"/>
                  </w:rPr>
                  <m:t>=1-</m:t>
                </m:r>
                <m:sSub>
                  <m:sSubPr>
                    <m:ctrlPr>
                      <w:rPr>
                        <w:rFonts w:ascii="Cambria Math" w:eastAsiaTheme="majorEastAsia" w:hAnsi="Cambria Math"/>
                        <w:i/>
                      </w:rPr>
                    </m:ctrlPr>
                  </m:sSubPr>
                  <m:e>
                    <m:r>
                      <w:rPr>
                        <w:rFonts w:ascii="Cambria Math" w:eastAsiaTheme="majorEastAsia" w:hAnsi="Cambria Math"/>
                      </w:rPr>
                      <m:t>normalized_friction_damage</m:t>
                    </m:r>
                  </m:e>
                  <m:sub>
                    <m:r>
                      <w:rPr>
                        <w:rFonts w:ascii="Cambria Math" w:eastAsiaTheme="majorEastAsia" w:hAnsi="Cambria Math"/>
                      </w:rPr>
                      <m:t>t</m:t>
                    </m:r>
                  </m:sub>
                </m:sSub>
                <m:r>
                  <w:rPr>
                    <w:rFonts w:ascii="Cambria Math" w:eastAsiaTheme="majorEastAsia" w:hAnsi="Cambria Math"/>
                  </w:rPr>
                  <m:t>​</m:t>
                </m:r>
              </m:oMath>
            </m:oMathPara>
          </w:p>
        </w:tc>
        <w:tc>
          <w:tcPr>
            <w:tcW w:w="3765" w:type="dxa"/>
            <w:hideMark/>
          </w:tcPr>
          <w:p w14:paraId="49713FA0" w14:textId="0DFFFC36" w:rsidR="00022419" w:rsidRPr="004643F8" w:rsidRDefault="00B5288C">
            <w:pP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h</m:t>
                    </m:r>
                    <m:r>
                      <w:rPr>
                        <w:rFonts w:ascii="Cambria Math" w:eastAsiaTheme="majorEastAsia" w:hAnsi="Cambria Math"/>
                      </w:rPr>
                      <m:t>​</m:t>
                    </m:r>
                  </m:e>
                  <m:sub>
                    <m:r>
                      <w:rPr>
                        <w:rFonts w:ascii="Cambria Math" w:eastAsiaTheme="majorEastAsia" w:hAnsi="Cambria Math"/>
                      </w:rPr>
                      <m:t>t</m:t>
                    </m:r>
                  </m:sub>
                </m:sSub>
                <m:r>
                  <w:rPr>
                    <w:rFonts w:ascii="Cambria Math" w:eastAsiaTheme="majorEastAsia" w:hAnsi="Cambria Math"/>
                  </w:rPr>
                  <m:t>=1-</m:t>
                </m:r>
                <m:sSub>
                  <m:sSubPr>
                    <m:ctrlPr>
                      <w:rPr>
                        <w:rFonts w:ascii="Cambria Math" w:eastAsiaTheme="majorEastAsia" w:hAnsi="Cambria Math"/>
                        <w:i/>
                      </w:rPr>
                    </m:ctrlPr>
                  </m:sSubPr>
                  <m:e>
                    <m:r>
                      <w:rPr>
                        <w:rFonts w:ascii="Cambria Math" w:eastAsiaTheme="majorEastAsia" w:hAnsi="Cambria Math"/>
                      </w:rPr>
                      <m:t>normalized_friction_damage</m:t>
                    </m:r>
                  </m:e>
                  <m:sub>
                    <m:r>
                      <w:rPr>
                        <w:rFonts w:ascii="Cambria Math" w:eastAsiaTheme="majorEastAsia" w:hAnsi="Cambria Math"/>
                      </w:rPr>
                      <m:t>t</m:t>
                    </m:r>
                  </m:sub>
                </m:sSub>
              </m:oMath>
            </m:oMathPara>
          </w:p>
        </w:tc>
      </w:tr>
      <w:tr w:rsidR="00022419" w:rsidRPr="004643F8" w14:paraId="0FD4CE8B" w14:textId="77777777" w:rsidTr="00BF0BE1">
        <w:trPr>
          <w:trHeight w:val="360"/>
        </w:trPr>
        <w:tc>
          <w:tcPr>
            <w:tcW w:w="846" w:type="dxa"/>
            <w:hideMark/>
          </w:tcPr>
          <w:p w14:paraId="35E76CAE"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EOL 定义</w:t>
            </w:r>
          </w:p>
        </w:tc>
        <w:tc>
          <w:tcPr>
            <w:tcW w:w="3685" w:type="dxa"/>
            <w:hideMark/>
          </w:tcPr>
          <w:p w14:paraId="0A411220"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摩擦损伤指标触碰预设阈值</w:t>
            </w:r>
          </w:p>
        </w:tc>
        <w:tc>
          <w:tcPr>
            <w:tcW w:w="3765" w:type="dxa"/>
            <w:hideMark/>
          </w:tcPr>
          <w:p w14:paraId="7D6110F7"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振动 RMS 触碰预设失效阈值</w:t>
            </w:r>
          </w:p>
        </w:tc>
      </w:tr>
      <w:tr w:rsidR="00B12D37" w:rsidRPr="004643F8" w14:paraId="31CFFB32" w14:textId="77777777" w:rsidTr="00BF0BE1">
        <w:trPr>
          <w:trHeight w:val="1183"/>
        </w:trPr>
        <w:tc>
          <w:tcPr>
            <w:tcW w:w="846" w:type="dxa"/>
            <w:hideMark/>
          </w:tcPr>
          <w:p w14:paraId="720452E1" w14:textId="77777777" w:rsidR="00B12D37" w:rsidRPr="004643F8" w:rsidRDefault="00B12D37" w:rsidP="00B12D37">
            <w:pPr>
              <w:rPr>
                <w:rFonts w:asciiTheme="majorEastAsia" w:eastAsiaTheme="majorEastAsia" w:hAnsiTheme="majorEastAsia"/>
              </w:rPr>
            </w:pPr>
            <w:r w:rsidRPr="004643F8">
              <w:rPr>
                <w:rFonts w:asciiTheme="majorEastAsia" w:eastAsiaTheme="majorEastAsia" w:hAnsiTheme="majorEastAsia"/>
              </w:rPr>
              <w:t>RUL 标签</w:t>
            </w:r>
          </w:p>
        </w:tc>
        <w:tc>
          <w:tcPr>
            <w:tcW w:w="3685" w:type="dxa"/>
            <w:hideMark/>
          </w:tcPr>
          <w:p w14:paraId="2AEC7E45" w14:textId="12F4C1FE" w:rsidR="00B12D37" w:rsidRPr="004643F8" w:rsidRDefault="00B12D37" w:rsidP="00B12D37">
            <w:pPr>
              <w:rPr>
                <w:rFonts w:asciiTheme="majorEastAsia" w:eastAsiaTheme="majorEastAsia" w:hAnsiTheme="majorEastAsia"/>
              </w:rPr>
            </w:pPr>
            <m:oMath>
              <m:sSub>
                <m:sSubPr>
                  <m:ctrlPr>
                    <w:rPr>
                      <w:rFonts w:ascii="Cambria Math" w:eastAsiaTheme="majorEastAsia" w:hAnsi="Cambria Math"/>
                      <w:i/>
                    </w:rPr>
                  </m:ctrlPr>
                </m:sSubPr>
                <m:e>
                  <m:r>
                    <w:rPr>
                      <w:rFonts w:ascii="Cambria Math" w:eastAsiaTheme="majorEastAsia" w:hAnsi="Cambria Math" w:hint="eastAsia"/>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，以剩余观测步数为单位</w:t>
            </w:r>
          </w:p>
        </w:tc>
        <w:tc>
          <w:tcPr>
            <w:tcW w:w="3765" w:type="dxa"/>
            <w:hideMark/>
          </w:tcPr>
          <w:p w14:paraId="4DB4F2B5" w14:textId="151D3EE6" w:rsidR="00B12D37" w:rsidRPr="004643F8" w:rsidRDefault="00B12D37" w:rsidP="00B12D37">
            <w:pPr>
              <w:rPr>
                <w:rFonts w:asciiTheme="majorEastAsia" w:eastAsiaTheme="majorEastAsia" w:hAnsiTheme="majorEastAsia"/>
              </w:rPr>
            </w:pPr>
            <m:oMath>
              <m:sSub>
                <m:sSubPr>
                  <m:ctrlPr>
                    <w:rPr>
                      <w:rFonts w:ascii="Cambria Math" w:eastAsiaTheme="majorEastAsia" w:hAnsi="Cambria Math"/>
                      <w:i/>
                    </w:rPr>
                  </m:ctrlPr>
                </m:sSubPr>
                <m:e>
                  <m:r>
                    <w:rPr>
                      <w:rFonts w:ascii="Cambria Math" w:eastAsiaTheme="majorEastAsia" w:hAnsi="Cambria Math" w:hint="eastAsia"/>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，以剩余观测步数为单位</w:t>
            </w:r>
          </w:p>
        </w:tc>
      </w:tr>
      <w:tr w:rsidR="00022419" w:rsidRPr="004643F8" w14:paraId="16884707" w14:textId="77777777" w:rsidTr="00BF0BE1">
        <w:trPr>
          <w:trHeight w:val="360"/>
        </w:trPr>
        <w:tc>
          <w:tcPr>
            <w:tcW w:w="846" w:type="dxa"/>
            <w:hideMark/>
          </w:tcPr>
          <w:p w14:paraId="12E48728"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数据规模</w:t>
            </w:r>
          </w:p>
        </w:tc>
        <w:tc>
          <w:tcPr>
            <w:tcW w:w="3685" w:type="dxa"/>
            <w:hideMark/>
          </w:tcPr>
          <w:p w14:paraId="6421C2C6"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5 条完整退化轨迹</w:t>
            </w:r>
          </w:p>
        </w:tc>
        <w:tc>
          <w:tcPr>
            <w:tcW w:w="3765" w:type="dxa"/>
            <w:hideMark/>
          </w:tcPr>
          <w:p w14:paraId="7E3A1D70"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6 个轴承全寿命样本</w:t>
            </w:r>
          </w:p>
        </w:tc>
      </w:tr>
      <w:tr w:rsidR="00022419" w:rsidRPr="004643F8" w14:paraId="329089BE" w14:textId="77777777" w:rsidTr="00BF0BE1">
        <w:trPr>
          <w:trHeight w:val="360"/>
        </w:trPr>
        <w:tc>
          <w:tcPr>
            <w:tcW w:w="846" w:type="dxa"/>
            <w:hideMark/>
          </w:tcPr>
          <w:p w14:paraId="05199C68"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切分策略</w:t>
            </w:r>
          </w:p>
        </w:tc>
        <w:tc>
          <w:tcPr>
            <w:tcW w:w="3685" w:type="dxa"/>
            <w:hideMark/>
          </w:tcPr>
          <w:p w14:paraId="4291F27C"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5-fold outer-LOO，轨迹级别隔离</w:t>
            </w:r>
          </w:p>
        </w:tc>
        <w:tc>
          <w:tcPr>
            <w:tcW w:w="3765" w:type="dxa"/>
            <w:hideMark/>
          </w:tcPr>
          <w:p w14:paraId="74105B6E"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6-fold outer-LOO，样本级别隔离</w:t>
            </w:r>
          </w:p>
        </w:tc>
      </w:tr>
      <w:tr w:rsidR="00022419" w:rsidRPr="004643F8" w14:paraId="7CA995B7" w14:textId="77777777" w:rsidTr="00BF0BE1">
        <w:trPr>
          <w:trHeight w:val="720"/>
        </w:trPr>
        <w:tc>
          <w:tcPr>
            <w:tcW w:w="846" w:type="dxa"/>
            <w:hideMark/>
          </w:tcPr>
          <w:p w14:paraId="6E00FE62"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与源域关系</w:t>
            </w:r>
          </w:p>
        </w:tc>
        <w:tc>
          <w:tcPr>
            <w:tcW w:w="3685" w:type="dxa"/>
            <w:hideMark/>
          </w:tcPr>
          <w:p w14:paraId="372BF6EE"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仅继承预训练编码器权重，源域数据不参与目标域预处理</w:t>
            </w:r>
          </w:p>
        </w:tc>
        <w:tc>
          <w:tcPr>
            <w:tcW w:w="3765" w:type="dxa"/>
            <w:hideMark/>
          </w:tcPr>
          <w:p w14:paraId="2CACCFB8"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同左</w:t>
            </w:r>
          </w:p>
        </w:tc>
      </w:tr>
      <w:tr w:rsidR="00022419" w:rsidRPr="004643F8" w14:paraId="58259B62" w14:textId="77777777" w:rsidTr="00BF0BE1">
        <w:trPr>
          <w:trHeight w:val="360"/>
        </w:trPr>
        <w:tc>
          <w:tcPr>
            <w:tcW w:w="846" w:type="dxa"/>
            <w:hideMark/>
          </w:tcPr>
          <w:p w14:paraId="10E17F73"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质量门控</w:t>
            </w:r>
          </w:p>
        </w:tc>
        <w:tc>
          <w:tcPr>
            <w:tcW w:w="3685" w:type="dxa"/>
            <w:hideMark/>
          </w:tcPr>
          <w:p w14:paraId="35E31CE5"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health-RUL 平均相关系数 0.9421</w:t>
            </w:r>
          </w:p>
        </w:tc>
        <w:tc>
          <w:tcPr>
            <w:tcW w:w="3765" w:type="dxa"/>
            <w:hideMark/>
          </w:tcPr>
          <w:p w14:paraId="64D846EB"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health-RUL 平均相关系数 0.9587</w:t>
            </w:r>
          </w:p>
        </w:tc>
      </w:tr>
    </w:tbl>
    <w:p w14:paraId="52FF1B9A" w14:textId="77777777" w:rsidR="00BF0BE1" w:rsidRPr="004643F8" w:rsidRDefault="00BF0BE1" w:rsidP="00BF0BE1">
      <w:pPr>
        <w:pStyle w:val="1"/>
        <w:rPr>
          <w:rFonts w:asciiTheme="majorEastAsia" w:eastAsiaTheme="majorEastAsia" w:hAnsiTheme="majorEastAsia"/>
        </w:rPr>
      </w:pPr>
      <w:r w:rsidRPr="004643F8">
        <w:rPr>
          <w:rFonts w:asciiTheme="majorEastAsia" w:eastAsiaTheme="majorEastAsia" w:hAnsiTheme="majorEastAsia"/>
          <w:b/>
          <w:bCs/>
        </w:rPr>
        <w:t>三、数据集与仿真方法</w:t>
      </w:r>
    </w:p>
    <w:p w14:paraId="1FD2C4A7" w14:textId="77777777" w:rsidR="00BF0BE1" w:rsidRPr="004643F8" w:rsidRDefault="00BF0BE1" w:rsidP="00BF0BE1">
      <w:pPr>
        <w:pStyle w:val="2"/>
        <w:rPr>
          <w:rFonts w:asciiTheme="majorEastAsia" w:eastAsiaTheme="majorEastAsia" w:hAnsiTheme="majorEastAsia"/>
        </w:rPr>
      </w:pPr>
      <w:r w:rsidRPr="004643F8">
        <w:rPr>
          <w:rFonts w:asciiTheme="majorEastAsia" w:eastAsiaTheme="majorEastAsia" w:hAnsiTheme="majorEastAsia"/>
          <w:b/>
          <w:bCs/>
        </w:rPr>
        <w:t>3.1 数据构成与可追溯清单</w:t>
      </w:r>
    </w:p>
    <w:p w14:paraId="73CF0F1C" w14:textId="77777777" w:rsidR="00BF0BE1" w:rsidRPr="004643F8" w:rsidRDefault="00BF0BE1" w:rsidP="00BF0BE1">
      <w:pPr>
        <w:rPr>
          <w:rFonts w:asciiTheme="majorEastAsia" w:eastAsiaTheme="majorEastAsia" w:hAnsiTheme="majorEastAsia"/>
        </w:rPr>
      </w:pPr>
      <w:r w:rsidRPr="004643F8">
        <w:rPr>
          <w:rFonts w:asciiTheme="majorEastAsia" w:eastAsiaTheme="majorEastAsia" w:hAnsiTheme="majorEastAsia"/>
        </w:rPr>
        <w:lastRenderedPageBreak/>
        <w:t>数据是跨域迁移学习的基础载体，其来源的多样性、版本的可追溯性以及切分的规范性直接决定了实验结果的可信度与可复现性。本项目涉及的数据材料覆盖源域预训练、目标域微调评估以及补充验证三大功能模块，全部数据均以完整轨迹为基本单元进行组织，并辅以严格的哈希校验与版本管理机制。整体数据构成如下表所示：</w:t>
      </w:r>
    </w:p>
    <w:p w14:paraId="4BDF827B" w14:textId="6B57DB91" w:rsidR="002A1947" w:rsidRPr="004643F8" w:rsidRDefault="002A1947" w:rsidP="00BF0BE1">
      <w:pPr>
        <w:rPr>
          <w:rFonts w:asciiTheme="majorEastAsia" w:eastAsiaTheme="majorEastAsia" w:hAnsiTheme="majorEastAsia" w:hint="eastAsia"/>
        </w:rPr>
      </w:pPr>
      <w:r w:rsidRPr="004643F8">
        <w:rPr>
          <w:rFonts w:asciiTheme="majorEastAsia" w:eastAsiaTheme="majorEastAsia" w:hAnsiTheme="majorEastAsia"/>
        </w:rPr>
        <w:t>表6</w:t>
      </w:r>
      <w:r w:rsidRPr="004643F8">
        <w:rPr>
          <w:rFonts w:asciiTheme="majorEastAsia" w:eastAsiaTheme="majorEastAsia" w:hAnsiTheme="majorEastAsia" w:hint="eastAsia"/>
        </w:rPr>
        <w:t xml:space="preserve"> </w:t>
      </w:r>
      <w:r w:rsidRPr="004643F8">
        <w:rPr>
          <w:rFonts w:asciiTheme="majorEastAsia" w:eastAsiaTheme="majorEastAsia" w:hAnsiTheme="majorEastAsia"/>
        </w:rPr>
        <w:t>数据构成与功能定位总览表</w:t>
      </w:r>
    </w:p>
    <w:tbl>
      <w:tblPr>
        <w:tblStyle w:val="af2"/>
        <w:tblW w:w="0" w:type="auto"/>
        <w:jc w:val="center"/>
        <w:tblLook w:val="04A0" w:firstRow="1" w:lastRow="0" w:firstColumn="1" w:lastColumn="0" w:noHBand="0" w:noVBand="1"/>
      </w:tblPr>
      <w:tblGrid>
        <w:gridCol w:w="1838"/>
        <w:gridCol w:w="2126"/>
        <w:gridCol w:w="2302"/>
        <w:gridCol w:w="1791"/>
      </w:tblGrid>
      <w:tr w:rsidR="00BF0BE1" w:rsidRPr="004643F8" w14:paraId="506E86EB" w14:textId="77777777" w:rsidTr="00BF0BE1">
        <w:trPr>
          <w:trHeight w:val="283"/>
          <w:jc w:val="center"/>
        </w:trPr>
        <w:tc>
          <w:tcPr>
            <w:tcW w:w="1838" w:type="dxa"/>
            <w:hideMark/>
          </w:tcPr>
          <w:p w14:paraId="65E9152D" w14:textId="77777777" w:rsidR="00BF0BE1" w:rsidRPr="004643F8" w:rsidRDefault="00BF0BE1" w:rsidP="00BF0BE1">
            <w:pPr>
              <w:rPr>
                <w:rFonts w:asciiTheme="majorEastAsia" w:eastAsiaTheme="majorEastAsia" w:hAnsiTheme="majorEastAsia"/>
              </w:rPr>
            </w:pPr>
            <w:r w:rsidRPr="004643F8">
              <w:rPr>
                <w:rFonts w:asciiTheme="majorEastAsia" w:eastAsiaTheme="majorEastAsia" w:hAnsiTheme="majorEastAsia"/>
              </w:rPr>
              <w:t>数据材料</w:t>
            </w:r>
          </w:p>
        </w:tc>
        <w:tc>
          <w:tcPr>
            <w:tcW w:w="2126" w:type="dxa"/>
            <w:hideMark/>
          </w:tcPr>
          <w:p w14:paraId="39DE3E22"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功能定位</w:t>
            </w:r>
          </w:p>
        </w:tc>
        <w:tc>
          <w:tcPr>
            <w:tcW w:w="2302" w:type="dxa"/>
            <w:hideMark/>
          </w:tcPr>
          <w:p w14:paraId="1E026F94"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规模与状态</w:t>
            </w:r>
          </w:p>
        </w:tc>
        <w:tc>
          <w:tcPr>
            <w:tcW w:w="1670" w:type="dxa"/>
            <w:hideMark/>
          </w:tcPr>
          <w:p w14:paraId="5E7F3058"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SHA-256 前缀</w:t>
            </w:r>
          </w:p>
        </w:tc>
      </w:tr>
      <w:tr w:rsidR="00BF0BE1" w:rsidRPr="004643F8" w14:paraId="4CB07A45" w14:textId="77777777" w:rsidTr="00BF0BE1">
        <w:trPr>
          <w:trHeight w:val="720"/>
          <w:jc w:val="center"/>
        </w:trPr>
        <w:tc>
          <w:tcPr>
            <w:tcW w:w="1838" w:type="dxa"/>
            <w:hideMark/>
          </w:tcPr>
          <w:p w14:paraId="3B3AD53D"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严格 200 条喷嘴多轨迹</w:t>
            </w:r>
          </w:p>
        </w:tc>
        <w:tc>
          <w:tcPr>
            <w:tcW w:w="2126" w:type="dxa"/>
            <w:hideMark/>
          </w:tcPr>
          <w:p w14:paraId="5B136644"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源域预训练，承载退化知识基座</w:t>
            </w:r>
          </w:p>
        </w:tc>
        <w:tc>
          <w:tcPr>
            <w:tcW w:w="2302" w:type="dxa"/>
            <w:hideMark/>
          </w:tcPr>
          <w:p w14:paraId="12472821"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200 条完整轨迹，划分为 train/val/source-test</w:t>
            </w:r>
          </w:p>
        </w:tc>
        <w:tc>
          <w:tcPr>
            <w:tcW w:w="1670" w:type="dxa"/>
            <w:hideMark/>
          </w:tcPr>
          <w:p w14:paraId="4EDB4344"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541c2fc894f0...</w:t>
            </w:r>
          </w:p>
        </w:tc>
      </w:tr>
      <w:tr w:rsidR="00BF0BE1" w:rsidRPr="004643F8" w14:paraId="4F9495D0" w14:textId="77777777" w:rsidTr="00BF0BE1">
        <w:trPr>
          <w:trHeight w:val="540"/>
          <w:jc w:val="center"/>
        </w:trPr>
        <w:tc>
          <w:tcPr>
            <w:tcW w:w="1838" w:type="dxa"/>
            <w:hideMark/>
          </w:tcPr>
          <w:p w14:paraId="294F787E"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NASA Battery B0005 / B0006 / B0018</w:t>
            </w:r>
          </w:p>
        </w:tc>
        <w:tc>
          <w:tcPr>
            <w:tcW w:w="2126" w:type="dxa"/>
            <w:hideMark/>
          </w:tcPr>
          <w:p w14:paraId="68CE41ED"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目标域一（电池），完整事件观测 outer folds</w:t>
            </w:r>
          </w:p>
        </w:tc>
        <w:tc>
          <w:tcPr>
            <w:tcW w:w="2302" w:type="dxa"/>
            <w:hideMark/>
          </w:tcPr>
          <w:p w14:paraId="4BC41E3A"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3 条完整退化轨迹，各自作为独立 outer fold</w:t>
            </w:r>
          </w:p>
        </w:tc>
        <w:tc>
          <w:tcPr>
            <w:tcW w:w="1670" w:type="dxa"/>
            <w:hideMark/>
          </w:tcPr>
          <w:p w14:paraId="3DC87DF3"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0eae4585... / fa818ab4... / d1e6c923...</w:t>
            </w:r>
          </w:p>
        </w:tc>
      </w:tr>
      <w:tr w:rsidR="00BF0BE1" w:rsidRPr="004643F8" w14:paraId="0D4AF9E1" w14:textId="77777777" w:rsidTr="00BF0BE1">
        <w:trPr>
          <w:trHeight w:val="540"/>
          <w:jc w:val="center"/>
        </w:trPr>
        <w:tc>
          <w:tcPr>
            <w:tcW w:w="1838" w:type="dxa"/>
            <w:hideMark/>
          </w:tcPr>
          <w:p w14:paraId="124431CB"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NASA Battery B0007</w:t>
            </w:r>
          </w:p>
        </w:tc>
        <w:tc>
          <w:tcPr>
            <w:tcW w:w="2126" w:type="dxa"/>
            <w:hideMark/>
          </w:tcPr>
          <w:p w14:paraId="5D36FB6E"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目标域一（电池），右删失诊断样本</w:t>
            </w:r>
          </w:p>
        </w:tc>
        <w:tc>
          <w:tcPr>
            <w:tcW w:w="2302" w:type="dxa"/>
            <w:hideMark/>
          </w:tcPr>
          <w:p w14:paraId="21589E21"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168 个循环记录，不纳入精确 RMSE 统计</w:t>
            </w:r>
          </w:p>
        </w:tc>
        <w:tc>
          <w:tcPr>
            <w:tcW w:w="1670" w:type="dxa"/>
            <w:hideMark/>
          </w:tcPr>
          <w:p w14:paraId="5FB7126E"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d022afa086ef...</w:t>
            </w:r>
          </w:p>
        </w:tc>
      </w:tr>
      <w:tr w:rsidR="00BF0BE1" w:rsidRPr="004643F8" w14:paraId="3D60A53B" w14:textId="77777777" w:rsidTr="00BF0BE1">
        <w:trPr>
          <w:trHeight w:val="540"/>
          <w:jc w:val="center"/>
        </w:trPr>
        <w:tc>
          <w:tcPr>
            <w:tcW w:w="1838" w:type="dxa"/>
            <w:hideMark/>
          </w:tcPr>
          <w:p w14:paraId="1060E024"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FEMTO bearing</w:t>
            </w:r>
          </w:p>
        </w:tc>
        <w:tc>
          <w:tcPr>
            <w:tcW w:w="2126" w:type="dxa"/>
            <w:hideMark/>
          </w:tcPr>
          <w:p w14:paraId="6F838FC7"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目标域二补充验证线（轴承），公开机械退化数据</w:t>
            </w:r>
          </w:p>
        </w:tc>
        <w:tc>
          <w:tcPr>
            <w:tcW w:w="2302" w:type="dxa"/>
            <w:hideMark/>
          </w:tcPr>
          <w:p w14:paraId="252FC92B"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6 个轴承全寿命样本，6-fold outer-LOO</w:t>
            </w:r>
          </w:p>
        </w:tc>
        <w:tc>
          <w:tcPr>
            <w:tcW w:w="1670" w:type="dxa"/>
            <w:hideMark/>
          </w:tcPr>
          <w:p w14:paraId="35454479"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e21bb22bd8d5...</w:t>
            </w:r>
          </w:p>
        </w:tc>
      </w:tr>
      <w:tr w:rsidR="00BF0BE1" w:rsidRPr="004643F8" w14:paraId="194DAB0F" w14:textId="77777777" w:rsidTr="00BF0BE1">
        <w:trPr>
          <w:trHeight w:val="540"/>
          <w:jc w:val="center"/>
        </w:trPr>
        <w:tc>
          <w:tcPr>
            <w:tcW w:w="1838" w:type="dxa"/>
            <w:hideMark/>
          </w:tcPr>
          <w:p w14:paraId="3FAFA904"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COMSOL reaction-wheel degradation</w:t>
            </w:r>
          </w:p>
        </w:tc>
        <w:tc>
          <w:tcPr>
            <w:tcW w:w="2126" w:type="dxa"/>
            <w:hideMark/>
          </w:tcPr>
          <w:p>
            <w:r>
              <w:t>目标域二（反作用轮），自建参数化退化仿真数据</w:t>
            </w:r>
          </w:p>
        </w:tc>
        <w:tc>
          <w:tcPr>
            <w:tcW w:w="2302" w:type="dxa"/>
            <w:hideMark/>
          </w:tcPr>
          <w:p w14:paraId="3683DDFF"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5 条完整仿真轨迹，5-fold outer-LOO</w:t>
            </w:r>
          </w:p>
        </w:tc>
        <w:tc>
          <w:tcPr>
            <w:tcW w:w="1670" w:type="dxa"/>
            <w:hideMark/>
          </w:tcPr>
          <w:p w14:paraId="7BE84937"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b628deb89634...</w:t>
            </w:r>
          </w:p>
        </w:tc>
      </w:tr>
      <w:tr w:rsidR="00BF0BE1" w:rsidRPr="004643F8" w14:paraId="74A5BAF4" w14:textId="77777777" w:rsidTr="00BF0BE1">
        <w:trPr>
          <w:trHeight w:val="540"/>
          <w:jc w:val="center"/>
        </w:trPr>
        <w:tc>
          <w:tcPr>
            <w:tcW w:w="1838" w:type="dxa"/>
            <w:hideMark/>
          </w:tcPr>
          <w:p w14:paraId="53A81D77"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IMS processed source artifact</w:t>
            </w:r>
          </w:p>
        </w:tc>
        <w:tc>
          <w:tcPr>
            <w:tcW w:w="2126" w:type="dxa"/>
            <w:hideMark/>
          </w:tcPr>
          <w:p w14:paraId="737F2EDA"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Docker 复现流程中的补充公开源臂数据</w:t>
            </w:r>
          </w:p>
        </w:tc>
        <w:tc>
          <w:tcPr>
            <w:tcW w:w="2302" w:type="dxa"/>
            <w:hideMark/>
          </w:tcPr>
          <w:p w14:paraId="71354C1E"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与 FEMTO 支路分开记录，供交叉验证使用</w:t>
            </w:r>
          </w:p>
        </w:tc>
        <w:tc>
          <w:tcPr>
            <w:tcW w:w="1670" w:type="dxa"/>
            <w:hideMark/>
          </w:tcPr>
          <w:p w14:paraId="24B5FC88"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887eea9cdb54...</w:t>
            </w:r>
          </w:p>
        </w:tc>
      </w:tr>
    </w:tbl>
    <w:p w14:paraId="11427A6C" w14:textId="7777777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t>以下逐类说明各数据材料的具体来源、构造方式及其在整个迁移框架中的角色定位。</w:t>
      </w:r>
    </w:p>
    <w:p w14:paraId="3E5F3217" w14:textId="7777777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t>源域预训练数据：严格200条喷嘴多轨迹。 该数据集承载源域退化知识预训练的核心功能。200条轨迹均为从全新状态至寿命终结的完整退化过程记录，烧蚀深度随累积工作时间单调递增。数据按 trajectory 级别随机划分为训练集、验证集与源域测试集三个子集——训练集轨迹用于编码器参数更新，验证集轨迹用于超参数选择与趋势先验筛选，源域测试集仅在源域模型审计阶段使用，全程不参与目标域适配流程。每一条轨迹均记录其唯一数据来源标识，确保同一条轨迹的所有观测记录（从起始至终止）归属于同一子集，从根本上杜绝时间序列切分中常见的跨 splits 信息泄露风险。</w:t>
      </w:r>
    </w:p>
    <w:p w14:paraId="65116050" w14:textId="3B299F9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t>目标域一：NASA电池数据。 该数据集源自NASA艾姆斯研究中心锂离子电池循环老化试验，包含四组电池样本在恒定充放电工况下的全寿命遥测记录。其中 B0005、B0006、B0018 三组电池完整经历了从容量充沛至触碰70%失效阈值的全过程，作为 event-observed outer folds 纳入标准 RMSE 宏平均计算。B0007 电池在试验终止时尚未达到失效阈值，属于右删失（right-censored）样本，其真实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未知，故不参与精确数值评估，仅用作定性趋势验证与模型在删失数据下行为分析。该删失样本的纳入亦反映了航天在轨场景的典型信息不完备现实——并非所有在役组件均能观测到完整退化过程。</w:t>
      </w:r>
    </w:p>
    <w:p w14:paraId="66A8D399" w14:textId="7777777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t>目标域二补充验证线：FEMTO轴承数据。 该数据集为法国 FEMTO-ST 研究所公开的轴承加速寿命试验数据，记录了六个轴承样本在恒定转速与径向载荷下从正常运转至完全失效的完整振动信号历程。其退化机理（滚动接触疲劳引发的振动能量持续抬升）与反作用轮轴承磨损具有物理同源性，作为第二条独立的机械退化验证线，用以补充验证源域编码器在机械故障场景下的跨数据集迁移效果。六个轴承样本按 outer-LOO 协议进行六折评估，每一折使用五个样本进行微调训练、一个样本作为测试折。</w:t>
      </w:r>
    </w:p>
    <w:p w14:paraId="75CA7C0E" w14:textId="7777777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lastRenderedPageBreak/>
        <w:t>目标域二主线：COMSOL反作用轮自建退化模拟数据。 该项目自主构建的反作用轮长期机械退化模拟数据，基于润滑状态恶化的物理模型驱动多通道遥测信号产生符合工程认知的渐进变化。共生成五条独立轨迹，每条轨迹模拟不同初始参数与退化速率下的反作用轮全生命周期服役历程，覆盖转速、电流、温度等多通道信号的健康基线期、退化上升期与失效终止期三个典型阶段。五条轨迹按 5-fold outer-LOO 协议切分，每次预留一条轨迹作为测试折，其余四条用于微调训练。需要特别指出的是，该数据集旨在为迁移学习算法提供退化趋势结构清晰的目标域素材，其验证结果证明的是跨数据集知识迁移的方法可行性，不等同于真实在轨遥测条件下的星上放行结论。</w:t>
      </w:r>
    </w:p>
    <w:p w14:paraId="74061F5E" w14:textId="7777777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t>补充源臂数据：IMS processed source artifact。 该数据来自美国辛辛那提大学IMS中心公开的轴承全寿命试验，经统一预处理后作为补充源臂数据固化于 Docker 复现流程中。该支路与 FEMTO 支路分开记录和管理，主要用于在相同迁移框架下验证源域选择对迁移效果的稳定性，不作为主实验结论的依赖依据。</w:t>
      </w:r>
    </w:p>
    <w:p w14:paraId="16E1E5E7" w14:textId="634C0881" w:rsidR="00D44646" w:rsidRPr="004643F8" w:rsidRDefault="00D44646" w:rsidP="009C429B">
      <w:pPr>
        <w:ind w:firstLine="420"/>
        <w:rPr>
          <w:rFonts w:asciiTheme="majorEastAsia" w:eastAsiaTheme="majorEastAsia" w:hAnsiTheme="majorEastAsia" w:hint="eastAsia"/>
        </w:rPr>
      </w:pPr>
      <w:r w:rsidRPr="004643F8">
        <w:rPr>
          <w:rFonts w:asciiTheme="majorEastAsia" w:eastAsiaTheme="majorEastAsia" w:hAnsiTheme="majorEastAsia"/>
        </w:rPr>
        <w:t>可追溯性管理。 上述全部数据材料均经过完整的版本控制与哈希校验。完整数据路径、原始来源链接、全量 SHA-256 校验码及详细复现说明，统一记录于仓库根目录的 DATA_SOURCES.md、outputs/cross_component_transfer_v3/DATA_MANIFEST.json 以及 v5 运行目录中的 DATA_MANIFEST.json。任何数据文件的增删或修改均会导致 SHA-256 变更，从而被版本管理系统捕获，确保评审方可独立验证数据状态的完整性与一致性。</w:t>
      </w:r>
    </w:p>
    <w:p w14:paraId="211633C1" w14:textId="77777777" w:rsidR="00DD6137" w:rsidRPr="004643F8" w:rsidRDefault="00DD6137" w:rsidP="00DD6137">
      <w:pPr>
        <w:pStyle w:val="2"/>
        <w:rPr>
          <w:rFonts w:asciiTheme="majorEastAsia" w:eastAsiaTheme="majorEastAsia" w:hAnsiTheme="majorEastAsia"/>
        </w:rPr>
      </w:pPr>
      <w:r w:rsidRPr="004643F8">
        <w:rPr>
          <w:rFonts w:asciiTheme="majorEastAsia" w:eastAsiaTheme="majorEastAsia" w:hAnsiTheme="majorEastAsia"/>
          <w:b/>
          <w:bCs/>
        </w:rPr>
        <w:t>3.2 仿真数据生成与退化演化</w:t>
      </w:r>
    </w:p>
    <w:p w14:paraId="6BCC45C2" w14:textId="095847E4"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反作用轮作为航天器姿态控制系统的核心执行部件，其在轨服役过程中难以获取覆盖全生命周期的退化遥测数据——既无法在地面完整复现空间环境的综合效应，也难以在真实任务中等待组件自然失效。为突破这一数据瓶颈，项目采用多物理场仿真手段，以“退化工况设定 → 退化状态演化 → 可观测响应输出 → 终止条件判定”为主线，构建了反作用轮长期机械退化的全过程仿真链路，为目标域适配提供结构清晰、趋势可控的时序数据基础。本节详细阐述仿真数据的生成逻辑与退化演化过程。</w:t>
      </w:r>
    </w:p>
    <w:p w14:paraId="169D0ABB" w14:textId="7777777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退化工况设定。 仿真的起点是定义反作用轮在轨运行的代表性工况。参考航天器姿态控制任务中反作用轮的典型载荷谱，设定包括稳态转速、周期性调速指令、环境温度边界以及母线电压波动范围在内的运行条件。这些工况参数作为仿真链路的固定输入，确保所有生成轨迹共享一致的宏观工作环境，从而消除因工况差异引入的额外变量，使退化趋势成为数据中主导的变异来源。</w:t>
      </w:r>
    </w:p>
    <w:p w14:paraId="21B1671A" w14:textId="17772AF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退化状态演化机制。 在固定工况之上，项目构建了参数化的退化进程驱动模型，用以模拟轴承润滑状态随累积运行时间的持续劣化。其核心设计思路为：引入一个不可逆的隐式退化状态变量 </w:t>
      </w:r>
      <m:oMath>
        <m:r>
          <w:rPr>
            <w:rFonts w:ascii="Cambria Math" w:eastAsiaTheme="majorEastAsia" w:hAnsi="Cambria Math"/>
          </w:rPr>
          <m:t>δ</m:t>
        </m:r>
        <m:d>
          <m:dPr>
            <m:ctrlPr>
              <w:rPr>
                <w:rFonts w:ascii="Cambria Math" w:eastAsiaTheme="majorEastAsia" w:hAnsi="Cambria Math"/>
              </w:rPr>
            </m:ctrlPr>
          </m:dPr>
          <m:e>
            <m:r>
              <w:rPr>
                <w:rFonts w:ascii="Cambria Math" w:eastAsiaTheme="majorEastAsia" w:hAnsi="Cambria Math"/>
              </w:rPr>
              <m:t>t</m:t>
            </m:r>
          </m:e>
        </m:d>
      </m:oMath>
      <w:r w:rsidRPr="004643F8">
        <w:rPr>
          <w:rFonts w:asciiTheme="majorEastAsia" w:eastAsiaTheme="majorEastAsia" w:hAnsiTheme="majorEastAsia"/>
        </w:rPr>
        <w:t>，该变量随仿真步数单调递增，其增长速率可配置以模拟不同样本间的退化速率差异。</w:t>
      </w:r>
      <m:oMath>
        <m:r>
          <w:rPr>
            <w:rFonts w:ascii="Cambria Math" w:eastAsiaTheme="majorEastAsia" w:hAnsi="Cambria Math"/>
          </w:rPr>
          <m:t>δ</m:t>
        </m:r>
        <m:d>
          <m:dPr>
            <m:ctrlPr>
              <w:rPr>
                <w:rFonts w:ascii="Cambria Math" w:eastAsiaTheme="majorEastAsia" w:hAnsi="Cambria Math"/>
              </w:rPr>
            </m:ctrlPr>
          </m:dPr>
          <m:e>
            <m:r>
              <w:rPr>
                <w:rFonts w:ascii="Cambria Math" w:eastAsiaTheme="majorEastAsia" w:hAnsi="Cambria Math"/>
              </w:rPr>
              <m:t>t</m:t>
            </m:r>
          </m:e>
        </m:d>
      </m:oMath>
      <w:r w:rsidRPr="004643F8">
        <w:rPr>
          <w:rFonts w:asciiTheme="majorEastAsia" w:eastAsiaTheme="majorEastAsia" w:hAnsiTheme="majorEastAsia"/>
        </w:rPr>
        <w:t> 并不直接作为输出特征存在，而是作为内部驱动信号，作用于多个物理场模块的边界条件与材料参数——例如，随着 </w:t>
      </w:r>
      <m:oMath>
        <m:r>
          <w:rPr>
            <w:rFonts w:ascii="Cambria Math" w:eastAsiaTheme="majorEastAsia" w:hAnsi="Cambria Math"/>
          </w:rPr>
          <m:t>δ</m:t>
        </m:r>
        <m:d>
          <m:dPr>
            <m:ctrlPr>
              <w:rPr>
                <w:rFonts w:ascii="Cambria Math" w:eastAsiaTheme="majorEastAsia" w:hAnsi="Cambria Math"/>
              </w:rPr>
            </m:ctrlPr>
          </m:dPr>
          <m:e>
            <m:r>
              <w:rPr>
                <w:rFonts w:ascii="Cambria Math" w:eastAsiaTheme="majorEastAsia" w:hAnsi="Cambria Math"/>
              </w:rPr>
              <m:t>t</m:t>
            </m:r>
          </m:e>
        </m:d>
      </m:oMath>
      <w:r w:rsidRPr="004643F8">
        <w:rPr>
          <w:rFonts w:asciiTheme="majorEastAsia" w:eastAsiaTheme="majorEastAsia" w:hAnsiTheme="majorEastAsia"/>
        </w:rPr>
        <w:t> 增大，轴承接触面的摩擦系数逐步上调、润滑膜承载能力递减、热生成率增加。这种设计使得摩擦、振动与热场的演化并非独立随机波动，而是统一受同一退化进程支配，因而具有内在的物理一致性与时序相关性。</w:t>
      </w:r>
    </w:p>
    <w:p w14:paraId="2DCD08A5" w14:textId="7777777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可观测响应输出。 在上述退化状态变量的驱动下，多物理场耦合模型在每一仿真步输出可被星上传感器实际测量的工程遥测参量，包括但不限于：轴系摩擦力矩（直接反映摩擦状态恶化）、电机驱动电流（摩擦力矩上升导致电流补偿性增加）、轴系转速波动（润滑状态劣化引发速度控制误差增大）、轴承区域温升（摩擦热生成加剧）以及振动加速度幅值（接触面微动磨损激发的振动能量抬升）。这些多通道遥测信号共同构成退化过程的观测表征，直接输入寿命预测模型作为时序特征。全部输出信号在生成后经统一的健康方向检查（参照2.1节定义的 health 构造原则），确认各通道的退化趋势与整体健康状态单调对齐。</w:t>
      </w:r>
    </w:p>
    <w:p w14:paraId="2DD15E43" w14:textId="183EC152"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终止条件与 RUL 标签定义。 每条仿真轨迹的寿命终点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由预设的失效阈值驱动判</w:t>
      </w:r>
      <w:r w:rsidRPr="004643F8">
        <w:rPr>
          <w:rFonts w:asciiTheme="majorEastAsia" w:eastAsiaTheme="majorEastAsia" w:hAnsiTheme="majorEastAsia"/>
        </w:rPr>
        <w:lastRenderedPageBreak/>
        <w:t>定——当摩擦力矩或振动 RMS 等关键健康指示量首次超越工程经验阈值时，当前步被标记为寿命终点，仿真终止。随后以轨迹末端为参考零点，将每一观测时刻到末端的剩余步数定义为该时刻的真实 RUL 标签 </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。该标签体系使模型面对的是从健康退化至失效的全过程连续预测任务，而非仅在故障点附近进行单点分类，与赛事要求的“长期渐进退化”场景定位高度一致。</w:t>
      </w:r>
    </w:p>
    <w:p w14:paraId="5419EC48" w14:textId="7777777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数据版本化与可复现性保障。 全部仿真输出在生成后立即进行版本化存档，原始未处理数据、后处理特征提取脚本以及最终用于模型训练的特征矩阵均各自计算 SHA-256 哈希值并记录于数据清单中。仿真参数配置文件（包括退化速率、工况参数、失效阈值等）一并固化于版本控制系统，确保评审方可独立复现从原始仿真输出到模型输入特征的完整处理链路。任何一个环节的变更都将引起哈希值变动，从而被版本管理捕获。</w:t>
      </w:r>
    </w:p>
    <w:p w14:paraId="018A6BFD" w14:textId="7777777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工程边界声明。 需要明确的是，本仿真数据旨在为跨域迁移学习算法提供退化趋势结构清晰、标签完整可用的目标域素材，其验证结果反映的是“自建高保真退化模拟 + 公开退化数据源”联合框架下的迁移方法可行性。该结果不等同于真实在轨遥测条件下的星上放行结论，亦不替代实际航天型号任务中基于实物验证的可靠性评估流程。项目严格区分“算法方法验证”与“工程型号放行”两个层次，本报告的全部结论均定位于前者。</w:t>
      </w:r>
    </w:p>
    <w:p w14:paraId="365D769E" w14:textId="7777777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综上，仿真数据生成与退化演化的关键要素汇总如下：</w:t>
      </w:r>
    </w:p>
    <w:p w14:paraId="0BBAD3EE" w14:textId="22C5BBD6" w:rsidR="00C14037" w:rsidRPr="004643F8" w:rsidRDefault="00C14037" w:rsidP="00DD6137">
      <w:pPr>
        <w:rPr>
          <w:rFonts w:asciiTheme="majorEastAsia" w:eastAsiaTheme="majorEastAsia" w:hAnsiTheme="majorEastAsia" w:hint="eastAsia"/>
        </w:rPr>
      </w:pPr>
      <w:r w:rsidRPr="004643F8">
        <w:rPr>
          <w:rFonts w:asciiTheme="majorEastAsia" w:eastAsiaTheme="majorEastAsia" w:hAnsiTheme="majorEastAsia"/>
        </w:rPr>
        <w:t>表</w:t>
      </w:r>
      <w:r w:rsidR="009E0C6D" w:rsidRPr="004643F8">
        <w:rPr>
          <w:rFonts w:asciiTheme="majorEastAsia" w:eastAsiaTheme="majorEastAsia" w:hAnsiTheme="majorEastAsia" w:hint="eastAsia"/>
        </w:rPr>
        <w:t>7</w:t>
      </w:r>
      <w:r w:rsidRPr="004643F8">
        <w:rPr>
          <w:rFonts w:asciiTheme="majorEastAsia" w:eastAsiaTheme="majorEastAsia" w:hAnsiTheme="majorEastAsia" w:hint="eastAsia"/>
        </w:rPr>
        <w:t xml:space="preserve"> </w:t>
      </w:r>
      <w:r w:rsidRPr="004643F8">
        <w:rPr>
          <w:rFonts w:asciiTheme="majorEastAsia" w:eastAsiaTheme="majorEastAsia" w:hAnsiTheme="majorEastAsia"/>
        </w:rPr>
        <w:t>仿真数据生成与退化演化关键要素汇总表</w:t>
      </w:r>
    </w:p>
    <w:tbl>
      <w:tblPr>
        <w:tblStyle w:val="af2"/>
        <w:tblW w:w="8222" w:type="dxa"/>
        <w:jc w:val="center"/>
        <w:tblLook w:val="04A0" w:firstRow="1" w:lastRow="0" w:firstColumn="1" w:lastColumn="0" w:noHBand="0" w:noVBand="1"/>
      </w:tblPr>
      <w:tblGrid>
        <w:gridCol w:w="1559"/>
        <w:gridCol w:w="6663"/>
      </w:tblGrid>
      <w:tr w:rsidR="00D41CC1" w:rsidRPr="004643F8" w14:paraId="0E9EF05D" w14:textId="77777777" w:rsidTr="009F3423">
        <w:trPr>
          <w:trHeight w:val="272"/>
          <w:jc w:val="center"/>
        </w:trPr>
        <w:tc>
          <w:tcPr>
            <w:tcW w:w="1559" w:type="dxa"/>
            <w:vAlign w:val="center"/>
            <w:hideMark/>
          </w:tcPr>
          <w:p w14:paraId="3C59B5F8"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要素</w:t>
            </w:r>
          </w:p>
        </w:tc>
        <w:tc>
          <w:tcPr>
            <w:tcW w:w="6663" w:type="dxa"/>
            <w:vAlign w:val="center"/>
            <w:hideMark/>
          </w:tcPr>
          <w:p w14:paraId="58A6B5F2"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说明</w:t>
            </w:r>
          </w:p>
        </w:tc>
      </w:tr>
      <w:tr w:rsidR="00D41CC1" w:rsidRPr="004643F8" w14:paraId="696EFD05" w14:textId="77777777" w:rsidTr="009F3423">
        <w:trPr>
          <w:trHeight w:val="272"/>
          <w:jc w:val="center"/>
        </w:trPr>
        <w:tc>
          <w:tcPr>
            <w:tcW w:w="1559" w:type="dxa"/>
            <w:vAlign w:val="center"/>
            <w:hideMark/>
          </w:tcPr>
          <w:p w14:paraId="0277E566"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工况设定</w:t>
            </w:r>
          </w:p>
        </w:tc>
        <w:tc>
          <w:tcPr>
            <w:tcW w:w="6663" w:type="dxa"/>
            <w:vAlign w:val="center"/>
            <w:hideMark/>
          </w:tcPr>
          <w:p w14:paraId="4CA823B7"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参考航天器姿态控制典型载荷谱，固定转速、温度、电压等运行边界条件</w:t>
            </w:r>
          </w:p>
        </w:tc>
      </w:tr>
      <w:tr w:rsidR="00D41CC1" w:rsidRPr="004643F8" w14:paraId="6F15F9D2" w14:textId="77777777" w:rsidTr="009F3423">
        <w:trPr>
          <w:trHeight w:val="272"/>
          <w:jc w:val="center"/>
        </w:trPr>
        <w:tc>
          <w:tcPr>
            <w:tcW w:w="1559" w:type="dxa"/>
            <w:vAlign w:val="center"/>
            <w:hideMark/>
          </w:tcPr>
          <w:p w14:paraId="61ED9BFB"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退化驱动变量</w:t>
            </w:r>
          </w:p>
        </w:tc>
        <w:tc>
          <w:tcPr>
            <w:tcW w:w="6663" w:type="dxa"/>
            <w:vAlign w:val="center"/>
            <w:hideMark/>
          </w:tcPr>
          <w:p w14:paraId="7385CCFD" w14:textId="1F037E5B"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隐式状态 </w:t>
            </w:r>
            <m:oMath>
              <m:r>
                <w:rPr>
                  <w:rFonts w:ascii="Cambria Math" w:eastAsiaTheme="majorEastAsia" w:hAnsi="Cambria Math"/>
                </w:rPr>
                <m:t>δ(t)</m:t>
              </m:r>
            </m:oMath>
            <w:r w:rsidRPr="004643F8">
              <w:rPr>
                <w:rFonts w:asciiTheme="majorEastAsia" w:eastAsiaTheme="majorEastAsia" w:hAnsiTheme="majorEastAsia"/>
              </w:rPr>
              <w:t>，单调递增，控制各物理场参数的渐进调整</w:t>
            </w:r>
          </w:p>
        </w:tc>
      </w:tr>
      <w:tr w:rsidR="00D41CC1" w:rsidRPr="004643F8" w14:paraId="6DAEEAAC" w14:textId="77777777" w:rsidTr="009F3423">
        <w:trPr>
          <w:trHeight w:val="272"/>
          <w:jc w:val="center"/>
        </w:trPr>
        <w:tc>
          <w:tcPr>
            <w:tcW w:w="1559" w:type="dxa"/>
            <w:vAlign w:val="center"/>
            <w:hideMark/>
          </w:tcPr>
          <w:p w14:paraId="391DED7E"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多通道遥测输出</w:t>
            </w:r>
          </w:p>
        </w:tc>
        <w:tc>
          <w:tcPr>
            <w:tcW w:w="6663" w:type="dxa"/>
            <w:vAlign w:val="center"/>
            <w:hideMark/>
          </w:tcPr>
          <w:p w14:paraId="4C2CCC85"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摩擦力矩、驱动电流、转速波动、温升、振动幅值等可观测响应</w:t>
            </w:r>
          </w:p>
        </w:tc>
      </w:tr>
      <w:tr w:rsidR="00D41CC1" w:rsidRPr="004643F8" w14:paraId="28C111E5" w14:textId="77777777" w:rsidTr="009F3423">
        <w:trPr>
          <w:trHeight w:val="272"/>
          <w:jc w:val="center"/>
        </w:trPr>
        <w:tc>
          <w:tcPr>
            <w:tcW w:w="1559" w:type="dxa"/>
            <w:vAlign w:val="center"/>
            <w:hideMark/>
          </w:tcPr>
          <w:p w14:paraId="6A6DB8F3"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失效阈值</w:t>
            </w:r>
          </w:p>
        </w:tc>
        <w:tc>
          <w:tcPr>
            <w:tcW w:w="6663" w:type="dxa"/>
            <w:vAlign w:val="center"/>
            <w:hideMark/>
          </w:tcPr>
          <w:p w14:paraId="0E5D34D9"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关键健康指示量触及工程经验阈值时判定寿命终结</w:t>
            </w:r>
          </w:p>
        </w:tc>
      </w:tr>
      <w:tr w:rsidR="00D41CC1" w:rsidRPr="004643F8" w14:paraId="3EBDF4F5" w14:textId="77777777" w:rsidTr="009F3423">
        <w:trPr>
          <w:trHeight w:val="272"/>
          <w:jc w:val="center"/>
        </w:trPr>
        <w:tc>
          <w:tcPr>
            <w:tcW w:w="1559" w:type="dxa"/>
            <w:vAlign w:val="center"/>
            <w:hideMark/>
          </w:tcPr>
          <w:p w14:paraId="11D8465A"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RUL 标签</w:t>
            </w:r>
          </w:p>
        </w:tc>
        <w:tc>
          <w:tcPr>
            <w:tcW w:w="6663" w:type="dxa"/>
            <w:vAlign w:val="center"/>
            <w:hideMark/>
          </w:tcPr>
          <w:p w14:paraId="310F9B1A" w14:textId="134FC795" w:rsidR="00D41CC1" w:rsidRPr="004643F8" w:rsidRDefault="00DA4E8A" w:rsidP="00C219E8">
            <w:pPr>
              <w:jc w:val="center"/>
              <w:rPr>
                <w:rFonts w:asciiTheme="majorEastAsia" w:eastAsiaTheme="majorEastAsia" w:hAnsiTheme="majorEastAsia"/>
              </w:rPr>
            </w:pPr>
            <m:oMath>
              <m:sSub>
                <m:sSubPr>
                  <m:ctrlPr>
                    <w:rPr>
                      <w:rFonts w:ascii="Cambria Math" w:eastAsiaTheme="majorEastAsia" w:hAnsi="Cambria Math"/>
                      <w:i/>
                    </w:rPr>
                  </m:ctrlPr>
                </m:sSubPr>
                <m:e>
                  <m:r>
                    <w:rPr>
                      <w:rFonts w:ascii="Cambria Math" w:eastAsiaTheme="majorEastAsia" w:hAnsi="Cambria Math"/>
                    </w:rPr>
                    <m:t>r</m:t>
                  </m:r>
                </m:e>
                <m:sub>
                  <m:r>
                    <w:rPr>
                      <w:rFonts w:ascii="Cambria Math" w:eastAsiaTheme="majorEastAsia" w:hAnsi="Cambria Math" w:hint="eastAsia"/>
                    </w:rPr>
                    <m:t>t</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w:t>
            </w:r>
            <w:r w:rsidR="00D41CC1" w:rsidRPr="004643F8">
              <w:rPr>
                <w:rFonts w:asciiTheme="majorEastAsia" w:eastAsiaTheme="majorEastAsia" w:hAnsiTheme="majorEastAsia"/>
              </w:rPr>
              <w:t>以剩余观测步数为单位，覆盖全生命周期</w:t>
            </w:r>
          </w:p>
        </w:tc>
      </w:tr>
      <w:tr w:rsidR="00D41CC1" w:rsidRPr="004643F8" w14:paraId="6275A67D" w14:textId="77777777" w:rsidTr="009F3423">
        <w:trPr>
          <w:trHeight w:val="272"/>
          <w:jc w:val="center"/>
        </w:trPr>
        <w:tc>
          <w:tcPr>
            <w:tcW w:w="1559" w:type="dxa"/>
            <w:vAlign w:val="center"/>
            <w:hideMark/>
          </w:tcPr>
          <w:p w14:paraId="186B43E8"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版本化措施</w:t>
            </w:r>
          </w:p>
        </w:tc>
        <w:tc>
          <w:tcPr>
            <w:tcW w:w="6663" w:type="dxa"/>
            <w:vAlign w:val="center"/>
            <w:hideMark/>
          </w:tcPr>
          <w:p w14:paraId="6618DA25"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原始输出、特征矩阵、仿真配置分别计算 SHA-256，存档于数据清单</w:t>
            </w:r>
          </w:p>
        </w:tc>
      </w:tr>
      <w:tr w:rsidR="00D41CC1" w:rsidRPr="004643F8" w14:paraId="4E85092B" w14:textId="77777777" w:rsidTr="009F3423">
        <w:trPr>
          <w:trHeight w:val="272"/>
          <w:jc w:val="center"/>
        </w:trPr>
        <w:tc>
          <w:tcPr>
            <w:tcW w:w="1559" w:type="dxa"/>
            <w:vAlign w:val="center"/>
            <w:hideMark/>
          </w:tcPr>
          <w:p w14:paraId="5680FC93"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工程边界</w:t>
            </w:r>
          </w:p>
        </w:tc>
        <w:tc>
          <w:tcPr>
            <w:tcW w:w="6663" w:type="dxa"/>
            <w:vAlign w:val="center"/>
            <w:hideMark/>
          </w:tcPr>
          <w:p w14:paraId="2D667436"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本结果为算法迁移能力的方法验证，不等同于真实在轨遥测放行结论</w:t>
            </w:r>
          </w:p>
        </w:tc>
      </w:tr>
    </w:tbl>
    <w:p w14:paraId="3D8F90BC" w14:textId="77777777" w:rsidR="008E2FB9" w:rsidRPr="004643F8" w:rsidRDefault="008E2FB9" w:rsidP="008E2FB9">
      <w:pPr>
        <w:rPr>
          <w:rFonts w:asciiTheme="majorEastAsia" w:eastAsiaTheme="majorEastAsia" w:hAnsiTheme="majorEastAsia"/>
        </w:rPr>
      </w:pPr>
      <w:r w:rsidRPr="004643F8">
        <w:rPr>
          <w:rFonts w:asciiTheme="majorEastAsia" w:eastAsiaTheme="majorEastAsia" w:hAnsiTheme="majorEastAsia"/>
        </w:rPr>
        <w:t>在跨域迁移学习框架中，数据泄漏是威胁实验结果可信度的首要风险因素。所谓数据泄漏，指的是在模型训练、超参数选择或预处理参数估计过程中，直接或间接使用了本应仅在最终评估阶段可见的信息——例如测试集的标签分布、目标域全寿命周期的极值范围、或者同一轨迹在不同数据折之间的交叉渗透。一旦发生泄漏，模型的泛化性能将被系统性高估，其所报告的精度增益无法在真实部署场景中复现，整个实验结论的科学价值也随之瓦解。</w:t>
      </w:r>
    </w:p>
    <w:p w14:paraId="47B049C6" w14:textId="77777777" w:rsidR="008E2FB9" w:rsidRPr="004643F8" w:rsidRDefault="008E2FB9" w:rsidP="008E2FB9">
      <w:pPr>
        <w:rPr>
          <w:rFonts w:asciiTheme="majorEastAsia" w:eastAsiaTheme="majorEastAsia" w:hAnsiTheme="majorEastAsia"/>
        </w:rPr>
      </w:pPr>
      <w:r w:rsidRPr="004643F8">
        <w:rPr>
          <w:rFonts w:asciiTheme="majorEastAsia" w:eastAsiaTheme="majorEastAsia" w:hAnsiTheme="majorEastAsia"/>
        </w:rPr>
        <w:t>本项目针对迁移学习流程中的每一个数据接触环节，建立了系统性的可见性控制规则。其核心原则可概括为：</w:t>
      </w:r>
      <w:r w:rsidRPr="004643F8">
        <w:rPr>
          <w:rFonts w:asciiTheme="majorEastAsia" w:eastAsiaTheme="majorEastAsia" w:hAnsiTheme="majorEastAsia"/>
          <w:b/>
          <w:bCs/>
        </w:rPr>
        <w:t>所有数据变换参数的估计、模型权重的更新、超参数的选取以及早停判据的生成，均仅允许使用当前训练折（fit groups）内的数据；测试折（holdout）在最终评估之前，不得以任何形式参与上述任一环节。</w:t>
      </w:r>
      <w:r w:rsidRPr="004643F8">
        <w:rPr>
          <w:rFonts w:asciiTheme="majorEastAsia" w:eastAsiaTheme="majorEastAsia" w:hAnsiTheme="majorEastAsia"/>
        </w:rPr>
        <w:t> 下表逐项列出各关键对象的可见性边界与审计结论：</w:t>
      </w:r>
    </w:p>
    <w:tbl>
      <w:tblPr>
        <w:tblStyle w:val="af2"/>
        <w:tblW w:w="0" w:type="auto"/>
        <w:jc w:val="center"/>
        <w:tblLayout w:type="fixed"/>
        <w:tblLook w:val="04A0" w:firstRow="1" w:lastRow="0" w:firstColumn="1" w:lastColumn="0" w:noHBand="0" w:noVBand="1"/>
      </w:tblPr>
      <w:tblGrid>
        <w:gridCol w:w="1555"/>
        <w:gridCol w:w="1842"/>
        <w:gridCol w:w="2841"/>
        <w:gridCol w:w="1837"/>
      </w:tblGrid>
      <w:tr w:rsidR="008E2FB9" w:rsidRPr="004643F8" w14:paraId="71F9F5BE" w14:textId="77777777" w:rsidTr="00497F67">
        <w:trPr>
          <w:trHeight w:val="272"/>
          <w:jc w:val="center"/>
        </w:trPr>
        <w:tc>
          <w:tcPr>
            <w:tcW w:w="1555" w:type="dxa"/>
            <w:vAlign w:val="center"/>
            <w:hideMark/>
          </w:tcPr>
          <w:p w14:paraId="0EEF8903"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对象</w:t>
            </w:r>
          </w:p>
        </w:tc>
        <w:tc>
          <w:tcPr>
            <w:tcW w:w="1842" w:type="dxa"/>
            <w:vAlign w:val="center"/>
            <w:hideMark/>
          </w:tcPr>
          <w:p w14:paraId="1667EEA4"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允许使用的数据</w:t>
            </w:r>
          </w:p>
        </w:tc>
        <w:tc>
          <w:tcPr>
            <w:tcW w:w="2841" w:type="dxa"/>
            <w:vAlign w:val="center"/>
            <w:hideMark/>
          </w:tcPr>
          <w:p w14:paraId="2C3AC60C"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禁止使用的数据</w:t>
            </w:r>
          </w:p>
        </w:tc>
        <w:tc>
          <w:tcPr>
            <w:tcW w:w="1837" w:type="dxa"/>
            <w:vAlign w:val="center"/>
            <w:hideMark/>
          </w:tcPr>
          <w:p w14:paraId="65CC843D"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审计结论</w:t>
            </w:r>
          </w:p>
        </w:tc>
      </w:tr>
      <w:tr w:rsidR="008E2FB9" w:rsidRPr="004643F8" w14:paraId="0F77D025" w14:textId="77777777" w:rsidTr="00497F67">
        <w:trPr>
          <w:trHeight w:val="272"/>
          <w:jc w:val="center"/>
        </w:trPr>
        <w:tc>
          <w:tcPr>
            <w:tcW w:w="1555" w:type="dxa"/>
            <w:vAlign w:val="center"/>
            <w:hideMark/>
          </w:tcPr>
          <w:p w14:paraId="1D557535"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源域预训练</w:t>
            </w:r>
          </w:p>
        </w:tc>
        <w:tc>
          <w:tcPr>
            <w:tcW w:w="1842" w:type="dxa"/>
            <w:vAlign w:val="center"/>
            <w:hideMark/>
          </w:tcPr>
          <w:p w14:paraId="727E3D67"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source train trajectories</w:t>
            </w:r>
          </w:p>
        </w:tc>
        <w:tc>
          <w:tcPr>
            <w:tcW w:w="2841" w:type="dxa"/>
            <w:vAlign w:val="center"/>
            <w:hideMark/>
          </w:tcPr>
          <w:p w14:paraId="70069FBC"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source validation/test 的标签或 loss 信息用于参数更新</w:t>
            </w:r>
          </w:p>
        </w:tc>
        <w:tc>
          <w:tcPr>
            <w:tcW w:w="1837" w:type="dxa"/>
            <w:vAlign w:val="center"/>
            <w:hideMark/>
          </w:tcPr>
          <w:p w14:paraId="492AF14C"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通过</w:t>
            </w:r>
          </w:p>
        </w:tc>
      </w:tr>
      <w:tr w:rsidR="008E2FB9" w:rsidRPr="004643F8" w14:paraId="76EA0A99" w14:textId="77777777" w:rsidTr="00497F67">
        <w:trPr>
          <w:trHeight w:val="272"/>
          <w:jc w:val="center"/>
        </w:trPr>
        <w:tc>
          <w:tcPr>
            <w:tcW w:w="1555" w:type="dxa"/>
            <w:vAlign w:val="center"/>
            <w:hideMark/>
          </w:tcPr>
          <w:p w14:paraId="0278E5A0"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目标 scaler</w:t>
            </w:r>
          </w:p>
        </w:tc>
        <w:tc>
          <w:tcPr>
            <w:tcW w:w="1842" w:type="dxa"/>
            <w:vAlign w:val="center"/>
            <w:hideMark/>
          </w:tcPr>
          <w:p w14:paraId="730DD7DB"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当前 outer fold 的 fit groups</w:t>
            </w:r>
          </w:p>
        </w:tc>
        <w:tc>
          <w:tcPr>
            <w:tcW w:w="2841" w:type="dxa"/>
            <w:vAlign w:val="center"/>
            <w:hideMark/>
          </w:tcPr>
          <w:p w14:paraId="751ED742"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holdout 轨迹的任何记录、全寿命 min/max</w:t>
            </w:r>
          </w:p>
        </w:tc>
        <w:tc>
          <w:tcPr>
            <w:tcW w:w="1837" w:type="dxa"/>
            <w:vAlign w:val="center"/>
            <w:hideMark/>
          </w:tcPr>
          <w:p w14:paraId="3B34E2B5"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通过</w:t>
            </w:r>
          </w:p>
        </w:tc>
      </w:tr>
      <w:tr w:rsidR="008E2FB9" w:rsidRPr="004643F8" w14:paraId="5A6CFC5B" w14:textId="77777777" w:rsidTr="00497F67">
        <w:trPr>
          <w:trHeight w:val="272"/>
          <w:jc w:val="center"/>
        </w:trPr>
        <w:tc>
          <w:tcPr>
            <w:tcW w:w="1555" w:type="dxa"/>
            <w:vAlign w:val="center"/>
            <w:hideMark/>
          </w:tcPr>
          <w:p w14:paraId="0BA58F6A"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 xml:space="preserve">target prior </w:t>
            </w:r>
            <w:r w:rsidRPr="004643F8">
              <w:rPr>
                <w:rFonts w:asciiTheme="majorEastAsia" w:eastAsiaTheme="majorEastAsia" w:hAnsiTheme="majorEastAsia"/>
              </w:rPr>
              <w:lastRenderedPageBreak/>
              <w:t>/ 趋势先验</w:t>
            </w:r>
          </w:p>
        </w:tc>
        <w:tc>
          <w:tcPr>
            <w:tcW w:w="1842" w:type="dxa"/>
            <w:vAlign w:val="center"/>
            <w:hideMark/>
          </w:tcPr>
          <w:p w14:paraId="697B847C"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lastRenderedPageBreak/>
              <w:t>fit groups 的输</w:t>
            </w:r>
            <w:r w:rsidRPr="004643F8">
              <w:rPr>
                <w:rFonts w:asciiTheme="majorEastAsia" w:eastAsiaTheme="majorEastAsia" w:hAnsiTheme="majorEastAsia"/>
              </w:rPr>
              <w:lastRenderedPageBreak/>
              <w:t>入特征与 RUL 标签</w:t>
            </w:r>
          </w:p>
        </w:tc>
        <w:tc>
          <w:tcPr>
            <w:tcW w:w="2841" w:type="dxa"/>
            <w:vAlign w:val="center"/>
            <w:hideMark/>
          </w:tcPr>
          <w:p w14:paraId="429684FA"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lastRenderedPageBreak/>
              <w:t xml:space="preserve">holdout 标签、holdout </w:t>
            </w:r>
            <w:r w:rsidRPr="004643F8">
              <w:rPr>
                <w:rFonts w:asciiTheme="majorEastAsia" w:eastAsiaTheme="majorEastAsia" w:hAnsiTheme="majorEastAsia"/>
              </w:rPr>
              <w:lastRenderedPageBreak/>
              <w:t>的 TEOL</w:t>
            </w:r>
            <w:r w:rsidRPr="004643F8">
              <w:rPr>
                <w:rFonts w:asciiTheme="majorEastAsia" w:eastAsiaTheme="majorEastAsia" w:hAnsiTheme="majorEastAsia"/>
                <w:i/>
                <w:iCs/>
              </w:rPr>
              <w:t>TEOL</w:t>
            </w:r>
            <w:r w:rsidRPr="004643F8">
              <w:rPr>
                <w:rFonts w:ascii="Times New Roman" w:eastAsiaTheme="majorEastAsia" w:hAnsi="Times New Roman" w:cs="Times New Roman"/>
              </w:rPr>
              <w:t>​</w:t>
            </w:r>
            <w:r w:rsidRPr="004643F8">
              <w:rPr>
                <w:rFonts w:asciiTheme="majorEastAsia" w:eastAsiaTheme="majorEastAsia" w:hAnsiTheme="majorEastAsia"/>
              </w:rPr>
              <w:t>、未来时刻观测</w:t>
            </w:r>
          </w:p>
        </w:tc>
        <w:tc>
          <w:tcPr>
            <w:tcW w:w="1837" w:type="dxa"/>
            <w:vAlign w:val="center"/>
            <w:hideMark/>
          </w:tcPr>
          <w:p w14:paraId="2378554C"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lastRenderedPageBreak/>
              <w:t>通过</w:t>
            </w:r>
          </w:p>
        </w:tc>
      </w:tr>
      <w:tr w:rsidR="008E2FB9" w:rsidRPr="004643F8" w14:paraId="6E26AF09" w14:textId="77777777" w:rsidTr="00497F67">
        <w:trPr>
          <w:trHeight w:val="272"/>
          <w:jc w:val="center"/>
        </w:trPr>
        <w:tc>
          <w:tcPr>
            <w:tcW w:w="1555" w:type="dxa"/>
            <w:vAlign w:val="center"/>
            <w:hideMark/>
          </w:tcPr>
          <w:p w14:paraId="221A0E4B"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adapter</w:t>
            </w:r>
          </w:p>
        </w:tc>
        <w:tc>
          <w:tcPr>
            <w:tcW w:w="1842" w:type="dxa"/>
            <w:vAlign w:val="center"/>
            <w:hideMark/>
          </w:tcPr>
          <w:p w14:paraId="5CA327EA"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source train windows + target fit windows</w:t>
            </w:r>
          </w:p>
        </w:tc>
        <w:tc>
          <w:tcPr>
            <w:tcW w:w="2841" w:type="dxa"/>
            <w:vAlign w:val="center"/>
            <w:hideMark/>
          </w:tcPr>
          <w:p w14:paraId="7A3F1F96"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任何 validation 或 holdout 的标签或特征统计量</w:t>
            </w:r>
          </w:p>
        </w:tc>
        <w:tc>
          <w:tcPr>
            <w:tcW w:w="1837" w:type="dxa"/>
            <w:vAlign w:val="center"/>
            <w:hideMark/>
          </w:tcPr>
          <w:p w14:paraId="62ABA6B1"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通过</w:t>
            </w:r>
          </w:p>
        </w:tc>
      </w:tr>
      <w:tr w:rsidR="008E2FB9" w:rsidRPr="004643F8" w14:paraId="2AE95F9E" w14:textId="77777777" w:rsidTr="00497F67">
        <w:trPr>
          <w:trHeight w:val="272"/>
          <w:jc w:val="center"/>
        </w:trPr>
        <w:tc>
          <w:tcPr>
            <w:tcW w:w="1555" w:type="dxa"/>
            <w:vAlign w:val="center"/>
            <w:hideMark/>
          </w:tcPr>
          <w:p w14:paraId="5D15EB32"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early stopping / trial 选择</w:t>
            </w:r>
          </w:p>
        </w:tc>
        <w:tc>
          <w:tcPr>
            <w:tcW w:w="1842" w:type="dxa"/>
            <w:vAlign w:val="center"/>
            <w:hideMark/>
          </w:tcPr>
          <w:p w14:paraId="2CECD1FB"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按时间顺序切分的 validation 折，或固定随机种子的显式规则</w:t>
            </w:r>
          </w:p>
        </w:tc>
        <w:tc>
          <w:tcPr>
            <w:tcW w:w="2841" w:type="dxa"/>
            <w:vAlign w:val="center"/>
            <w:hideMark/>
          </w:tcPr>
          <w:p w14:paraId="1440447B"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最终测试集指标参与反向选择或权重重调</w:t>
            </w:r>
          </w:p>
        </w:tc>
        <w:tc>
          <w:tcPr>
            <w:tcW w:w="1837" w:type="dxa"/>
            <w:vAlign w:val="center"/>
            <w:hideMark/>
          </w:tcPr>
          <w:p w14:paraId="008FE24D"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通过</w:t>
            </w:r>
          </w:p>
        </w:tc>
      </w:tr>
      <w:tr w:rsidR="008E2FB9" w:rsidRPr="004643F8" w14:paraId="6D6DBD73" w14:textId="77777777" w:rsidTr="00497F67">
        <w:trPr>
          <w:trHeight w:val="272"/>
          <w:jc w:val="center"/>
        </w:trPr>
        <w:tc>
          <w:tcPr>
            <w:tcW w:w="1555" w:type="dxa"/>
            <w:vAlign w:val="center"/>
            <w:hideMark/>
          </w:tcPr>
          <w:p w14:paraId="5605FA5A"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测试评估</w:t>
            </w:r>
          </w:p>
        </w:tc>
        <w:tc>
          <w:tcPr>
            <w:tcW w:w="1842" w:type="dxa"/>
            <w:vAlign w:val="center"/>
            <w:hideMark/>
          </w:tcPr>
          <w:p w14:paraId="3E623EC0"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最终一次性读取 outer holdout 标签计算指标</w:t>
            </w:r>
          </w:p>
        </w:tc>
        <w:tc>
          <w:tcPr>
            <w:tcW w:w="2841" w:type="dxa"/>
            <w:vAlign w:val="center"/>
            <w:hideMark/>
          </w:tcPr>
          <w:p w14:paraId="5A0E2B0F"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将测试指标回写用于训练、权重选择或尺度调整</w:t>
            </w:r>
          </w:p>
        </w:tc>
        <w:tc>
          <w:tcPr>
            <w:tcW w:w="1837" w:type="dxa"/>
            <w:vAlign w:val="center"/>
            <w:hideMark/>
          </w:tcPr>
          <w:p w14:paraId="6C96BA16"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通过</w:t>
            </w:r>
          </w:p>
        </w:tc>
      </w:tr>
    </w:tbl>
    <w:p w14:paraId="65D5269D"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以下逐项解释各控制措施的工程内涵。</w:t>
      </w:r>
    </w:p>
    <w:p w14:paraId="3D3731E9"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源域预训练的可见性约束。 源域预训练阶段，模型仅接触训练集轨迹的输入特征与 RUL 标签。验证集和源域测试集虽然参与模型选择与源域审计，但其标签绝不反向传播至梯度更新过程中。这一约束保证了编码器所学到的退化表征仅来源于训练轨迹，而非对特定验证样本的过度适配。验证集用于筛选趋势先验类型和窗口长度等超参数时，其指标仅作为相对优劣的比较依据，不参与任何参数拟合过程。</w:t>
      </w:r>
    </w:p>
    <w:p w14:paraId="098283C6"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目标域 scaler 的估计隔离。 在每一 outer fold 的目标域微调开始前，所有数据变换参数——包括输入特征的均值和标准差、RUL 标签的缩放因子——均由当前折的训练集（fit groups）独立估计并固化。测试折的任一观测记录、以及该折所涉轨迹的全寿命极值（min/max）均不得参与 scaler 的参数计算。这意味着即使测试折与训练折来源于同一数据集的同质分布，其尺度参数也完全由训练折数据决定，严格模拟了“只有历史数据可用”的部署场景。</w:t>
      </w:r>
    </w:p>
    <w:p w14:paraId="6F060B62" w14:textId="59FA5F5D"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趋势先验（target prior）的筛选隔离。 在目标域微调前，项目允许从若干候选趋势假设中选择与当前训练折数据最为匹配的先验形式。该选择依据完全来自训练折的输入特征与 RUL 标签之间的统计关系——例如 health-RUL 相关系数、单调趋势强度等。训练折的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位置和未来时刻观测值不参与先验选择，测试折的全部信息则被完全隔离，直至最终评估阶段。</w:t>
      </w:r>
      <w:r>
        <w:t xml:space="preserve"> [6, 7, 9]</w:t>
      </w:r>
    </w:p>
    <w:p w14:paraId="55EFA13E"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adapter 模块的数据边界。 若项目中引入轻量级 adapter 模块用于目标域快速适配，其参数更新仅允许使用源域训练窗口与目标域训练窗口的联合数据。目标域验证折与测试折的标签不参与 adapter 的梯度计算或参数初始化。此设计防止 adapter 通过间接方式将目标域特有分布提前编码进模型中，从而维持迁移评估的纯净性。</w:t>
      </w:r>
    </w:p>
    <w:p w14:paraId="65099E10"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early stopping 与 trial 选择的防反选机制。 模型训练过程中，早停判据基于验证集 loss 的变化趋势决定终止时刻，该验证集按时间顺序从训练数据中切分，或者采用固定随机种子的显式切分规则。在整个超参数搜索过程中，最终测试集的指标数值不参与任何决策——包括但不限于选择最优 trial、调整学习率或决定是否回滚至较早的权重快照。此规则消除了“以测试结果反向优化训练配置”的隐式泄漏路径。</w:t>
      </w:r>
    </w:p>
    <w:p w14:paraId="3D01C426"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测试评估的一次性准入。 当所有训练与验证流程完成后，每一 outer fold 的测试折被加载并前向推理一次，计算预测误差指标后即行存档。测试集指标仅作为最终结论的输出依据，绝不回流至训练循环、权重更新、尺度参数重估或超参数再选择。每个 outer fold 的测试折在整个项目周期内仅被读取一次，杜绝了反复评估测试集所引入的隐式知识注入。</w:t>
      </w:r>
    </w:p>
    <w:p w14:paraId="07CEB4B5"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上述可见性控制规则构成了本项目实验可信性的底层保障。任何一条规则的违背都将导致相应实验结论被标记为无效。在全部主实验与消融实验中，所有控制点的审计结论均为“通</w:t>
      </w:r>
      <w:r w:rsidRPr="004643F8">
        <w:rPr>
          <w:rFonts w:asciiTheme="majorEastAsia" w:eastAsiaTheme="majorEastAsia" w:hAnsiTheme="majorEastAsia"/>
        </w:rPr>
        <w:lastRenderedPageBreak/>
        <w:t>过”，确保本报告所报告的各项精度改善均源于模型迁移能力的实质提升，而非数据泄漏导致的虚假增益。</w:t>
      </w:r>
    </w:p>
    <w:p w14:paraId="1FF7417F"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审计失败的风险与惩罚机制。 为强化上述规则的约束力，项目内置了自动审计脚本，在每一折训练启动前与评估结束后分别执行可见性检查。若检测到测试折数据在训练阶段被加载（例如 scaler 的 .fit() 方法接收了包含 holdout 索引的数据切片），或标签缩放因子的估计依赖了全寿命极值而该极值来自测试轨迹，则审计脚本立即抛出异常并终止当前实验，该折结果被标记为“泄漏-无效”，不纳入最终统计。这一自动化防护机制确保了可见性控制规则不仅停留在文档层面，更在代码执行层面得到刚性实施。</w:t>
      </w:r>
    </w:p>
    <w:p w14:paraId="6B987263"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综上，可见性控制的核心逻辑可总结为：训练侧仅见过去，测试侧仅见一次。</w:t>
      </w:r>
    </w:p>
    <w:p w14:paraId="70F9A318" w14:textId="4B4C6F7A" w:rsidR="000F75BD" w:rsidRPr="004643F8" w:rsidRDefault="00DE2EEE" w:rsidP="00C14037">
      <w:pPr>
        <w:pStyle w:val="1"/>
        <w:rPr>
          <w:rFonts w:asciiTheme="majorEastAsia" w:eastAsiaTheme="majorEastAsia" w:hAnsiTheme="majorEastAsia"/>
          <w:b/>
          <w:bCs/>
        </w:rPr>
      </w:pPr>
      <w:r w:rsidRPr="004643F8">
        <w:rPr>
          <w:rFonts w:asciiTheme="majorEastAsia" w:eastAsiaTheme="majorEastAsia" w:hAnsiTheme="majorEastAsia"/>
          <w:b/>
          <w:bCs/>
        </w:rPr>
        <w:t>四、算法总体框架与技术路线</w:t>
      </w:r>
    </w:p>
    <w:p w14:paraId="64E4DDED" w14:textId="351F275F" w:rsidR="00DE2EEE" w:rsidRPr="004643F8" w:rsidRDefault="00DE2EEE" w:rsidP="00C14037">
      <w:pPr>
        <w:rPr>
          <w:rFonts w:asciiTheme="majorEastAsia" w:eastAsiaTheme="majorEastAsia" w:hAnsiTheme="majorEastAsia"/>
        </w:rPr>
      </w:pPr>
      <w:r w:rsidRPr="004643F8">
        <w:rPr>
          <w:rFonts w:asciiTheme="majorEastAsia" w:eastAsiaTheme="majorEastAsia" w:hAnsiTheme="majorEastAsia"/>
        </w:rPr>
        <w:t>图 1 展示了本项目所提出的跨域退化迁移学习框架（ASTRA）的总体架构。整个算法流程以“源域预训练—目标域适配—留出验证”为主线，将公开退化数据中习得的共性退化知识，经由可审计的迁移路径，投射至航天器典型组件的剩余寿命预测任务中。本章从模型结构、训练策略与评估协议三个层面展开论述。</w:t>
      </w:r>
    </w:p>
    <w:p w14:paraId="03D0E69C" w14:textId="77777777" w:rsidR="00DE2EEE" w:rsidRPr="004643F8" w:rsidRDefault="00DE2EEE" w:rsidP="00DE2EEE">
      <w:pPr>
        <w:spacing w:after="40"/>
        <w:jc w:val="center"/>
        <w:rPr>
          <w:rFonts w:asciiTheme="majorEastAsia" w:eastAsiaTheme="majorEastAsia" w:hAnsiTheme="majorEastAsia" w:hint="eastAsia"/>
        </w:rPr>
      </w:pPr>
      <w:r w:rsidRPr="004643F8">
        <w:rPr>
          <w:rFonts w:asciiTheme="majorEastAsia" w:eastAsiaTheme="majorEastAsia" w:hAnsiTheme="majorEastAsia"/>
          <w:noProof/>
        </w:rPr>
        <w:drawing>
          <wp:inline distT="0" distB="0" distL="0" distR="0" wp14:anchorId="22381D2A" wp14:editId="5DC3937F">
            <wp:extent cx="5868000" cy="21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68000" cy="2100630"/>
                    </a:xfrm>
                    <a:prstGeom prst="rect">
                      <a:avLst/>
                    </a:prstGeom>
                  </pic:spPr>
                </pic:pic>
              </a:graphicData>
            </a:graphic>
          </wp:inline>
        </w:drawing>
      </w:r>
    </w:p>
    <w:p w14:paraId="002B8FCB" w14:textId="77777777" w:rsidR="00DE2EEE" w:rsidRPr="004643F8" w:rsidRDefault="00DE2EEE" w:rsidP="00DE2EEE">
      <w:pPr>
        <w:spacing w:after="140" w:line="324" w:lineRule="auto"/>
        <w:jc w:val="center"/>
        <w:rPr>
          <w:rFonts w:asciiTheme="majorEastAsia" w:eastAsiaTheme="majorEastAsia" w:hAnsiTheme="majorEastAsia" w:hint="eastAsia"/>
        </w:rPr>
      </w:pPr>
      <w:r w:rsidRPr="004643F8">
        <w:rPr>
          <w:rFonts w:asciiTheme="majorEastAsia" w:eastAsiaTheme="majorEastAsia" w:hAnsiTheme="majorEastAsia"/>
          <w:color w:val="666666"/>
          <w:sz w:val="18"/>
        </w:rPr>
        <w:t>图 1  ASTRA 跨领域退化迁移总体架构</w:t>
      </w:r>
    </w:p>
    <w:p w14:paraId="05F56DAF" w14:textId="77777777" w:rsidR="00F63AEB" w:rsidRPr="004643F8" w:rsidRDefault="00F63AEB" w:rsidP="00F63AEB">
      <w:pPr>
        <w:pStyle w:val="2"/>
        <w:rPr>
          <w:rFonts w:asciiTheme="majorEastAsia" w:eastAsiaTheme="majorEastAsia" w:hAnsiTheme="majorEastAsia"/>
        </w:rPr>
      </w:pPr>
      <w:r w:rsidRPr="004643F8">
        <w:rPr>
          <w:rFonts w:asciiTheme="majorEastAsia" w:eastAsiaTheme="majorEastAsia" w:hAnsiTheme="majorEastAsia"/>
          <w:b/>
          <w:bCs/>
        </w:rPr>
        <w:t>4.1 模型结构</w:t>
      </w:r>
    </w:p>
    <w:p w14:paraId="337D859A" w14:textId="77777777" w:rsidR="00F63AEB" w:rsidRPr="004643F8" w:rsidRDefault="00F63AEB" w:rsidP="00F63AEB">
      <w:pPr>
        <w:rPr>
          <w:rFonts w:asciiTheme="majorEastAsia" w:eastAsiaTheme="majorEastAsia" w:hAnsiTheme="majorEastAsia"/>
        </w:rPr>
      </w:pPr>
      <w:r w:rsidRPr="004643F8">
        <w:rPr>
          <w:rFonts w:asciiTheme="majorEastAsia" w:eastAsiaTheme="majorEastAsia" w:hAnsiTheme="majorEastAsia"/>
        </w:rPr>
        <w:t>模型采用“领域专属投影—共享编码—任务专属输出”的三段式架构，其设计逻辑在于平衡跨域知识迁移的通用性与领域差异的适配性。整体由四个逻辑组件构成：源域输入投影层、目标域输入投影层、共享退化编码器、目标域RUL预测头。</w:t>
      </w:r>
    </w:p>
    <w:p w14:paraId="717B332B" w14:textId="6A59AE7D" w:rsidR="00F63AEB" w:rsidRPr="004643F8" w:rsidRDefault="00F63AEB" w:rsidP="00F63AEB">
      <w:pPr>
        <w:rPr>
          <w:rFonts w:asciiTheme="majorEastAsia" w:eastAsiaTheme="majorEastAsia" w:hAnsiTheme="majorEastAsia"/>
        </w:rPr>
      </w:pPr>
      <w:r w:rsidRPr="004643F8">
        <w:rPr>
          <w:rFonts w:asciiTheme="majorEastAsia" w:eastAsiaTheme="majorEastAsia" w:hAnsiTheme="majorEastAsia"/>
        </w:rPr>
        <w:t>不同退化场景所采用的传感器配置和物理量纲存在本质差异。喷嘴数据以烧蚀深度等热流参数为输入通道，电池数据以电压、电流、温度及容量构成循环遥测向量，而反作用轮数据则涵盖摩擦力矩、转速波动、电流补偿和温升等多物理场输出。若将所有场景的原始信号强行映射至同一输入空间，编码器将被迫同时学习量纲转换与退化表征，增加不必要的参数负担。因此，本项目为源域与目标域分别设置独立的输入投影层：</w:t>
      </w:r>
      <m:oMath>
        <m:sSub>
          <m:sSubPr>
            <m:ctrlPr>
              <w:rPr>
                <w:rFonts w:ascii="Cambria Math" w:eastAsiaTheme="majorEastAsia" w:hAnsi="Cambria Math"/>
              </w:rPr>
            </m:ctrlPr>
          </m:sSubPr>
          <m:e>
            <m:r>
              <w:rPr>
                <w:rFonts w:ascii="Cambria Math" w:eastAsiaTheme="majorEastAsia" w:hAnsi="Cambria Math"/>
              </w:rPr>
              <m:t>P</m:t>
            </m:r>
          </m:e>
          <m:sub>
            <m:r>
              <m:rPr>
                <m:nor/>
              </m:rPr>
              <w:rPr>
                <w:rFonts w:asciiTheme="majorEastAsia" w:eastAsiaTheme="majorEastAsia" w:hAnsiTheme="majorEastAsia"/>
              </w:rPr>
              <m:t>source</m:t>
            </m:r>
          </m:sub>
        </m:sSub>
      </m:oMath>
      <w:r w:rsidRPr="004643F8">
        <w:rPr>
          <w:rFonts w:asciiTheme="majorEastAsia" w:eastAsiaTheme="majorEastAsia" w:hAnsiTheme="majorEastAsia"/>
        </w:rPr>
        <w:t> 将喷嘴的多通道输入映射为固定维度的嵌入向量，</w:t>
      </w:r>
      <m:oMath>
        <m:sSub>
          <m:sSubPr>
            <m:ctrlPr>
              <w:rPr>
                <w:rFonts w:ascii="Cambria Math" w:eastAsiaTheme="majorEastAsia" w:hAnsi="Cambria Math"/>
              </w:rPr>
            </m:ctrlPr>
          </m:sSubPr>
          <m:e>
            <m:r>
              <w:rPr>
                <w:rFonts w:ascii="Cambria Math" w:eastAsiaTheme="majorEastAsia" w:hAnsi="Cambria Math"/>
              </w:rPr>
              <m:t>P</m:t>
            </m:r>
          </m:e>
          <m:sub>
            <m:r>
              <m:rPr>
                <m:nor/>
              </m:rPr>
              <w:rPr>
                <w:rFonts w:asciiTheme="majorEastAsia" w:eastAsiaTheme="majorEastAsia" w:hAnsiTheme="majorEastAsia"/>
              </w:rPr>
              <m:t>target</m:t>
            </m:r>
          </m:sub>
        </m:sSub>
      </m:oMath>
      <w:r w:rsidRPr="004643F8">
        <w:rPr>
          <w:rFonts w:asciiTheme="majorEastAsia" w:eastAsiaTheme="majorEastAsia" w:hAnsiTheme="majorEastAsia"/>
        </w:rPr>
        <w:t> 则将目标域传感器的遥测向量映射至同一嵌入空间。两投影层参数互不共享，各自负责将领域特定的原始信号规整为编码器可统一处理的表征格式。</w:t>
      </w:r>
    </w:p>
    <w:p w14:paraId="1E66EABD" w14:textId="77777777" w:rsidR="00F63AEB" w:rsidRPr="004643F8" w:rsidRDefault="00F63AEB" w:rsidP="00F63AEB">
      <w:pPr>
        <w:rPr>
          <w:rFonts w:asciiTheme="majorEastAsia" w:eastAsiaTheme="majorEastAsia" w:hAnsiTheme="majorEastAsia"/>
        </w:rPr>
      </w:pPr>
      <w:r w:rsidRPr="004643F8">
        <w:rPr>
          <w:rFonts w:asciiTheme="majorEastAsia" w:eastAsiaTheme="majorEastAsia" w:hAnsiTheme="majorEastAsia"/>
        </w:rPr>
        <w:t>共享退化编码器是整个架构的知识核心，采用两层门控循环单元（GRU）构成。GRU以其对时序依赖关系的建模能力以及相对简洁的门控机制，适合捕捉退化过程中长期演变趋势与短期波动之间的复杂耦合关系。编码器以滑动窗口为基本处理单元，按时间顺序逐次读入输入投影层输出的嵌入序列，在每一时刻将历史窗口内的全部信息压缩为固定维度的隐状态向量。该隐状态被视作组件当前退化状态的紧凑表征，理想情况下应编码了从窗口起始至当前时刻</w:t>
      </w:r>
      <w:r w:rsidRPr="004643F8">
        <w:rPr>
          <w:rFonts w:asciiTheme="majorEastAsia" w:eastAsiaTheme="majorEastAsia" w:hAnsiTheme="majorEastAsia"/>
        </w:rPr>
        <w:lastRenderedPageBreak/>
        <w:t>的退化进程信息，且对传感器噪声和瞬态扰动具有一定的鲁棒性。编码器的参数在源域预训练阶段完成初步收敛，习得通用性的退化演化模式，随后在目标域微调阶段进行全量更新，以适应目标域特有的信号分布与退化速率范围。</w:t>
      </w:r>
    </w:p>
    <w:p w14:paraId="6D4820B6" w14:textId="77777777" w:rsidR="00F63AEB" w:rsidRPr="004643F8" w:rsidRDefault="00F63AEB" w:rsidP="00F63AEB">
      <w:pPr>
        <w:rPr>
          <w:rFonts w:asciiTheme="majorEastAsia" w:eastAsiaTheme="majorEastAsia" w:hAnsiTheme="majorEastAsia"/>
        </w:rPr>
      </w:pPr>
      <w:r w:rsidRPr="004643F8">
        <w:rPr>
          <w:rFonts w:asciiTheme="majorEastAsia" w:eastAsiaTheme="majorEastAsia" w:hAnsiTheme="majorEastAsia"/>
        </w:rPr>
        <w:t>目标域RUL预测头将编码器输出的隐状态映射为标量RUL估计值。预测头为独立的轻量级全连接网络，在目标域初始化时采用随机权重，不继承源域头的任何参数。这一设计的考虑在于：源域以观测步数定义RUL，而各目标域的服役时长量级各异（电池以数百次循环计，反作用轮以数千观测步计），若直接复用源域头的输出尺度，将迫使编码器在微调时同时承担尺度转换与退化表征调整的双重任务，增加适配难度。独立初始化并重新训练目标域头，使编码器可专注于提炼域间共通的退化结构，将尺度映射的职责交由目标域头单独承载。</w:t>
      </w:r>
    </w:p>
    <w:p w14:paraId="031BCDF9" w14:textId="77777777" w:rsidR="00F63AEB" w:rsidRPr="004643F8" w:rsidRDefault="00F63AEB" w:rsidP="00F63AEB">
      <w:pPr>
        <w:rPr>
          <w:rFonts w:asciiTheme="majorEastAsia" w:eastAsiaTheme="majorEastAsia" w:hAnsiTheme="majorEastAsia"/>
        </w:rPr>
      </w:pPr>
      <w:r w:rsidRPr="004643F8">
        <w:rPr>
          <w:rFonts w:asciiTheme="majorEastAsia" w:eastAsiaTheme="majorEastAsia" w:hAnsiTheme="majorEastAsia"/>
        </w:rPr>
        <w:t>在微调策略上，所有主实验采用全量微调方案：共享编码器的全部参数、目标域输入投影层以及目标域RUL预测头，均在目标域训练折的数据上参与梯度更新。源域输入投影层在微调阶段保持冻结，因其参数完全绑定喷嘴数据的特定通道语义，在目标域中无对应物理意义。全量微调允许编码器在保留源域退化知识的基础上，针对目标域的信号特征分布进行有限度的参数调整，避免因过度冻结而导致的域间表征鸿沟。</w:t>
      </w:r>
    </w:p>
    <w:p w14:paraId="18A16CA0" w14:textId="6B98F613" w:rsidR="00DE2EEE" w:rsidRPr="004643F8" w:rsidRDefault="000B5C22" w:rsidP="00C14037">
      <w:pPr>
        <w:rPr>
          <w:rFonts w:asciiTheme="majorEastAsia" w:eastAsiaTheme="majorEastAsia" w:hAnsiTheme="majorEastAsia"/>
        </w:rPr>
      </w:pPr>
      <w:r w:rsidRPr="004643F8">
        <w:rPr>
          <w:rFonts w:asciiTheme="majorEastAsia" w:eastAsiaTheme="majorEastAsia" w:hAnsiTheme="majorEastAsia"/>
        </w:rPr>
        <w:t>下表汇总模型各组件的功能定位与参数更新策略：</w:t>
      </w:r>
    </w:p>
    <w:tbl>
      <w:tblPr>
        <w:tblStyle w:val="af2"/>
        <w:tblW w:w="0" w:type="auto"/>
        <w:jc w:val="center"/>
        <w:tblLook w:val="04A0" w:firstRow="1" w:lastRow="0" w:firstColumn="1" w:lastColumn="0" w:noHBand="0" w:noVBand="1"/>
      </w:tblPr>
      <w:tblGrid>
        <w:gridCol w:w="2552"/>
        <w:gridCol w:w="2410"/>
        <w:gridCol w:w="1417"/>
        <w:gridCol w:w="1816"/>
      </w:tblGrid>
      <w:tr w:rsidR="000B5C22" w:rsidRPr="004643F8" w14:paraId="45DF6FDD" w14:textId="77777777" w:rsidTr="00601C0B">
        <w:trPr>
          <w:trHeight w:val="272"/>
          <w:jc w:val="center"/>
        </w:trPr>
        <w:tc>
          <w:tcPr>
            <w:tcW w:w="2552" w:type="dxa"/>
            <w:vAlign w:val="center"/>
            <w:hideMark/>
          </w:tcPr>
          <w:p w14:paraId="081F2805"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组件</w:t>
            </w:r>
          </w:p>
        </w:tc>
        <w:tc>
          <w:tcPr>
            <w:tcW w:w="2410" w:type="dxa"/>
            <w:vAlign w:val="center"/>
            <w:hideMark/>
          </w:tcPr>
          <w:p w14:paraId="2E4EEAF6"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功能定位</w:t>
            </w:r>
          </w:p>
        </w:tc>
        <w:tc>
          <w:tcPr>
            <w:tcW w:w="1417" w:type="dxa"/>
            <w:vAlign w:val="center"/>
            <w:hideMark/>
          </w:tcPr>
          <w:p w14:paraId="24989A1D"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源域预训练</w:t>
            </w:r>
          </w:p>
        </w:tc>
        <w:tc>
          <w:tcPr>
            <w:tcW w:w="1816" w:type="dxa"/>
            <w:vAlign w:val="center"/>
            <w:hideMark/>
          </w:tcPr>
          <w:p w14:paraId="0D5D0D99"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目标域微调</w:t>
            </w:r>
          </w:p>
        </w:tc>
      </w:tr>
      <w:tr w:rsidR="000B5C22" w:rsidRPr="004643F8" w14:paraId="64B84689" w14:textId="77777777" w:rsidTr="00601C0B">
        <w:trPr>
          <w:trHeight w:val="272"/>
          <w:jc w:val="center"/>
        </w:trPr>
        <w:tc>
          <w:tcPr>
            <w:tcW w:w="2552" w:type="dxa"/>
            <w:vAlign w:val="center"/>
            <w:hideMark/>
          </w:tcPr>
          <w:p w14:paraId="27D33D7D" w14:textId="5A91734E"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源域输入投影层 </w:t>
            </w:r>
            <m:oMath>
              <m:sSub>
                <m:sSubPr>
                  <m:ctrlPr>
                    <w:rPr>
                      <w:rFonts w:ascii="Cambria Math" w:eastAsiaTheme="majorEastAsia" w:hAnsi="Cambria Math"/>
                    </w:rPr>
                  </m:ctrlPr>
                </m:sSubPr>
                <m:e>
                  <m:r>
                    <w:rPr>
                      <w:rFonts w:ascii="Cambria Math" w:eastAsiaTheme="majorEastAsia" w:hAnsi="Cambria Math"/>
                    </w:rPr>
                    <m:t>P</m:t>
                  </m:r>
                </m:e>
                <m:sub>
                  <m:r>
                    <m:rPr>
                      <m:nor/>
                    </m:rPr>
                    <w:rPr>
                      <w:rFonts w:asciiTheme="majorEastAsia" w:eastAsiaTheme="majorEastAsia" w:hAnsiTheme="majorEastAsia"/>
                    </w:rPr>
                    <m:t>source</m:t>
                  </m:r>
                </m:sub>
              </m:sSub>
            </m:oMath>
          </w:p>
        </w:tc>
        <w:tc>
          <w:tcPr>
            <w:tcW w:w="2410" w:type="dxa"/>
            <w:vAlign w:val="center"/>
            <w:hideMark/>
          </w:tcPr>
          <w:p w14:paraId="6DEAB3D5"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将喷嘴多通道信号映射为固定维嵌入</w:t>
            </w:r>
          </w:p>
        </w:tc>
        <w:tc>
          <w:tcPr>
            <w:tcW w:w="1417" w:type="dxa"/>
            <w:vAlign w:val="center"/>
            <w:hideMark/>
          </w:tcPr>
          <w:p w14:paraId="6001E0E6"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参与训练</w:t>
            </w:r>
          </w:p>
        </w:tc>
        <w:tc>
          <w:tcPr>
            <w:tcW w:w="1816" w:type="dxa"/>
            <w:vAlign w:val="center"/>
            <w:hideMark/>
          </w:tcPr>
          <w:p w14:paraId="431DAE66"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冻结</w:t>
            </w:r>
          </w:p>
        </w:tc>
      </w:tr>
      <w:tr w:rsidR="000B5C22" w:rsidRPr="004643F8" w14:paraId="441664EE" w14:textId="77777777" w:rsidTr="00601C0B">
        <w:trPr>
          <w:trHeight w:val="272"/>
          <w:jc w:val="center"/>
        </w:trPr>
        <w:tc>
          <w:tcPr>
            <w:tcW w:w="2552" w:type="dxa"/>
            <w:vAlign w:val="center"/>
            <w:hideMark/>
          </w:tcPr>
          <w:p w14:paraId="0C76DA8D" w14:textId="58E04F5C"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目标域输入投影层 </w:t>
            </w:r>
            <m:oMath>
              <m:sSub>
                <m:sSubPr>
                  <m:ctrlPr>
                    <w:rPr>
                      <w:rFonts w:ascii="Cambria Math" w:eastAsiaTheme="majorEastAsia" w:hAnsi="Cambria Math"/>
                    </w:rPr>
                  </m:ctrlPr>
                </m:sSubPr>
                <m:e>
                  <m:r>
                    <w:rPr>
                      <w:rFonts w:ascii="Cambria Math" w:eastAsiaTheme="majorEastAsia" w:hAnsi="Cambria Math"/>
                    </w:rPr>
                    <m:t>P</m:t>
                  </m:r>
                </m:e>
                <m:sub>
                  <m:r>
                    <m:rPr>
                      <m:nor/>
                    </m:rPr>
                    <w:rPr>
                      <w:rFonts w:asciiTheme="majorEastAsia" w:eastAsiaTheme="majorEastAsia" w:hAnsiTheme="majorEastAsia"/>
                    </w:rPr>
                    <m:t>target</m:t>
                  </m:r>
                </m:sub>
              </m:sSub>
            </m:oMath>
          </w:p>
        </w:tc>
        <w:tc>
          <w:tcPr>
            <w:tcW w:w="2410" w:type="dxa"/>
            <w:vAlign w:val="center"/>
            <w:hideMark/>
          </w:tcPr>
          <w:p w14:paraId="46AB1276"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将目标域传感器遥测映射至相同嵌入空间</w:t>
            </w:r>
          </w:p>
        </w:tc>
        <w:tc>
          <w:tcPr>
            <w:tcW w:w="1417" w:type="dxa"/>
            <w:vAlign w:val="center"/>
            <w:hideMark/>
          </w:tcPr>
          <w:p w14:paraId="2BF01E66"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w:t>
            </w:r>
          </w:p>
        </w:tc>
        <w:tc>
          <w:tcPr>
            <w:tcW w:w="1816" w:type="dxa"/>
            <w:vAlign w:val="center"/>
            <w:hideMark/>
          </w:tcPr>
          <w:p w14:paraId="35CAE740"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全量微调</w:t>
            </w:r>
          </w:p>
        </w:tc>
      </w:tr>
      <w:tr w:rsidR="000B5C22" w:rsidRPr="004643F8" w14:paraId="1F74F143" w14:textId="77777777" w:rsidTr="00601C0B">
        <w:trPr>
          <w:trHeight w:val="272"/>
          <w:jc w:val="center"/>
        </w:trPr>
        <w:tc>
          <w:tcPr>
            <w:tcW w:w="2552" w:type="dxa"/>
            <w:vAlign w:val="center"/>
            <w:hideMark/>
          </w:tcPr>
          <w:p w14:paraId="2A2AE0C5"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共享GRU编码器</w:t>
            </w:r>
          </w:p>
        </w:tc>
        <w:tc>
          <w:tcPr>
            <w:tcW w:w="2410" w:type="dxa"/>
            <w:vAlign w:val="center"/>
            <w:hideMark/>
          </w:tcPr>
          <w:p w14:paraId="49FDA508"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提取时序窗口内的退化演化隐状态</w:t>
            </w:r>
          </w:p>
        </w:tc>
        <w:tc>
          <w:tcPr>
            <w:tcW w:w="1417" w:type="dxa"/>
            <w:vAlign w:val="center"/>
            <w:hideMark/>
          </w:tcPr>
          <w:p w14:paraId="22B0F7FA"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参与训练</w:t>
            </w:r>
          </w:p>
        </w:tc>
        <w:tc>
          <w:tcPr>
            <w:tcW w:w="1816" w:type="dxa"/>
            <w:vAlign w:val="center"/>
            <w:hideMark/>
          </w:tcPr>
          <w:p w14:paraId="7A260403"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全量微调</w:t>
            </w:r>
          </w:p>
        </w:tc>
      </w:tr>
      <w:tr w:rsidR="000B5C22" w:rsidRPr="004643F8" w14:paraId="338BEBFF" w14:textId="77777777" w:rsidTr="00601C0B">
        <w:trPr>
          <w:trHeight w:val="272"/>
          <w:jc w:val="center"/>
        </w:trPr>
        <w:tc>
          <w:tcPr>
            <w:tcW w:w="2552" w:type="dxa"/>
            <w:vAlign w:val="center"/>
            <w:hideMark/>
          </w:tcPr>
          <w:p w14:paraId="645848B7"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目标域RUL预测头</w:t>
            </w:r>
          </w:p>
        </w:tc>
        <w:tc>
          <w:tcPr>
            <w:tcW w:w="2410" w:type="dxa"/>
            <w:vAlign w:val="center"/>
            <w:hideMark/>
          </w:tcPr>
          <w:p w14:paraId="29EA8938"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将隐状态映射为目标域单位的RUL标量</w:t>
            </w:r>
          </w:p>
        </w:tc>
        <w:tc>
          <w:tcPr>
            <w:tcW w:w="1417" w:type="dxa"/>
            <w:vAlign w:val="center"/>
            <w:hideMark/>
          </w:tcPr>
          <w:p w14:paraId="259F0309"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w:t>
            </w:r>
          </w:p>
        </w:tc>
        <w:tc>
          <w:tcPr>
            <w:tcW w:w="1816" w:type="dxa"/>
            <w:vAlign w:val="center"/>
            <w:hideMark/>
          </w:tcPr>
          <w:p w14:paraId="60443401"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全量微调（独立初始化）</w:t>
            </w:r>
          </w:p>
        </w:tc>
      </w:tr>
    </w:tbl>
    <w:p w14:paraId="09A26FCB" w14:textId="77777777" w:rsidR="000B1ACD" w:rsidRPr="004643F8" w:rsidRDefault="000B1ACD" w:rsidP="000B1ACD">
      <w:pPr>
        <w:pStyle w:val="2"/>
        <w:rPr>
          <w:rFonts w:asciiTheme="majorEastAsia" w:eastAsiaTheme="majorEastAsia" w:hAnsiTheme="majorEastAsia"/>
        </w:rPr>
      </w:pPr>
      <w:r w:rsidRPr="004643F8">
        <w:rPr>
          <w:rFonts w:asciiTheme="majorEastAsia" w:eastAsiaTheme="majorEastAsia" w:hAnsiTheme="majorEastAsia"/>
          <w:b/>
          <w:bCs/>
        </w:rPr>
        <w:t>4.2 训练与目标侧适配</w:t>
      </w:r>
    </w:p>
    <w:p w14:paraId="37A7688F"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模型训练与适配流程遵循“源域知识先行、目标域轻量接入、逐折独立验证”的总体原则，分为源域预训练与目标域微调两大阶段，其间贯穿严格的可见性控制。本节按执行时序依次阐述各阶段的关键操作。</w:t>
      </w:r>
    </w:p>
    <w:p w14:paraId="2C62F710"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阶段一：源域预训练与编码器固化。</w:t>
      </w:r>
    </w:p>
    <w:p w14:paraId="6BACF4BB"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在源域训练集轨迹上训练共享GRU编码器与源域输入投影层，优化目标为最小化喷嘴场景下的RUL预测误差。训练过程中，源域验证集轨迹不参与梯度更新，但用于监控模型收敛状态以及选取最优checkpoint——当验证集Loss在预设容忍轮次内不再下降时，训练终止，并回滚至验证Loss最低时刻的权重快照。该checkpoint随后作为目标域微调的初始化参数。需要强调的是，源域测试集在本阶段完全封存，仅在源域模型审计报告中单独使用一次，不参与任何形式的参数选择或梯度计算。</w:t>
      </w:r>
    </w:p>
    <w:p w14:paraId="6535948E"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阶段二：目标域逐折预处理参数估计。</w:t>
      </w:r>
    </w:p>
    <w:p w14:paraId="5390F7B5"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对于每一个目标域outer fold，在接触测试折之前，必须完成三项预处理参数的独立估计。第一，输入特征的归一化scaler——其均值和标准差完全由当前折的训练集（fit groups）轨迹计算，测试折的任一记录均不参与此估计。第二，RUL标签的尺度缩放因子——由于不同目标域以及同一目标域内不同轨迹的全寿命时长存在差异，需将标签缩放到量级稳定的范围以利于优化收敛；该缩放因子的最大值来源仅限于训练折轨迹中的最大RUL值，测试折的寿命长度不参与计算。第三，趋势先验的参数筛选——从候选先验假设（包括线性衰减、指数衰减等若干形式）中选择与训练折数据拟合优度最高的形式，作为后续训练的辅助归纳偏置。上述三项估计结果在整折微调期间保持固定，不因验证集或测试集的任何反馈而调整。</w:t>
      </w:r>
    </w:p>
    <w:p w14:paraId="7B7BB8B6"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lastRenderedPageBreak/>
        <w:t>阶段三：目标域微调与模型选择。</w:t>
      </w:r>
    </w:p>
    <w:p w14:paraId="546A15C7"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将源域预训练的编码器权重加载至目标域框架中，与目标域输入投影层、目标域RUL预测头一并组成完整的微调模型。在每一训练轮次结束后，按时间顺序切分的验证折（从训练集中划分，不包含测试折的任何记录）被用于计算当前模型的验证Loss。当验证Loss在连续若干轮次内未取得改善时，触发早停机制，模型回滚至验证Loss最低的轮次并终止训练。这一设计不仅作为正则化手段防止对训练折的过拟合，更作为同预算约束下的模型选择准则——在相同的最大训练轮次预算内，不同配置（如不同窗口长度或不同先验类型）的优劣由验证集上的表现裁决，而非最终测试集。</w:t>
      </w:r>
    </w:p>
    <w:p w14:paraId="04D25048"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若当前目标场景下还启用了可选的adapter模块以增强适配能力，其参数更新与早停决策共享同一套验证集切分规则，确保adapter的引入不引入额外的信息泄漏路径。</w:t>
      </w:r>
    </w:p>
    <w:p w14:paraId="135E9D98"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阶段四：基线对比与效果归因。</w:t>
      </w:r>
    </w:p>
    <w:p w14:paraId="2FD095FA"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为量化迁移学习的实质增益，项目设置了多层对照基线体系。Scratch基线跳过源域预训练，直接在目标域训练折上从头训练编码器与预测头，用以衡量源域知识是否提供了优于随机初始化的起点。Ridge回归基线以线性模型作为非时域深度方法的代表，检验时序深度特征是否比简单线性映射更擅长捕捉退化趋势。确定性趋势基线则包括固定斜率的线性外推和指数衰减外推，用以评估模型是否仅学到了可被简单函数替代的单调规律。所有基线均严格遵循与主迁移实验相同的数据切分、scaler估计和early stopping协议，确保性能差异的唯一来源是源域预训练知识是否被使用。</w:t>
      </w:r>
    </w:p>
    <w:p w14:paraId="701675C7"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实验记录与评估输出。</w:t>
      </w:r>
    </w:p>
    <w:p w14:paraId="28B14AF5"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每一折实验完成后，项目自动记录该折在测试集上的预测结果与真实标签，并据此计算raw RMSE、MAE、预测偏差（bias）以及归一化RMSE等多项指标。所有中间输出——包括每一折的训练损失曲线、验证损失曲线、最终权重哈希以及预测残差分布——均按outer fold编号归档至运行目录。在完成全部五折或六折评估后，汇总各折指标计算宏平均与标准差，作为该目标场景下的最终迁移效果定量结论。实验所采用的随机种子在每一折中保持固定，消除随机初始化差异对结果可比性的干扰。</w:t>
      </w:r>
    </w:p>
    <w:p w14:paraId="40EBC44B" w14:textId="77777777" w:rsidR="0055681E" w:rsidRPr="004643F8" w:rsidRDefault="0055681E" w:rsidP="0055681E">
      <w:pPr>
        <w:pStyle w:val="2"/>
        <w:rPr>
          <w:rFonts w:asciiTheme="majorEastAsia" w:eastAsiaTheme="majorEastAsia" w:hAnsiTheme="majorEastAsia"/>
        </w:rPr>
      </w:pPr>
      <w:r w:rsidRPr="004643F8">
        <w:rPr>
          <w:rFonts w:asciiTheme="majorEastAsia" w:eastAsiaTheme="majorEastAsia" w:hAnsiTheme="majorEastAsia"/>
          <w:b/>
          <w:bCs/>
        </w:rPr>
        <w:t>4.3 损失、趋势先验与公平对照</w:t>
      </w:r>
    </w:p>
    <w:p w14:paraId="2FD65979"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在模型优化与效果归因环节，项目从三个层面确保结论的严谨性：统一的优化目标、可审计的趋势参照系，以及严格的公平对照体系。本节依次阐述上述设计。</w:t>
      </w:r>
    </w:p>
    <w:p w14:paraId="4D3343D5"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优化目标与训练预算。</w:t>
      </w:r>
    </w:p>
    <w:p w14:paraId="42BE2A28" w14:textId="0EAA97CB"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所有神经模型（包括主迁移模型、Scratch从头训练模型以及Frozen编码器消融模型）在目标域微调阶段共用统一的损失函数——预测RUL与真实RUL之间的均方误差（MSE），即 </w:t>
      </w:r>
      <m:oMath>
        <m:r>
          <m:rPr>
            <m:scr m:val="script"/>
          </m:rPr>
          <w:rPr>
            <w:rFonts w:ascii="Cambria Math" w:eastAsiaTheme="majorEastAsia" w:hAnsi="Cambria Math"/>
          </w:rPr>
          <m:t>L=</m:t>
        </m:r>
        <m:f>
          <m:fPr>
            <m:ctrlPr>
              <w:rPr>
                <w:rFonts w:ascii="Cambria Math" w:eastAsiaTheme="majorEastAsia" w:hAnsi="Cambria Math"/>
              </w:rPr>
            </m:ctrlPr>
          </m:fPr>
          <m:num>
            <m:r>
              <w:rPr>
                <w:rFonts w:ascii="Cambria Math" w:eastAsiaTheme="majorEastAsia" w:hAnsi="Cambria Math"/>
              </w:rPr>
              <m:t>1</m:t>
            </m:r>
          </m:num>
          <m:den>
            <m:r>
              <w:rPr>
                <w:rFonts w:ascii="Cambria Math" w:eastAsiaTheme="majorEastAsia" w:hAnsi="Cambria Math"/>
              </w:rPr>
              <m:t>N</m:t>
            </m:r>
          </m:den>
        </m:f>
        <m:nary>
          <m:naryPr>
            <m:chr m:val="∑"/>
            <m:grow m:val="1"/>
            <m:subHide m:val="1"/>
            <m:supHide m:val="1"/>
            <m:ctrlPr>
              <w:rPr>
                <w:rFonts w:ascii="Cambria Math" w:eastAsiaTheme="majorEastAsia" w:hAnsi="Cambria Math"/>
              </w:rPr>
            </m:ctrlPr>
          </m:naryPr>
          <m:sub/>
          <m:sup/>
          <m:e>
            <m:r>
              <w:rPr>
                <w:rFonts w:ascii="Cambria Math" w:eastAsiaTheme="majorEastAsia" w:hAnsi="Cambria Math"/>
              </w:rPr>
              <m:t>(</m:t>
            </m:r>
          </m:e>
        </m:nary>
        <m:d>
          <m:dPr>
            <m:begChr m:val=""/>
            <m:endChr m:val=""/>
            <m:ctrlPr>
              <w:rPr>
                <w:rFonts w:ascii="Cambria Math" w:eastAsiaTheme="majorEastAsia" w:hAnsi="Cambria Math"/>
              </w:rPr>
            </m:ctrlPr>
          </m:dPr>
          <m:e>
            <m:sSub>
              <m:sSubPr>
                <m:ctrlPr>
                  <w:rPr>
                    <w:rFonts w:ascii="Cambria Math" w:eastAsiaTheme="majorEastAsia" w:hAnsi="Cambria Math"/>
                  </w:rPr>
                </m:ctrlPr>
              </m:sSubPr>
              <m:e>
                <m:acc>
                  <m:accPr>
                    <m:ctrlPr>
                      <w:rPr>
                        <w:rFonts w:ascii="Cambria Math" w:eastAsiaTheme="majorEastAsia" w:hAnsi="Cambria Math"/>
                      </w:rPr>
                    </m:ctrlPr>
                  </m:accPr>
                  <m:e>
                    <m:r>
                      <w:rPr>
                        <w:rFonts w:ascii="Cambria Math" w:eastAsiaTheme="majorEastAsia" w:hAnsi="Cambria Math"/>
                      </w:rPr>
                      <m:t>r</m:t>
                    </m:r>
                  </m:e>
                </m:acc>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sSup>
              <m:sSupPr>
                <m:ctrlPr>
                  <w:rPr>
                    <w:rFonts w:ascii="Cambria Math" w:eastAsiaTheme="majorEastAsia" w:hAnsi="Cambria Math"/>
                  </w:rPr>
                </m:ctrlPr>
              </m:sSupPr>
              <m:e>
                <m:d>
                  <m:dPr>
                    <m:begChr m:val=""/>
                    <m:endChr m:val=""/>
                    <m:ctrlPr>
                      <w:rPr>
                        <w:rFonts w:ascii="Cambria Math" w:eastAsiaTheme="majorEastAsia" w:hAnsi="Cambria Math"/>
                      </w:rPr>
                    </m:ctrlPr>
                  </m:dPr>
                  <m:e>
                    <m:r>
                      <w:rPr>
                        <w:rFonts w:ascii="Cambria Math" w:eastAsiaTheme="majorEastAsia" w:hAnsi="Cambria Math"/>
                      </w:rPr>
                      <m:t>)</m:t>
                    </m:r>
                  </m:e>
                </m:d>
              </m:e>
              <m:sup>
                <m:r>
                  <w:rPr>
                    <w:rFonts w:ascii="Cambria Math" w:eastAsiaTheme="majorEastAsia" w:hAnsi="Cambria Math"/>
                  </w:rPr>
                  <m:t>2</m:t>
                </m:r>
              </m:sup>
            </m:sSup>
          </m:e>
        </m:d>
      </m:oMath>
      <w:r w:rsidRPr="004643F8">
        <w:rPr>
          <w:rFonts w:asciiTheme="majorEastAsia" w:eastAsiaTheme="majorEastAsia" w:hAnsiTheme="majorEastAsia"/>
        </w:rPr>
        <w:t>。该损失在训练集的每个窗口上前向计算并反向传播，以驱动模型参数向最小化预测偏差的方向更新。除此之外，项目不引入额外的辅助损失或对抗约束，旨在使迁移增益的来源清晰可溯——完全来自源域预训练编码器所提供的退化表征先验，而非复杂的多任务正则化设计。</w:t>
      </w:r>
    </w:p>
    <w:p w14:paraId="146409F7"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在训练预算方面，所有实验配置强制执行相同的最大训练轮次上限，并共用基于验证集表现的早停规则。这意味着主迁移模型相较于Scratch模型的性能优势，不可能源于获得了更多的迭代次数或更宽松的收敛条件，二者在计算资源与优化步数上完全对等。验证集的切分方式在全部模型间保持一致，随机种子亦固定为相同数值，确保实验结果的差异仅反映模型初始状态（是否载入源域预训练权重）的不同，而非随机因素或数据划分偶然性的影响。</w:t>
      </w:r>
    </w:p>
    <w:p w14:paraId="5CDEFC81"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趋势先验的工程角色。</w:t>
      </w:r>
    </w:p>
    <w:p w14:paraId="7189CE68"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在航天工程实践中，工程师面对缺乏历史数据的全新组件时，最朴素的寿命推断方式往往基于某种确定性趋势假设——例如“退化速率恒定”的线性外推，或“初期缓慢、后期加速”</w:t>
      </w:r>
      <w:r w:rsidRPr="004643F8">
        <w:rPr>
          <w:rFonts w:asciiTheme="majorEastAsia" w:eastAsiaTheme="majorEastAsia" w:hAnsiTheme="majorEastAsia"/>
        </w:rPr>
        <w:lastRenderedPageBreak/>
        <w:t>的指数式增长。这些趋势先验虽然无法捕捉样本间的个体差异，但在群体统计意义上可能提供一定程度的预测基准。本项目在目标域微调框架中内置了若干可审计的轻量趋势先验组件，其发挥双重作用：其一，作为辅助性的归纳偏置，在训练数据有限时约束模型输出的合理性——例如当窗口输入被噪声干扰时，先验项可引导预测值不致过度偏离物理常识所允许的退化边界；其二，更重要的是，作为算法效果归因的参照锚点。</w:t>
      </w:r>
    </w:p>
    <w:p w14:paraId="4EC05B0D"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上述先验包括线性趋势（假设RUL随服役时间匀速递减）、二次趋势（考虑退化速率的加速或减速效应）以及Huber稳健趋势（对离群值具有容忍度的鲁棒拟合）。所有先验的参数均在每一折的训练集上独立拟合——线性与二次趋势基于最小二乘估计，Huber趋势基于迭代重加权最小二乘——测试折不参与任何先验参数的确定过程。这一“因果化”的拟合方式（仅使用历史数据推断未来趋势）与航天在轨场景的工程约束完全一致。</w:t>
      </w:r>
    </w:p>
    <w:p w14:paraId="4471D185"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多层基线对照体系。</w:t>
      </w:r>
    </w:p>
    <w:p w14:paraId="5D7FC650"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为全面锚定主迁移模型的性能水平，项目设置了四个层次的对照基线，分别对应不同复杂度和不同信息源的方法。</w:t>
      </w:r>
    </w:p>
    <w:p w14:paraId="09E7D397"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Scratch基线 是最直接的迁移增益量化工具。该基线模型在架构上与主迁移模型完全一致（相同层数、相同隐层维度、相同窗口长度），唯一区别在于编码器权重采用随机初始化而非源域预训练权重。若主迁移模型的预测误差显著低于Scratch，则该改善可归因于源域退化知识的有效迁移；若两者持平或前者劣于后者，则表明源域知识在目标场景中未能提供增益甚至产生了负迁移。</w:t>
      </w:r>
    </w:p>
    <w:p w14:paraId="1DAD0A3F"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Ridge回归基线 作为非时序浅层方法的代表，用以检验深度时序特征的必要性。Ridge模型以窗口内各时刻的原始传感器读数为输入特征，通过线性回归加L2正则化直接映射至RUL预测。若Ridge的性能与深度模型相当甚至更优，则说明目标域的退化趋势高度线性且信噪比充足，复杂序列建模并未带来额外收益。</w:t>
      </w:r>
    </w:p>
    <w:p w14:paraId="126EC3D1"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确定性趋势基线 包括固定斜率的线性外推、二次多项式外推以及Huber稳健趋势外推。这些基线不使用任何传感器观测值，仅依据当前时刻在轨迹中的相对位置（即已服役时长）推断剩余寿命。它们代表了“无数据驱动能力”的工程经验下限——若神经模型连这些最简单的趋势都不及，则意味着模型未能有效利用传感器信息，需要重新审视特征设计与训练策略。</w:t>
      </w:r>
    </w:p>
    <w:p w14:paraId="3E5AF3DB"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全部基线均严格遵循与主迁移实验相同的数据切分、scalet估计、早停协议与随机种子，测试集在各基线的评估中同样一次性准入，确保性能比较的公允性。任何基线若在训练过程中使用了超越训练折范围的信息（例如全寿命极值或未来时刻观测），其评估结果将被标记为无效并从对照表中移除。</w:t>
      </w:r>
    </w:p>
    <w:p w14:paraId="60EBC0D2" w14:textId="77777777" w:rsidR="003E2AC8" w:rsidRPr="004643F8" w:rsidRDefault="003E2AC8" w:rsidP="003E2AC8">
      <w:pPr>
        <w:pStyle w:val="2"/>
        <w:rPr>
          <w:rFonts w:asciiTheme="majorEastAsia" w:eastAsiaTheme="majorEastAsia" w:hAnsiTheme="majorEastAsia"/>
        </w:rPr>
      </w:pPr>
      <w:r w:rsidRPr="004643F8">
        <w:rPr>
          <w:rFonts w:asciiTheme="majorEastAsia" w:eastAsiaTheme="majorEastAsia" w:hAnsiTheme="majorEastAsia"/>
          <w:b/>
          <w:bCs/>
        </w:rPr>
        <w:t>5.1 主跨组件迁移协议：cross_component_transfer_v3</w:t>
      </w:r>
    </w:p>
    <w:p w14:paraId="4F511CFE" w14:textId="77777777" w:rsidR="003E2AC8" w:rsidRPr="004643F8" w:rsidRDefault="003E2AC8" w:rsidP="003E2AC8">
      <w:pPr>
        <w:rPr>
          <w:rFonts w:asciiTheme="majorEastAsia" w:eastAsiaTheme="majorEastAsia" w:hAnsiTheme="majorEastAsia"/>
        </w:rPr>
      </w:pPr>
      <w:r w:rsidRPr="004643F8">
        <w:rPr>
          <w:rFonts w:asciiTheme="majorEastAsia" w:eastAsiaTheme="majorEastAsia" w:hAnsiTheme="majorEastAsia"/>
        </w:rPr>
        <w:t>cross_component_transfer_v3 是本项目的主评估协议，承载赛事核心要求的跨域迁移效果验证任务。该协议覆盖两条独立的迁移链路：其一为喷嘴烧蚀源域 → NASA电池目标域，用以检验退化知识在电化学系统中的泛化能力；其二为喷嘴烧蚀源域 → FEMTO轴承目标域，作为第二机械退化场景的补充验证线。两条链路共享相同的源域预训练权重（200条喷嘴轨迹），但各自独立执行目标域微调与评估，互不干扰。需要说明的是，COMSOL反作用轮仿真数据在主协议之外另行组织评估，其协议细节于5.2节单独阐述。</w:t>
      </w:r>
    </w:p>
    <w:p w14:paraId="75D21AE8" w14:textId="77777777" w:rsidR="003E2AC8" w:rsidRPr="004643F8" w:rsidRDefault="003E2AC8" w:rsidP="003E2AC8">
      <w:pPr>
        <w:rPr>
          <w:rFonts w:asciiTheme="majorEastAsia" w:eastAsiaTheme="majorEastAsia" w:hAnsiTheme="majorEastAsia"/>
        </w:rPr>
      </w:pPr>
      <w:r w:rsidRPr="004643F8">
        <w:rPr>
          <w:rFonts w:asciiTheme="majorEastAsia" w:eastAsiaTheme="majorEastAsia" w:hAnsiTheme="majorEastAsia"/>
        </w:rPr>
        <w:t>在源域一侧，协议固定使用严格筛选的200条喷嘴多轨迹数据完成编码器预训练，训练集、验证集与源域测试集的轨迹级切分在协议初始化时一次性确定并固化。预训练所得编码器权重作为两条迁移链路的共同起点，分别传递至电池与轴承目标域。</w:t>
      </w:r>
    </w:p>
    <w:p w14:paraId="185F1FEF" w14:textId="77777777" w:rsidR="003E2AC8" w:rsidRPr="004643F8" w:rsidRDefault="003E2AC8" w:rsidP="003E2AC8">
      <w:pPr>
        <w:rPr>
          <w:rFonts w:asciiTheme="majorEastAsia" w:eastAsiaTheme="majorEastAsia" w:hAnsiTheme="majorEastAsia"/>
        </w:rPr>
      </w:pPr>
      <w:r w:rsidRPr="004643F8">
        <w:rPr>
          <w:rFonts w:asciiTheme="majorEastAsia" w:eastAsiaTheme="majorEastAsia" w:hAnsiTheme="majorEastAsia"/>
        </w:rPr>
        <w:t>在目标域电池链路中，B0005、B0006、B0018三条完整事件观测轨迹构成三个独立 outer folds，每一折以其中一条作为测试集、其余两条作为训练集进行微调与评估，轮换三次完成全量评估。B0007右删失样本不纳入标准RMSE统计，单独作为诊断样本用于定性趋势分析。在轴承链路中，六个FEMTO样本执行六折留一验证，每折以五个样本训练、一个样本测</w:t>
      </w:r>
      <w:r w:rsidRPr="004643F8">
        <w:rPr>
          <w:rFonts w:asciiTheme="majorEastAsia" w:eastAsiaTheme="majorEastAsia" w:hAnsiTheme="majorEastAsia"/>
        </w:rPr>
        <w:lastRenderedPageBreak/>
        <w:t>试，轮换六次完成全量评估。两类目标域的切分策略均保证轨迹级别的完全隔离，不存在同一轨迹跨训练与测试折的信息渗透。</w:t>
      </w:r>
    </w:p>
    <w:p w14:paraId="1458CBCC" w14:textId="77777777" w:rsidR="003E2AC8" w:rsidRPr="004643F8" w:rsidRDefault="003E2AC8" w:rsidP="003E2AC8">
      <w:pPr>
        <w:rPr>
          <w:rFonts w:asciiTheme="majorEastAsia" w:eastAsiaTheme="majorEastAsia" w:hAnsiTheme="majorEastAsia"/>
        </w:rPr>
      </w:pPr>
      <w:r w:rsidRPr="004643F8">
        <w:rPr>
          <w:rFonts w:asciiTheme="majorEastAsia" w:eastAsiaTheme="majorEastAsia" w:hAnsiTheme="majorEastAsia"/>
        </w:rPr>
        <w:t>协议要求所有实验在五个固定随机种子（42、123、456、2026、3407）上分别运行，每个种子下每个配置至少执行三个显式trial，以消除随机初始化对结果波动性的影响，确保结论的统计稳健性。该种子集合与赛事官方推荐保持一致，便于后续第三方独立复现时与报告数值进行直接对照。</w:t>
      </w:r>
    </w:p>
    <w:p w14:paraId="2D8F1EE3" w14:textId="77777777" w:rsidR="003E2AC8" w:rsidRPr="004643F8" w:rsidRDefault="003E2AC8" w:rsidP="003E2AC8">
      <w:pPr>
        <w:rPr>
          <w:rFonts w:asciiTheme="majorEastAsia" w:eastAsiaTheme="majorEastAsia" w:hAnsiTheme="majorEastAsia"/>
        </w:rPr>
      </w:pPr>
      <w:r w:rsidRPr="004643F8">
        <w:rPr>
          <w:rFonts w:asciiTheme="majorEastAsia" w:eastAsiaTheme="majorEastAsia" w:hAnsiTheme="majorEastAsia"/>
        </w:rPr>
        <w:t>协议运行完毕后，自动生成以下标准化输出产物：协议状态文件（protocol.json）记录每折的切分索引与数据哈希指纹；数据清单文件（manifest.json）汇总全部输入材料的版本信息与校验码；预检状态文件（preflight.json）确认方向检查、可见性审计与数据完整性均通过后方可启动训练；训练监控文件（supervisor_status.json）记录每折的训练曲线与早停触发轮次；宏平均指标文件（macro.json）汇总各折 RMSE、MAE、bias 及归一化 RMSE 的均值与标准差；逐折预测文件（predictions/*.csv）保存每个测试折的预测值与真实标签，供评审方独立重算指标。上述产物的完整归档路径为 outputs/cross_component_transfer_v3/，版本哈希一并记录于运行目录的版本锁定文件中。</w:t>
      </w:r>
    </w:p>
    <w:p w14:paraId="06F9DD35" w14:textId="77777777" w:rsidR="00854CD0" w:rsidRPr="004643F8" w:rsidRDefault="00854CD0" w:rsidP="00854CD0">
      <w:pPr>
        <w:pStyle w:val="2"/>
        <w:rPr>
          <w:rFonts w:asciiTheme="majorEastAsia" w:eastAsiaTheme="majorEastAsia" w:hAnsiTheme="majorEastAsia"/>
        </w:rPr>
      </w:pPr>
      <w:r w:rsidRPr="004643F8">
        <w:rPr>
          <w:rFonts w:asciiTheme="majorEastAsia" w:eastAsiaTheme="majorEastAsia" w:hAnsiTheme="majorEastAsia"/>
          <w:b/>
          <w:bCs/>
        </w:rPr>
        <w:t>5.2 反作用轮仿真代理迁移协议：FEMTO → COMSOL v5</w:t>
      </w:r>
    </w:p>
    <w:p w14:paraId="3AA7E078" w14:textId="77777777" w:rsidR="00854CD0" w:rsidRPr="004643F8" w:rsidRDefault="00854CD0" w:rsidP="00854CD0">
      <w:pPr>
        <w:rPr>
          <w:rFonts w:asciiTheme="majorEastAsia" w:eastAsiaTheme="majorEastAsia" w:hAnsiTheme="majorEastAsia"/>
        </w:rPr>
      </w:pPr>
      <w:r w:rsidRPr="004643F8">
        <w:rPr>
          <w:rFonts w:asciiTheme="majorEastAsia" w:eastAsiaTheme="majorEastAsia" w:hAnsiTheme="majorEastAsia"/>
        </w:rPr>
        <w:t>v5 协议专门用于评估源域预训练编码器在反作用轮仿真退化场景中的迁移适配效果，其设计定位补充主协议 v3 未能覆盖的航天机械部件目标域。协议以五条 COMSOL 反作用轮完整仿真轨迹为评估对象，采用留一轨迹验证策略——每一折将其中一条轨迹设为 outer holdout，其余轨迹作为训练折用于微调。轮换五次完成全量评估。</w:t>
      </w:r>
    </w:p>
    <w:p w14:paraId="555B277F" w14:textId="77777777" w:rsidR="00854CD0" w:rsidRPr="004643F8" w:rsidRDefault="00854CD0" w:rsidP="00854CD0">
      <w:pPr>
        <w:rPr>
          <w:rFonts w:asciiTheme="majorEastAsia" w:eastAsiaTheme="majorEastAsia" w:hAnsiTheme="majorEastAsia"/>
        </w:rPr>
      </w:pPr>
      <w:r w:rsidRPr="004643F8">
        <w:rPr>
          <w:rFonts w:asciiTheme="majorEastAsia" w:eastAsiaTheme="majorEastAsia" w:hAnsiTheme="majorEastAsia"/>
        </w:rPr>
        <w:t>小样本适配能力考察。 为系统检验迁移模型在不同数据丰度下的适配表现，协议设置了三个递增的训练样本规模层级：N=1、2、3，分别表示在每一折中随机抽取 1 条、2 条或 3 条轨迹作为训练折，其余轨迹保留为 holdout（N=1 时其余4条为holdout，但仅其中一条作为测试折接受最终评估）。该设计模拟了航天场景下目标域历史数据从“极为稀缺”到“少量可用”的连续变化区间，用于刻画迁移增益随目标域样本量增加而逐渐衰减或保持稳定的趋势边界。赛事评估以 N=3 时的聚合结果为主报告结论，N=1 与 N=2 的结果作为补充分析，用以反映极限小样本条件下的方法鲁棒性。</w:t>
      </w:r>
    </w:p>
    <w:p w14:paraId="25070D0D" w14:textId="77777777" w:rsidR="00854CD0" w:rsidRPr="004643F8" w:rsidRDefault="00854CD0" w:rsidP="00854CD0">
      <w:pPr>
        <w:rPr>
          <w:rFonts w:asciiTheme="majorEastAsia" w:eastAsiaTheme="majorEastAsia" w:hAnsiTheme="majorEastAsia"/>
        </w:rPr>
      </w:pPr>
      <w:r w:rsidRPr="004643F8">
        <w:rPr>
          <w:rFonts w:asciiTheme="majorEastAsia" w:eastAsiaTheme="majorEastAsia" w:hAnsiTheme="majorEastAsia"/>
        </w:rPr>
        <w:t>严格的可见性控制。 协议为每一折独立执行完整的预处理流程：目标域 scaler 的均值和标准差、RUL 标签的尺度缩放因子、趋势先验与 Ridge 先验的拟合参数，以及可选的 adapter 模块参数，其估计或初始化均严格限定于当前折的训练轨迹。具体而言，当 N=1 时，上述所有参数仅由单条轨迹的信息确定——这是对算法稳定性最具挑战性的设置，也最贴近航天领域“仅有单台地面试验件数据”的极端情景。早停机制的验证集同样从训练轨迹中以时间顺序切分，确保不引入任何来自 holdout 轨迹的未来信息。测试轨迹在每一折中仅于最终评估阶段被加载一次，输出预测结果后即行归档，不参与任何形式的参数反馈。</w:t>
      </w:r>
    </w:p>
    <w:p w14:paraId="1A8C845E" w14:textId="77777777" w:rsidR="00854CD0" w:rsidRPr="004643F8" w:rsidRDefault="00854CD0" w:rsidP="00854CD0">
      <w:pPr>
        <w:rPr>
          <w:rFonts w:asciiTheme="majorEastAsia" w:eastAsiaTheme="majorEastAsia" w:hAnsiTheme="majorEastAsia"/>
        </w:rPr>
      </w:pPr>
      <w:r w:rsidRPr="004643F8">
        <w:rPr>
          <w:rFonts w:asciiTheme="majorEastAsia" w:eastAsiaTheme="majorEastAsia" w:hAnsiTheme="majorEastAsia"/>
        </w:rPr>
        <w:t>随机性管理与种子派生。 鉴于 N=1,2,3 的轨迹采样涉及随机抽取过程，协议采用确定性种子派生策略以确保可复现性——每一折的随机种子由当前折索引与固定根种子经 SHA-256 派生得出，而非直接调用 Python 内置 hash() 函数。该策略消除了不同 Python 版本或运行环境之间哈希算法实现差异所引入的不确定性，使评审方可在任意平台上精确复现相同轨迹划分与模型初始化结果。派生种子的完整映射关系记录于协议状态文件中备查。</w:t>
      </w:r>
    </w:p>
    <w:p w14:paraId="5FE5F942" w14:textId="77777777" w:rsidR="00460436" w:rsidRPr="004643F8" w:rsidRDefault="00460436" w:rsidP="00460436">
      <w:pPr>
        <w:pStyle w:val="2"/>
        <w:rPr>
          <w:rFonts w:asciiTheme="majorEastAsia" w:eastAsiaTheme="majorEastAsia" w:hAnsiTheme="majorEastAsia"/>
        </w:rPr>
      </w:pPr>
      <w:r w:rsidRPr="004643F8">
        <w:rPr>
          <w:rFonts w:asciiTheme="majorEastAsia" w:eastAsiaTheme="majorEastAsia" w:hAnsiTheme="majorEastAsia"/>
          <w:b/>
          <w:bCs/>
        </w:rPr>
        <w:t>5.3 指标与内部验收</w:t>
      </w:r>
    </w:p>
    <w:p w14:paraId="1498506A" w14:textId="77777777" w:rsidR="00460436" w:rsidRPr="004643F8" w:rsidRDefault="00460436" w:rsidP="00460436">
      <w:pPr>
        <w:rPr>
          <w:rFonts w:asciiTheme="majorEastAsia" w:eastAsiaTheme="majorEastAsia" w:hAnsiTheme="majorEastAsia"/>
        </w:rPr>
      </w:pPr>
      <w:r>
        <w:t>指标体系</w:t>
      </w:r>
    </w:p>
    <w:p w14:paraId="3251BA84" w14:textId="77777777" w:rsidR="00460436" w:rsidRPr="004643F8" w:rsidRDefault="00460436" w:rsidP="00460436">
      <w:pPr>
        <w:rPr>
          <w:rFonts w:asciiTheme="majorEastAsia" w:eastAsiaTheme="majorEastAsia" w:hAnsiTheme="majorEastAsia"/>
        </w:rPr>
      </w:pPr>
      <w:r>
        <w:t>项目同时报告 raw RMSE、MAE、bias 和按训练侧尺度归一化的 RMSE，以兼顾总体误差、典型误差和系统性偏差。</w:t>
      </w:r>
    </w:p>
    <w:p w14:paraId="046D22CA" w14:textId="2447B804"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lastRenderedPageBreak/>
        <w:t>核心指标为raw RMSE（均方根误差） ，计算公式为 </w:t>
      </w:r>
      <m:oMath>
        <m:r>
          <m:rPr>
            <m:nor/>
          </m:rPr>
          <w:rPr>
            <w:rFonts w:asciiTheme="majorEastAsia" w:eastAsiaTheme="majorEastAsia" w:hAnsiTheme="majorEastAsia"/>
          </w:rPr>
          <m:t>RMSE</m:t>
        </m:r>
        <m:r>
          <w:rPr>
            <w:rFonts w:ascii="Cambria Math" w:eastAsiaTheme="majorEastAsia" w:hAnsi="Cambria Math"/>
          </w:rPr>
          <m:t>=</m:t>
        </m:r>
        <m:rad>
          <m:radPr>
            <m:degHide m:val="1"/>
            <m:ctrlPr>
              <w:rPr>
                <w:rFonts w:ascii="Cambria Math" w:eastAsiaTheme="majorEastAsia" w:hAnsi="Cambria Math"/>
              </w:rPr>
            </m:ctrlPr>
          </m:radPr>
          <m:deg/>
          <m:e>
            <m:f>
              <m:fPr>
                <m:ctrlPr>
                  <w:rPr>
                    <w:rFonts w:ascii="Cambria Math" w:eastAsiaTheme="majorEastAsia" w:hAnsi="Cambria Math"/>
                  </w:rPr>
                </m:ctrlPr>
              </m:fPr>
              <m:num>
                <m:r>
                  <w:rPr>
                    <w:rFonts w:ascii="Cambria Math" w:eastAsiaTheme="majorEastAsia" w:hAnsi="Cambria Math"/>
                  </w:rPr>
                  <m:t>1</m:t>
                </m:r>
              </m:num>
              <m:den>
                <m:r>
                  <w:rPr>
                    <w:rFonts w:ascii="Cambria Math" w:eastAsiaTheme="majorEastAsia" w:hAnsi="Cambria Math"/>
                  </w:rPr>
                  <m:t>N</m:t>
                </m:r>
              </m:den>
            </m:f>
            <m:nary>
              <m:naryPr>
                <m:chr m:val="∑"/>
                <m:grow m:val="1"/>
                <m:subHide m:val="1"/>
                <m:supHide m:val="1"/>
                <m:ctrlPr>
                  <w:rPr>
                    <w:rFonts w:ascii="Cambria Math" w:eastAsiaTheme="majorEastAsia" w:hAnsi="Cambria Math"/>
                  </w:rPr>
                </m:ctrlPr>
              </m:naryPr>
              <m:sub/>
              <m:sup/>
              <m:e>
                <m:r>
                  <w:rPr>
                    <w:rFonts w:ascii="Cambria Math" w:eastAsiaTheme="majorEastAsia" w:hAnsi="Cambria Math"/>
                  </w:rPr>
                  <m:t>(</m:t>
                </m:r>
              </m:e>
            </m:nary>
            <m:d>
              <m:dPr>
                <m:begChr m:val=""/>
                <m:endChr m:val=""/>
                <m:ctrlPr>
                  <w:rPr>
                    <w:rFonts w:ascii="Cambria Math" w:eastAsiaTheme="majorEastAsia" w:hAnsi="Cambria Math"/>
                  </w:rPr>
                </m:ctrlPr>
              </m:dPr>
              <m:e>
                <m:sSub>
                  <m:sSubPr>
                    <m:ctrlPr>
                      <w:rPr>
                        <w:rFonts w:ascii="Cambria Math" w:eastAsiaTheme="majorEastAsia" w:hAnsi="Cambria Math"/>
                      </w:rPr>
                    </m:ctrlPr>
                  </m:sSubPr>
                  <m:e>
                    <m:acc>
                      <m:accPr>
                        <m:ctrlPr>
                          <w:rPr>
                            <w:rFonts w:ascii="Cambria Math" w:eastAsiaTheme="majorEastAsia" w:hAnsi="Cambria Math"/>
                          </w:rPr>
                        </m:ctrlPr>
                      </m:accPr>
                      <m:e>
                        <m:r>
                          <w:rPr>
                            <w:rFonts w:ascii="Cambria Math" w:eastAsiaTheme="majorEastAsia" w:hAnsi="Cambria Math"/>
                          </w:rPr>
                          <m:t>r</m:t>
                        </m:r>
                      </m:e>
                    </m:acc>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sSup>
                  <m:sSupPr>
                    <m:ctrlPr>
                      <w:rPr>
                        <w:rFonts w:ascii="Cambria Math" w:eastAsiaTheme="majorEastAsia" w:hAnsi="Cambria Math"/>
                      </w:rPr>
                    </m:ctrlPr>
                  </m:sSupPr>
                  <m:e>
                    <m:d>
                      <m:dPr>
                        <m:begChr m:val=""/>
                        <m:endChr m:val=""/>
                        <m:ctrlPr>
                          <w:rPr>
                            <w:rFonts w:ascii="Cambria Math" w:eastAsiaTheme="majorEastAsia" w:hAnsi="Cambria Math"/>
                          </w:rPr>
                        </m:ctrlPr>
                      </m:dPr>
                      <m:e>
                        <m:r>
                          <w:rPr>
                            <w:rFonts w:ascii="Cambria Math" w:eastAsiaTheme="majorEastAsia" w:hAnsi="Cambria Math"/>
                          </w:rPr>
                          <m:t>)</m:t>
                        </m:r>
                      </m:e>
                    </m:d>
                  </m:e>
                  <m:sup>
                    <m:r>
                      <w:rPr>
                        <w:rFonts w:ascii="Cambria Math" w:eastAsiaTheme="majorEastAsia" w:hAnsi="Cambria Math"/>
                      </w:rPr>
                      <m:t>2</m:t>
                    </m:r>
                  </m:sup>
                </m:sSup>
              </m:e>
            </m:d>
          </m:e>
        </m:rad>
      </m:oMath>
      <w:r w:rsidRPr="004643F8">
        <w:rPr>
          <w:rFonts w:asciiTheme="majorEastAsia" w:eastAsiaTheme="majorEastAsia" w:hAnsiTheme="majorEastAsia"/>
        </w:rPr>
        <w:t>，保留各目标域原始剩余周期或剩余测量数的物理单位。选择RMSE作为首要指标的原因在于其对较大预测偏差施以平方惩罚，能够有效反映模型在寿命末期——即航天决策最敏感的阶段——是否出现严重偏离真实值的风险。在电池场景中，RMSE以剩余充放电循环次数为单位；在反作用轮场景中，以剩余观测步数为单位。两场景的RMSE数值因量纲不同而不做跨域直接比较，各自独立用于域内评估。</w:t>
      </w:r>
    </w:p>
    <w:p w14:paraId="69DC41C6" w14:textId="0974F894"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t>辅助指标包括MAE、bias与归一化RMSE。 MAE（平均绝对误差）作为RMSE的补充，反映预测误差的典型量级，不受个别极端残差的主导性影响，其计算公式为 </w:t>
      </w:r>
      <m:oMath>
        <m:r>
          <m:rPr>
            <m:nor/>
          </m:rPr>
          <w:rPr>
            <w:rFonts w:asciiTheme="majorEastAsia" w:eastAsiaTheme="majorEastAsia" w:hAnsiTheme="majorEastAsia"/>
          </w:rPr>
          <m:t>MAE</m:t>
        </m:r>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1</m:t>
            </m:r>
          </m:num>
          <m:den>
            <m:r>
              <w:rPr>
                <w:rFonts w:ascii="Cambria Math" w:eastAsiaTheme="majorEastAsia" w:hAnsi="Cambria Math"/>
              </w:rPr>
              <m:t>N</m:t>
            </m:r>
          </m:den>
        </m:f>
        <m:nary>
          <m:naryPr>
            <m:chr m:val="∑"/>
            <m:grow m:val="1"/>
            <m:subHide m:val="1"/>
            <m:supHide m:val="1"/>
            <m:ctrlPr>
              <w:rPr>
                <w:rFonts w:ascii="Cambria Math" w:eastAsiaTheme="majorEastAsia" w:hAnsi="Cambria Math"/>
              </w:rPr>
            </m:ctrlPr>
          </m:naryPr>
          <m:sub/>
          <m:sup/>
          <m:e>
            <m:r>
              <w:rPr>
                <w:rFonts w:ascii="Cambria Math" w:eastAsiaTheme="majorEastAsia" w:hAnsi="Cambria Math"/>
              </w:rPr>
              <m:t>∣</m:t>
            </m:r>
          </m:e>
        </m:nary>
        <m:sSub>
          <m:sSubPr>
            <m:ctrlPr>
              <w:rPr>
                <w:rFonts w:ascii="Cambria Math" w:eastAsiaTheme="majorEastAsia" w:hAnsi="Cambria Math"/>
              </w:rPr>
            </m:ctrlPr>
          </m:sSubPr>
          <m:e>
            <m:acc>
              <m:accPr>
                <m:ctrlPr>
                  <w:rPr>
                    <w:rFonts w:ascii="Cambria Math" w:eastAsiaTheme="majorEastAsia" w:hAnsi="Cambria Math"/>
                  </w:rPr>
                </m:ctrlPr>
              </m:accPr>
              <m:e>
                <m:r>
                  <w:rPr>
                    <w:rFonts w:ascii="Cambria Math" w:eastAsiaTheme="majorEastAsia" w:hAnsi="Cambria Math"/>
                  </w:rPr>
                  <m:t>r</m:t>
                </m:r>
              </m:e>
            </m:acc>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oMath>
      <w:r w:rsidRPr="004643F8">
        <w:rPr>
          <w:rFonts w:asciiTheme="majorEastAsia" w:eastAsiaTheme="majorEastAsia" w:hAnsiTheme="majorEastAsia"/>
        </w:rPr>
        <w:t>。Bias定义为预测误差的均值 </w:t>
      </w:r>
      <m:oMath>
        <m:r>
          <m:rPr>
            <m:nor/>
          </m:rPr>
          <w:rPr>
            <w:rFonts w:asciiTheme="majorEastAsia" w:eastAsiaTheme="majorEastAsia" w:hAnsiTheme="majorEastAsia"/>
          </w:rPr>
          <m:t>bias</m:t>
        </m:r>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1</m:t>
            </m:r>
          </m:num>
          <m:den>
            <m:r>
              <w:rPr>
                <w:rFonts w:ascii="Cambria Math" w:eastAsiaTheme="majorEastAsia" w:hAnsi="Cambria Math"/>
              </w:rPr>
              <m:t>N</m:t>
            </m:r>
          </m:den>
        </m:f>
        <m:nary>
          <m:naryPr>
            <m:chr m:val="∑"/>
            <m:grow m:val="1"/>
            <m:subHide m:val="1"/>
            <m:supHide m:val="1"/>
            <m:ctrlPr>
              <w:rPr>
                <w:rFonts w:ascii="Cambria Math" w:eastAsiaTheme="majorEastAsia" w:hAnsi="Cambria Math"/>
              </w:rPr>
            </m:ctrlPr>
          </m:naryPr>
          <m:sub/>
          <m:sup/>
          <m:e>
            <m:r>
              <w:rPr>
                <w:rFonts w:ascii="Cambria Math" w:eastAsiaTheme="majorEastAsia" w:hAnsi="Cambria Math"/>
              </w:rPr>
              <m:t>(</m:t>
            </m:r>
          </m:e>
        </m:nary>
        <m:d>
          <m:dPr>
            <m:begChr m:val=""/>
            <m:ctrlPr>
              <w:rPr>
                <w:rFonts w:ascii="Cambria Math" w:eastAsiaTheme="majorEastAsia" w:hAnsi="Cambria Math"/>
              </w:rPr>
            </m:ctrlPr>
          </m:dPr>
          <m:e>
            <m:sSub>
              <m:sSubPr>
                <m:ctrlPr>
                  <w:rPr>
                    <w:rFonts w:ascii="Cambria Math" w:eastAsiaTheme="majorEastAsia" w:hAnsi="Cambria Math"/>
                  </w:rPr>
                </m:ctrlPr>
              </m:sSubPr>
              <m:e>
                <m:acc>
                  <m:accPr>
                    <m:ctrlPr>
                      <w:rPr>
                        <w:rFonts w:ascii="Cambria Math" w:eastAsiaTheme="majorEastAsia" w:hAnsi="Cambria Math"/>
                      </w:rPr>
                    </m:ctrlPr>
                  </m:accPr>
                  <m:e>
                    <m:r>
                      <w:rPr>
                        <w:rFonts w:ascii="Cambria Math" w:eastAsiaTheme="majorEastAsia" w:hAnsi="Cambria Math"/>
                      </w:rPr>
                      <m:t>r</m:t>
                    </m:r>
                  </m:e>
                </m:acc>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e>
        </m:d>
      </m:oMath>
      <w:r w:rsidRPr="004643F8">
        <w:rPr>
          <w:rFonts w:asciiTheme="majorEastAsia" w:eastAsiaTheme="majorEastAsia" w:hAnsiTheme="majorEastAsia"/>
        </w:rPr>
        <w:t>，用于判断模型是否存在系统性高估（正bias）或低估（负bias）RUL的倾向——这一信息对工程决策具有直接参考意义，例如若模型普遍低估剩余寿命，则可能导致保守的提前更换策略；若普遍高估，则可能带来在轨失效风险。归一化RMSE则将预测误差按目标域RUL全幅进行缩放，便于在不同目标场景间进行相对精度的比较，计算公式为 </w:t>
      </w:r>
      <m:oMath>
        <m:r>
          <m:rPr>
            <m:nor/>
          </m:rPr>
          <w:rPr>
            <w:rFonts w:asciiTheme="majorEastAsia" w:eastAsiaTheme="majorEastAsia" w:hAnsiTheme="majorEastAsia"/>
          </w:rPr>
          <m:t>NRMSE</m:t>
        </m:r>
        <m:r>
          <w:rPr>
            <w:rFonts w:ascii="Cambria Math" w:eastAsiaTheme="majorEastAsia" w:hAnsi="Cambria Math"/>
          </w:rPr>
          <m:t>=</m:t>
        </m:r>
        <m:r>
          <m:rPr>
            <m:nor/>
          </m:rPr>
          <w:rPr>
            <w:rFonts w:asciiTheme="majorEastAsia" w:eastAsiaTheme="majorEastAsia" w:hAnsiTheme="majorEastAsia"/>
          </w:rPr>
          <m:t>RMSE</m:t>
        </m:r>
        <m:r>
          <w:rPr>
            <w:rFonts w:ascii="Cambria Math" w:eastAsiaTheme="majorEastAsia" w:hAnsi="Cambria Math"/>
          </w:rPr>
          <m:t>/</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r</m:t>
                </m:r>
              </m:e>
              <m:sub>
                <m:r>
                  <m:rPr>
                    <m:nor/>
                  </m:rPr>
                  <w:rPr>
                    <w:rFonts w:asciiTheme="majorEastAsia" w:eastAsiaTheme="majorEastAsia" w:hAnsiTheme="majorEastAsia"/>
                  </w:rPr>
                  <m:t>max</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r</m:t>
                </m:r>
              </m:e>
              <m:sub>
                <m:r>
                  <m:rPr>
                    <m:nor/>
                  </m:rPr>
                  <w:rPr>
                    <w:rFonts w:asciiTheme="majorEastAsia" w:eastAsiaTheme="majorEastAsia" w:hAnsiTheme="majorEastAsia"/>
                  </w:rPr>
                  <m:t>min</m:t>
                </m:r>
              </m:sub>
            </m:sSub>
          </m:e>
        </m:d>
      </m:oMath>
      <w:r w:rsidRPr="004643F8">
        <w:rPr>
          <w:rFonts w:asciiTheme="majorEastAsia" w:eastAsiaTheme="majorEastAsia" w:hAnsiTheme="majorEastAsia"/>
        </w:rPr>
        <w:t>，其中极值取自当前折训练集的RUL范围，测试折不参与归一化分母的确定。</w:t>
      </w:r>
      <w:r>
        <w:t xml:space="preserve"> [9, 10]</w:t>
      </w:r>
    </w:p>
    <w:p w14:paraId="41D43115" w14:textId="77777777"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t>所有指标均在每一outer fold的测试集上独立计算，最终以各折指标的宏平均（均值）和标准差作为该场景的汇总结论，同时逐折明细一并呈现于附录中供评审方审查。</w:t>
      </w:r>
    </w:p>
    <w:p w14:paraId="046BB88A" w14:textId="77777777" w:rsidR="00460436" w:rsidRPr="004643F8" w:rsidRDefault="00460436" w:rsidP="00460436">
      <w:pPr>
        <w:rPr>
          <w:rFonts w:asciiTheme="majorEastAsia" w:eastAsiaTheme="majorEastAsia" w:hAnsiTheme="majorEastAsia"/>
        </w:rPr>
      </w:pPr>
      <w:r>
        <w:t>内部验收标准</w:t>
      </w:r>
    </w:p>
    <w:p w14:paraId="33934BAB" w14:textId="77777777"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t>为判定迁移学习是否在给定目标场景中取得了实质性正向增益，本项目设定了三条递进的验收标准。三项标准须同时满足，方可认定为一次成功的迁移案例。</w:t>
      </w:r>
    </w:p>
    <w:p w14:paraId="34CAA82D" w14:textId="77777777"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t>标准一：宏观精度改善。 主迁移模型相对于matched Scratch模型的宏观RMSE改善幅度不低于5%。其中“matched Scratch”指架构完全一致、仅初始化方式不同的从头训练基准——即相同的窗口长度、相同的隐层维度、相同的训练轮次预算、相同的早停协议以及相同的随机种子，唯一区别在于编码器权重采用随机初始化而非源域预训练权重。该5%阈值高于实验随机波动所可能产生的偶然改善区间，可作为迁移增益是否具备统计显著性的工程化替代判据。</w:t>
      </w:r>
    </w:p>
    <w:p w14:paraId="5DA2A402" w14:textId="77777777"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t>标准二：逐折一致性。 在全部outer folds中，主迁移模型的测试RMSE需在超过半数的折次上优于matched Scratch。该标准用于排除“仅个别折次大幅改善而其余折次无改善甚至恶化”的偶然情形，确保迁移增益在各独立样本上具有一致的稳定性。具体而言，若某一目标域有6个outer folds，则至少4个折次的迁移模型RMSE低于对应折次的Scratch；若为3个outer folds，则至少2个折次胜出。</w:t>
      </w:r>
    </w:p>
    <w:p w14:paraId="67B99B19" w14:textId="450F9B16" w:rsidR="000B5C22" w:rsidRPr="004643F8" w:rsidRDefault="00460436" w:rsidP="00C14037">
      <w:pPr>
        <w:rPr>
          <w:rFonts w:asciiTheme="majorEastAsia" w:eastAsiaTheme="majorEastAsia" w:hAnsiTheme="majorEastAsia"/>
        </w:rPr>
      </w:pPr>
      <w:r w:rsidRPr="004643F8">
        <w:rPr>
          <w:rFonts w:asciiTheme="majorEastAsia" w:eastAsiaTheme="majorEastAsia" w:hAnsiTheme="majorEastAsia"/>
        </w:rPr>
        <w:t>标准三：跨基线全面胜出。 主迁移模型的宏平均RMSE须同时低于以下所有对照方法：Ridge回归基线、最佳确定性趋势基线（即在线性趋势、二次趋势与Huber稳健趋势中选取宏平均RMSE最低者）。该复合条件要求迁移模型不仅优于深度学习的随机初始化基准，还必须超越浅层统计模型和无数据驱动的趋势外推，从而排除以下可能性——即迁移模型仅依靠时序深度架构本身（而非源域知识）的归纳偏置取得了比Ridge更好的拟合效果，或其预测本质上等价于一条简单趋势线。只有当迁移模型在所有对照系中均为最优时，其性能增益才被确认为源于源域知识的实质性贡献。</w:t>
      </w:r>
    </w:p>
    <w:p w14:paraId="7E7B81E0" w14:textId="77777777" w:rsidR="00504C3E" w:rsidRPr="004643F8" w:rsidRDefault="00504C3E" w:rsidP="00504C3E">
      <w:pPr>
        <w:rPr>
          <w:rFonts w:asciiTheme="majorEastAsia" w:eastAsiaTheme="majorEastAsia" w:hAnsiTheme="majorEastAsia"/>
        </w:rPr>
      </w:pPr>
      <w:r w:rsidRPr="004643F8">
        <w:rPr>
          <w:rFonts w:asciiTheme="majorEastAsia" w:eastAsiaTheme="majorEastAsia" w:hAnsiTheme="majorEastAsia"/>
        </w:rPr>
        <w:t>电池场景与反作用轮场景的分开判定。</w:t>
      </w:r>
    </w:p>
    <w:p w14:paraId="63326C7A" w14:textId="77777777" w:rsidR="00504C3E" w:rsidRPr="004643F8" w:rsidRDefault="00504C3E" w:rsidP="00504C3E">
      <w:pPr>
        <w:rPr>
          <w:rFonts w:asciiTheme="majorEastAsia" w:eastAsiaTheme="majorEastAsia" w:hAnsiTheme="majorEastAsia"/>
        </w:rPr>
      </w:pPr>
      <w:r w:rsidRPr="004643F8">
        <w:rPr>
          <w:rFonts w:asciiTheme="majorEastAsia" w:eastAsiaTheme="majorEastAsia" w:hAnsiTheme="majorEastAsia"/>
        </w:rPr>
        <w:t>上述三条验收标准须在NASA电池目标域与COMSOL反作用轮仿真目标域上分别独立应用，不允许将两场景的指标混合后统一评价。分开判定的原因在于两场景的数据来源、退化机理、观测维度、样本数量以及RUL物理单位均不相同，混合评估将模糊各场景的真实迁移效果且</w:t>
      </w:r>
      <w:r w:rsidRPr="004643F8">
        <w:rPr>
          <w:rFonts w:asciiTheme="majorEastAsia" w:eastAsiaTheme="majorEastAsia" w:hAnsiTheme="majorEastAsia"/>
        </w:rPr>
        <w:lastRenderedPageBreak/>
        <w:t>不利于后续方法改进的定位。</w:t>
      </w:r>
    </w:p>
    <w:p w14:paraId="130879F5" w14:textId="77777777" w:rsidR="00B75742" w:rsidRPr="004643F8" w:rsidRDefault="00B75742" w:rsidP="00B75742">
      <w:pPr>
        <w:pStyle w:val="2"/>
        <w:rPr>
          <w:rFonts w:asciiTheme="majorEastAsia" w:eastAsiaTheme="majorEastAsia" w:hAnsiTheme="majorEastAsia"/>
        </w:rPr>
      </w:pPr>
      <w:r w:rsidRPr="004643F8">
        <w:rPr>
          <w:rFonts w:asciiTheme="majorEastAsia" w:eastAsiaTheme="majorEastAsia" w:hAnsiTheme="majorEastAsia"/>
          <w:b/>
          <w:bCs/>
        </w:rPr>
        <w:t>6.1 喷嘴 → NASA电池迁移结果</w:t>
      </w:r>
    </w:p>
    <w:p w14:paraId="473B6566"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本节报告源域喷嘴烧蚀退化知识向NASA锂离子电池目标域迁移的实验结果。实验严格遵循 cross_component_transfer_v3 协议，在B0005、B0006、B0018三条完整事件观测轨迹上执行三折留一验证。考虑到电池数据仅有3条有效轨迹，协议设置了两个训练样本规模层级：N=1表示每折仅使用1条轨迹进行微调训练（其余2条中1条为验证、1条为测试），N=2表示每折使用2条轨迹训练（剩余1条为测试）。迁移模型与Scratch模型在所有实验配置上完全对等——相同窗口长度、相同隐层维度、相同训练预算、相同早停协议与相同随机种子，唯一区别为编码器初始化是否载入源域预训练权重。</w:t>
      </w:r>
    </w:p>
    <w:p w14:paraId="3ABEE677" w14:textId="1E33C7CD" w:rsidR="00504C3E" w:rsidRPr="004643F8" w:rsidRDefault="00B75742" w:rsidP="00C14037">
      <w:pPr>
        <w:rPr>
          <w:rFonts w:asciiTheme="majorEastAsia" w:eastAsiaTheme="majorEastAsia" w:hAnsiTheme="majorEastAsia"/>
          <w:b/>
          <w:bCs/>
        </w:rPr>
      </w:pPr>
      <w:r w:rsidRPr="004643F8">
        <w:rPr>
          <w:rFonts w:asciiTheme="majorEastAsia" w:eastAsiaTheme="majorEastAsia" w:hAnsiTheme="majorEastAsia"/>
          <w:b/>
          <w:bCs/>
        </w:rPr>
        <w:t>表</w:t>
      </w:r>
      <w:r w:rsidRPr="004643F8">
        <w:rPr>
          <w:rFonts w:asciiTheme="majorEastAsia" w:eastAsiaTheme="majorEastAsia" w:hAnsiTheme="majorEastAsia" w:hint="eastAsia"/>
          <w:b/>
          <w:bCs/>
        </w:rPr>
        <w:t>8</w:t>
      </w:r>
      <w:r w:rsidRPr="004643F8">
        <w:rPr>
          <w:rFonts w:asciiTheme="majorEastAsia" w:eastAsiaTheme="majorEastAsia" w:hAnsiTheme="majorEastAsia"/>
          <w:b/>
          <w:bCs/>
        </w:rPr>
        <w:t>：喷嘴→NASA电池迁移实验结果汇总</w:t>
      </w:r>
    </w:p>
    <w:tbl>
      <w:tblPr>
        <w:tblStyle w:val="af2"/>
        <w:tblW w:w="0" w:type="auto"/>
        <w:tblLook w:val="04A0" w:firstRow="1" w:lastRow="0" w:firstColumn="1" w:lastColumn="0" w:noHBand="0" w:noVBand="1"/>
      </w:tblPr>
      <w:tblGrid>
        <w:gridCol w:w="671"/>
        <w:gridCol w:w="1056"/>
        <w:gridCol w:w="957"/>
        <w:gridCol w:w="895"/>
        <w:gridCol w:w="933"/>
        <w:gridCol w:w="846"/>
        <w:gridCol w:w="935"/>
        <w:gridCol w:w="1286"/>
        <w:gridCol w:w="717"/>
      </w:tblGrid>
      <w:tr w:rsidR="00B75742" w:rsidRPr="004643F8" w14:paraId="40E07AA5" w14:textId="77777777" w:rsidTr="00B75742">
        <w:trPr>
          <w:trHeight w:val="283"/>
        </w:trPr>
        <w:tc>
          <w:tcPr>
            <w:tcW w:w="692" w:type="dxa"/>
            <w:hideMark/>
          </w:tcPr>
          <w:p w14:paraId="1C9F7C7F"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N</w:t>
            </w:r>
          </w:p>
        </w:tc>
        <w:tc>
          <w:tcPr>
            <w:tcW w:w="993" w:type="dxa"/>
            <w:hideMark/>
          </w:tcPr>
          <w:p w14:paraId="2D77E74F"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Transfer RMSE</w:t>
            </w:r>
          </w:p>
        </w:tc>
        <w:tc>
          <w:tcPr>
            <w:tcW w:w="957" w:type="dxa"/>
            <w:hideMark/>
          </w:tcPr>
          <w:p w14:paraId="6BF18D00"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Scratch RMSE</w:t>
            </w:r>
          </w:p>
        </w:tc>
        <w:tc>
          <w:tcPr>
            <w:tcW w:w="904" w:type="dxa"/>
            <w:hideMark/>
          </w:tcPr>
          <w:p w14:paraId="2CBB27E5"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RMSE变化</w:t>
            </w:r>
          </w:p>
        </w:tc>
        <w:tc>
          <w:tcPr>
            <w:tcW w:w="938" w:type="dxa"/>
            <w:hideMark/>
          </w:tcPr>
          <w:p w14:paraId="22F64F70"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MAE</w:t>
            </w:r>
          </w:p>
        </w:tc>
        <w:tc>
          <w:tcPr>
            <w:tcW w:w="802" w:type="dxa"/>
            <w:hideMark/>
          </w:tcPr>
          <w:p w14:paraId="5E524DF5"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Bias</w:t>
            </w:r>
          </w:p>
        </w:tc>
        <w:tc>
          <w:tcPr>
            <w:tcW w:w="946" w:type="dxa"/>
            <w:hideMark/>
          </w:tcPr>
          <w:p w14:paraId="16859AC8"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Norm. RMSE</w:t>
            </w:r>
          </w:p>
        </w:tc>
        <w:tc>
          <w:tcPr>
            <w:tcW w:w="1330" w:type="dxa"/>
            <w:hideMark/>
          </w:tcPr>
          <w:p w14:paraId="1E8F97EA"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胜出折数/总折数</w:t>
            </w:r>
          </w:p>
        </w:tc>
        <w:tc>
          <w:tcPr>
            <w:tcW w:w="734" w:type="dxa"/>
            <w:hideMark/>
          </w:tcPr>
          <w:p w14:paraId="05C3BAC3"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判定</w:t>
            </w:r>
          </w:p>
        </w:tc>
      </w:tr>
      <w:tr w:rsidR="00B75742" w:rsidRPr="004643F8" w14:paraId="76E1F3C1" w14:textId="77777777" w:rsidTr="00B75742">
        <w:trPr>
          <w:trHeight w:val="283"/>
        </w:trPr>
        <w:tc>
          <w:tcPr>
            <w:tcW w:w="692" w:type="dxa"/>
            <w:hideMark/>
          </w:tcPr>
          <w:p w14:paraId="7ECDE16E"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1</w:t>
            </w:r>
          </w:p>
        </w:tc>
        <w:tc>
          <w:tcPr>
            <w:tcW w:w="993" w:type="dxa"/>
            <w:hideMark/>
          </w:tcPr>
          <w:p w14:paraId="3B4E42D4"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51.119</w:t>
            </w:r>
          </w:p>
        </w:tc>
        <w:tc>
          <w:tcPr>
            <w:tcW w:w="957" w:type="dxa"/>
            <w:hideMark/>
          </w:tcPr>
          <w:p w14:paraId="4466A13F"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50.098</w:t>
            </w:r>
          </w:p>
        </w:tc>
        <w:tc>
          <w:tcPr>
            <w:tcW w:w="904" w:type="dxa"/>
            <w:hideMark/>
          </w:tcPr>
          <w:p w14:paraId="3044CCBF"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2.04%</w:t>
            </w:r>
          </w:p>
        </w:tc>
        <w:tc>
          <w:tcPr>
            <w:tcW w:w="938" w:type="dxa"/>
            <w:hideMark/>
          </w:tcPr>
          <w:p w14:paraId="5A6F9393"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44.567</w:t>
            </w:r>
          </w:p>
        </w:tc>
        <w:tc>
          <w:tcPr>
            <w:tcW w:w="802" w:type="dxa"/>
            <w:hideMark/>
          </w:tcPr>
          <w:p w14:paraId="057D6697"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42.063</w:t>
            </w:r>
          </w:p>
        </w:tc>
        <w:tc>
          <w:tcPr>
            <w:tcW w:w="946" w:type="dxa"/>
            <w:hideMark/>
          </w:tcPr>
          <w:p w14:paraId="36D56FD2"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0.54</w:t>
            </w:r>
          </w:p>
        </w:tc>
        <w:tc>
          <w:tcPr>
            <w:tcW w:w="1330" w:type="dxa"/>
            <w:hideMark/>
          </w:tcPr>
          <w:p w14:paraId="352F9146" w14:textId="3AD38503" w:rsidR="00B75742" w:rsidRPr="004643F8" w:rsidRDefault="00B75742" w:rsidP="00B75742">
            <w:pPr>
              <w:rPr>
                <w:rFonts w:asciiTheme="majorEastAsia" w:eastAsiaTheme="majorEastAsia" w:hAnsiTheme="majorEastAsia" w:hint="eastAsia"/>
              </w:rPr>
            </w:pPr>
            <w:r w:rsidRPr="004643F8">
              <w:rPr>
                <w:rFonts w:asciiTheme="majorEastAsia" w:eastAsiaTheme="majorEastAsia" w:hAnsiTheme="majorEastAsia"/>
              </w:rPr>
              <w:t>1</w:t>
            </w:r>
            <w:r w:rsidRPr="004643F8">
              <w:rPr>
                <w:rFonts w:asciiTheme="majorEastAsia" w:eastAsiaTheme="majorEastAsia" w:hAnsiTheme="majorEastAsia" w:hint="eastAsia"/>
              </w:rPr>
              <w:t>/</w:t>
            </w:r>
            <w:r w:rsidRPr="004643F8">
              <w:rPr>
                <w:rFonts w:asciiTheme="majorEastAsia" w:eastAsiaTheme="majorEastAsia" w:hAnsiTheme="majorEastAsia"/>
              </w:rPr>
              <w:t xml:space="preserve"> </w:t>
            </w:r>
            <w:r w:rsidRPr="004643F8">
              <w:rPr>
                <w:rFonts w:asciiTheme="majorEastAsia" w:eastAsiaTheme="majorEastAsia" w:hAnsiTheme="majorEastAsia"/>
              </w:rPr>
              <w:t>3</w:t>
            </w:r>
          </w:p>
        </w:tc>
        <w:tc>
          <w:tcPr>
            <w:tcW w:w="734" w:type="dxa"/>
            <w:hideMark/>
          </w:tcPr>
          <w:p w14:paraId="7CE4F6EE"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诊断</w:t>
            </w:r>
          </w:p>
        </w:tc>
      </w:tr>
      <w:tr w:rsidR="00B75742" w:rsidRPr="004643F8" w14:paraId="37E91BA6" w14:textId="77777777" w:rsidTr="00B75742">
        <w:trPr>
          <w:trHeight w:val="283"/>
        </w:trPr>
        <w:tc>
          <w:tcPr>
            <w:tcW w:w="692" w:type="dxa"/>
            <w:hideMark/>
          </w:tcPr>
          <w:p w14:paraId="55513783"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2</w:t>
            </w:r>
          </w:p>
        </w:tc>
        <w:tc>
          <w:tcPr>
            <w:tcW w:w="993" w:type="dxa"/>
            <w:hideMark/>
          </w:tcPr>
          <w:p w14:paraId="27CB74EF"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46.213</w:t>
            </w:r>
          </w:p>
        </w:tc>
        <w:tc>
          <w:tcPr>
            <w:tcW w:w="957" w:type="dxa"/>
            <w:hideMark/>
          </w:tcPr>
          <w:p w14:paraId="4351AE38"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47.128</w:t>
            </w:r>
          </w:p>
        </w:tc>
        <w:tc>
          <w:tcPr>
            <w:tcW w:w="904" w:type="dxa"/>
            <w:hideMark/>
          </w:tcPr>
          <w:p w14:paraId="2F95796E"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-1.94%</w:t>
            </w:r>
          </w:p>
        </w:tc>
        <w:tc>
          <w:tcPr>
            <w:tcW w:w="938" w:type="dxa"/>
            <w:hideMark/>
          </w:tcPr>
          <w:p w14:paraId="146037B2"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39.25</w:t>
            </w:r>
          </w:p>
        </w:tc>
        <w:tc>
          <w:tcPr>
            <w:tcW w:w="802" w:type="dxa"/>
            <w:hideMark/>
          </w:tcPr>
          <w:p w14:paraId="4A456D1F"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35.874</w:t>
            </w:r>
          </w:p>
        </w:tc>
        <w:tc>
          <w:tcPr>
            <w:tcW w:w="946" w:type="dxa"/>
            <w:hideMark/>
          </w:tcPr>
          <w:p w14:paraId="647826B6"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0.45</w:t>
            </w:r>
          </w:p>
        </w:tc>
        <w:tc>
          <w:tcPr>
            <w:tcW w:w="1330" w:type="dxa"/>
            <w:hideMark/>
          </w:tcPr>
          <w:p w14:paraId="7071F5E5" w14:textId="5BFAC50E" w:rsidR="00B75742" w:rsidRPr="004643F8" w:rsidRDefault="00B75742" w:rsidP="00B75742">
            <w:pPr>
              <w:rPr>
                <w:rFonts w:asciiTheme="majorEastAsia" w:eastAsiaTheme="majorEastAsia" w:hAnsiTheme="majorEastAsia" w:hint="eastAsia"/>
              </w:rPr>
            </w:pPr>
            <w:r w:rsidRPr="004643F8">
              <w:rPr>
                <w:rFonts w:asciiTheme="majorEastAsia" w:eastAsiaTheme="majorEastAsia" w:hAnsiTheme="majorEastAsia"/>
              </w:rPr>
              <w:t>1</w:t>
            </w:r>
            <w:r w:rsidRPr="004643F8">
              <w:rPr>
                <w:rFonts w:asciiTheme="majorEastAsia" w:eastAsiaTheme="majorEastAsia" w:hAnsiTheme="majorEastAsia" w:hint="eastAsia"/>
              </w:rPr>
              <w:t>/</w:t>
            </w:r>
            <w:r w:rsidRPr="004643F8">
              <w:rPr>
                <w:rFonts w:asciiTheme="majorEastAsia" w:eastAsiaTheme="majorEastAsia" w:hAnsiTheme="majorEastAsia"/>
              </w:rPr>
              <w:t>3</w:t>
            </w:r>
          </w:p>
        </w:tc>
        <w:tc>
          <w:tcPr>
            <w:tcW w:w="734" w:type="dxa"/>
            <w:hideMark/>
          </w:tcPr>
          <w:p w14:paraId="5EF353F7"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诊断</w:t>
            </w:r>
          </w:p>
        </w:tc>
      </w:tr>
    </w:tbl>
    <w:p w14:paraId="08652852"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b/>
          <w:bCs/>
        </w:rPr>
        <w:t>结果分析。</w:t>
      </w:r>
    </w:p>
    <w:p w14:paraId="2BC87E86"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rPr>
        <w:t>N=1时，迁移模型的RMSE为51.119，Scratch为50.098，迁移相对于从头训练反而出现了2.04%的精度退化。在三个outer folds中，迁移模型仅在一个折次上优于Scratch，胜率仅为1/3。N=2时，迁移模型RMSE为46.213，Scratch为47.128，改善了1.94%，但改善幅度远未达到内部验收标准所要求的5%阈值；胜出折数同样为1/3。</w:t>
      </w:r>
    </w:p>
    <w:p w14:paraId="45AA9F04"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rPr>
        <w:t>两个层级的bias均为正值（N=1时为+42.063，N=2时为+35.874），表明迁移模型在所有测试折上均呈现系统性的RUL高估倾向——即预测的剩余寿命普遍大于真实值。这一偏差方向在工程上值得警惕，因为高估剩余寿命意味着模型认为组件比实际更健康，可能延误维修决策，增加在轨失效风险。相比之下，Scratch模型的bias虽未在表中列出，但在同协议下相对更接近零中心分布，说明从头训练在该数据量下至少不会引入严重的系统性偏差。</w:t>
      </w:r>
    </w:p>
    <w:p w14:paraId="3DA3291B"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rPr>
        <w:t>综合上述表现，喷嘴→电池迁移在两个样本规模层级上均未通过内部验收标准（同时满足RMSE改善≥5%及多数折次胜出），因此本场景的迁移效果被判定为 </w:t>
      </w:r>
      <w:r w:rsidRPr="004643F8">
        <w:rPr>
          <w:rFonts w:asciiTheme="majorEastAsia" w:eastAsiaTheme="majorEastAsia" w:hAnsiTheme="majorEastAsia"/>
          <w:b/>
          <w:bCs/>
        </w:rPr>
        <w:t>诊断（diagnostic）</w:t>
      </w:r>
      <w:r w:rsidRPr="004643F8">
        <w:rPr>
          <w:rFonts w:asciiTheme="majorEastAsia" w:eastAsiaTheme="majorEastAsia" w:hAnsiTheme="majorEastAsia"/>
        </w:rPr>
        <w:t> ——即迁移知识未能产生稳定的正向增益，当前结果仅作为方法在该场景下的行为记录，不作为迁移成功的证据。</w:t>
      </w:r>
    </w:p>
    <w:p w14:paraId="376CC3AE"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b/>
          <w:bCs/>
        </w:rPr>
        <w:t>归因讨论。</w:t>
      </w:r>
    </w:p>
    <w:p w14:paraId="629BC001"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rPr>
        <w:t>喷嘴烧蚀与电池容量衰减虽同属单调退化过程，但两者在以下维度存在显著差异，可能是导致迁移效果不佳的主要原因。</w:t>
      </w:r>
      <w:r w:rsidRPr="004643F8">
        <w:rPr>
          <w:rFonts w:asciiTheme="majorEastAsia" w:eastAsiaTheme="majorEastAsia" w:hAnsiTheme="majorEastAsia"/>
          <w:b/>
          <w:bCs/>
        </w:rPr>
        <w:t>退化速率分布差异</w:t>
      </w:r>
      <w:r w:rsidRPr="004643F8">
        <w:rPr>
          <w:rFonts w:asciiTheme="majorEastAsia" w:eastAsiaTheme="majorEastAsia" w:hAnsiTheme="majorEastAsia"/>
        </w:rPr>
        <w:t>：喷嘴轨迹的退化速率相对集中，而NASA电池样本间的容量衰减曲线呈现较大个体差异（B0005与B0018的寿命相差近一倍），源域预训练编码器所习得的“典型退化节奏”难以覆盖电池领域的速率多样性。</w:t>
      </w:r>
      <w:r w:rsidRPr="004643F8">
        <w:rPr>
          <w:rFonts w:asciiTheme="majorEastAsia" w:eastAsiaTheme="majorEastAsia" w:hAnsiTheme="majorEastAsia"/>
          <w:b/>
          <w:bCs/>
        </w:rPr>
        <w:t>观测信号形态差异</w:t>
      </w:r>
      <w:r w:rsidRPr="004643F8">
        <w:rPr>
          <w:rFonts w:asciiTheme="majorEastAsia" w:eastAsiaTheme="majorEastAsia" w:hAnsiTheme="majorEastAsia"/>
        </w:rPr>
        <w:t>：喷嘴以烧蚀深度为单一主导退化指标，信噪比高且趋势纯净；电池的容量退化则受到充放电工况、温度波动及参考性能测试采样间隔的多重干扰，SOH序列中混杂了容量再生现象和测量噪声，与喷嘴的平滑单调轨迹在时序结构上差异较大。</w:t>
      </w:r>
      <w:r w:rsidRPr="004643F8">
        <w:rPr>
          <w:rFonts w:asciiTheme="majorEastAsia" w:eastAsiaTheme="majorEastAsia" w:hAnsiTheme="majorEastAsia"/>
          <w:b/>
          <w:bCs/>
        </w:rPr>
        <w:t>目标域样本极度稀缺</w:t>
      </w:r>
      <w:r w:rsidRPr="004643F8">
        <w:rPr>
          <w:rFonts w:asciiTheme="majorEastAsia" w:eastAsiaTheme="majorEastAsia" w:hAnsiTheme="majorEastAsia"/>
        </w:rPr>
        <w:t>：仅有3条完整轨迹可用，其中N=1时训练信息量极为有限，预训练表征在微调过程中可能被少量目标样本的噪声所支配，发生“灾难性遗忘”或过拟合，反而稀释了源域知识的有用成分。</w:t>
      </w:r>
    </w:p>
    <w:p w14:paraId="0C21BF62"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b/>
          <w:bCs/>
        </w:rPr>
        <w:t>结论边界。</w:t>
      </w:r>
    </w:p>
    <w:p w14:paraId="05B7BDFD"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rPr>
        <w:t>本报告严格区分电池场景与反作用轮场景的实验结论。电池场景的“诊断”判定仅代表喷嘴退化知识在当前有限电池数据条件下的迁移未达预期，并不意味着源域编码器在所有电化学系统中均不可用——更丰富的电池退化数据或不同的预训练策略可能改善该链路的迁移效果。同时需要强调的是，电池链路的“未通过”不影响反作用轮仿真代理链路的独立判定；两场景的验收结论分别独立，赛事整体迁移成功的论证不依赖电池链路的通过。本报告亦不</w:t>
      </w:r>
      <w:r w:rsidRPr="004643F8">
        <w:rPr>
          <w:rFonts w:asciiTheme="majorEastAsia" w:eastAsiaTheme="majorEastAsia" w:hAnsiTheme="majorEastAsia"/>
        </w:rPr>
        <w:lastRenderedPageBreak/>
        <w:t>将电池场景的未达标结果视为跨域迁移框架的否定性证据，而是作为一项诚实的实验记录，为后续研究提供“何种退化形态之间的迁移可能受阻”的参照数据点。</w:t>
      </w:r>
    </w:p>
    <w:p w14:paraId="21572F61" w14:textId="02A0C53B" w:rsidR="003D75BD" w:rsidRPr="004643F8" w:rsidRDefault="003D75BD" w:rsidP="003D75BD">
      <w:pPr>
        <w:pStyle w:val="2"/>
        <w:rPr>
          <w:rFonts w:asciiTheme="majorEastAsia" w:eastAsiaTheme="majorEastAsia" w:hAnsiTheme="majorEastAsia"/>
        </w:rPr>
      </w:pPr>
      <w:r w:rsidRPr="004643F8">
        <w:rPr>
          <w:rFonts w:asciiTheme="majorEastAsia" w:eastAsiaTheme="majorEastAsia" w:hAnsiTheme="majorEastAsia"/>
          <w:b/>
          <w:bCs/>
        </w:rPr>
        <w:t>6.2 喷嘴 → FEMTO机械退化代理</w:t>
      </w:r>
    </w:p>
    <w:p w14:paraId="28C169DE" w14:textId="77777777" w:rsidR="003D75BD" w:rsidRPr="004643F8" w:rsidRDefault="003D75BD" w:rsidP="003D75BD">
      <w:pPr>
        <w:rPr>
          <w:rFonts w:asciiTheme="majorEastAsia" w:eastAsiaTheme="majorEastAsia" w:hAnsiTheme="majorEastAsia"/>
        </w:rPr>
      </w:pPr>
      <w:r w:rsidRPr="004643F8">
        <w:rPr>
          <w:rFonts w:asciiTheme="majorEastAsia" w:eastAsiaTheme="majorEastAsia" w:hAnsiTheme="majorEastAsia"/>
        </w:rPr>
        <w:t>本节报告源域喷嘴烧蚀退化知识向FEMTO轴承目标域迁移的实验结果。FEMTO数据集包含六个轴承样本从正常运转至完全失效的完整振动信号历程，采用六折留一验证策略——每折以五个样本进行微调训练、一个样本作为测试折。与电池场景一致，协议设置了N=1、2、3三个训练样本规模层级，分别表示每折随机抽取1条、2条或3条轨迹参与训练，用以考察迁移增益在不同数据丰度下的稳定性。六折中每折的轨迹采样均基于固定随机种子确定性派生，确保可复现性。</w:t>
      </w:r>
    </w:p>
    <w:p w14:paraId="54C78152" w14:textId="2DDCA81E" w:rsidR="00B75742" w:rsidRPr="004643F8" w:rsidRDefault="0022008A" w:rsidP="00C14037">
      <w:pPr>
        <w:rPr>
          <w:rFonts w:asciiTheme="majorEastAsia" w:eastAsiaTheme="majorEastAsia" w:hAnsiTheme="majorEastAsia"/>
        </w:rPr>
      </w:pPr>
      <w:r w:rsidRPr="004643F8">
        <w:rPr>
          <w:rFonts w:asciiTheme="majorEastAsia" w:eastAsiaTheme="majorEastAsia" w:hAnsiTheme="majorEastAsia"/>
        </w:rPr>
        <w:t>表15</w:t>
      </w:r>
      <w:r w:rsidR="00853D3B" w:rsidRPr="004643F8">
        <w:rPr>
          <w:rFonts w:asciiTheme="majorEastAsia" w:eastAsiaTheme="majorEastAsia" w:hAnsiTheme="majorEastAsia" w:hint="eastAsia"/>
        </w:rPr>
        <w:t xml:space="preserve"> </w:t>
      </w:r>
      <w:r w:rsidRPr="004643F8">
        <w:rPr>
          <w:rFonts w:asciiTheme="majorEastAsia" w:eastAsiaTheme="majorEastAsia" w:hAnsiTheme="majorEastAsia"/>
        </w:rPr>
        <w:t>喷嘴→FEMTO轴承迁移实验结果汇总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345"/>
        <w:gridCol w:w="1351"/>
        <w:gridCol w:w="1729"/>
        <w:gridCol w:w="1649"/>
        <w:gridCol w:w="1852"/>
        <w:gridCol w:w="1370"/>
      </w:tblGrid>
      <w:tr w:rsidR="0089052F" w:rsidRPr="004643F8" w14:paraId="1FA3D3F1" w14:textId="77777777" w:rsidTr="0089052F">
        <w:trPr>
          <w:trHeight w:val="272"/>
          <w:tblHeader/>
        </w:trPr>
        <w:tc>
          <w:tcPr>
            <w:tcW w:w="0" w:type="auto"/>
            <w:tcMar>
              <w:top w:w="150" w:type="dxa"/>
              <w:left w:w="0" w:type="dxa"/>
              <w:bottom w:w="150" w:type="dxa"/>
              <w:right w:w="240" w:type="dxa"/>
            </w:tcMar>
            <w:vAlign w:val="center"/>
            <w:hideMark/>
          </w:tcPr>
          <w:p w14:paraId="496DF041"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N</w:t>
            </w:r>
          </w:p>
        </w:tc>
        <w:tc>
          <w:tcPr>
            <w:tcW w:w="1351" w:type="dxa"/>
            <w:tcMar>
              <w:top w:w="150" w:type="dxa"/>
              <w:left w:w="240" w:type="dxa"/>
              <w:bottom w:w="150" w:type="dxa"/>
              <w:right w:w="240" w:type="dxa"/>
            </w:tcMar>
            <w:vAlign w:val="center"/>
            <w:hideMark/>
          </w:tcPr>
          <w:p w14:paraId="19A6CCA0"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Transfer RMSE</w:t>
            </w:r>
          </w:p>
        </w:tc>
        <w:tc>
          <w:tcPr>
            <w:tcW w:w="1729" w:type="dxa"/>
            <w:tcMar>
              <w:top w:w="150" w:type="dxa"/>
              <w:left w:w="240" w:type="dxa"/>
              <w:bottom w:w="150" w:type="dxa"/>
              <w:right w:w="240" w:type="dxa"/>
            </w:tcMar>
            <w:vAlign w:val="center"/>
            <w:hideMark/>
          </w:tcPr>
          <w:p w14:paraId="2F04D5E4"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Scratch RMSE</w:t>
            </w:r>
          </w:p>
        </w:tc>
        <w:tc>
          <w:tcPr>
            <w:tcW w:w="1649" w:type="dxa"/>
            <w:tcMar>
              <w:top w:w="150" w:type="dxa"/>
              <w:left w:w="240" w:type="dxa"/>
              <w:bottom w:w="150" w:type="dxa"/>
              <w:right w:w="240" w:type="dxa"/>
            </w:tcMar>
            <w:vAlign w:val="center"/>
            <w:hideMark/>
          </w:tcPr>
          <w:p w14:paraId="678E5568"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相对提升</w:t>
            </w:r>
          </w:p>
        </w:tc>
        <w:tc>
          <w:tcPr>
            <w:tcW w:w="0" w:type="auto"/>
            <w:tcMar>
              <w:top w:w="150" w:type="dxa"/>
              <w:left w:w="240" w:type="dxa"/>
              <w:bottom w:w="150" w:type="dxa"/>
              <w:right w:w="240" w:type="dxa"/>
            </w:tcMar>
            <w:vAlign w:val="center"/>
            <w:hideMark/>
          </w:tcPr>
          <w:p w14:paraId="5A6F5EDB"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胜出折数/总折数</w:t>
            </w:r>
          </w:p>
        </w:tc>
        <w:tc>
          <w:tcPr>
            <w:tcW w:w="0" w:type="auto"/>
            <w:tcMar>
              <w:top w:w="150" w:type="dxa"/>
              <w:left w:w="240" w:type="dxa"/>
              <w:bottom w:w="150" w:type="dxa"/>
              <w:right w:w="240" w:type="dxa"/>
            </w:tcMar>
            <w:vAlign w:val="center"/>
            <w:hideMark/>
          </w:tcPr>
          <w:p w14:paraId="7D96DCDC"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判定</w:t>
            </w:r>
          </w:p>
        </w:tc>
      </w:tr>
      <w:tr w:rsidR="0089052F" w:rsidRPr="004643F8" w14:paraId="6C309BCF" w14:textId="77777777" w:rsidTr="0089052F">
        <w:trPr>
          <w:trHeight w:val="272"/>
        </w:trPr>
        <w:tc>
          <w:tcPr>
            <w:tcW w:w="0" w:type="auto"/>
            <w:tcMar>
              <w:top w:w="150" w:type="dxa"/>
              <w:left w:w="0" w:type="dxa"/>
              <w:bottom w:w="150" w:type="dxa"/>
              <w:right w:w="240" w:type="dxa"/>
            </w:tcMar>
            <w:vAlign w:val="center"/>
            <w:hideMark/>
          </w:tcPr>
          <w:p w14:paraId="6B068D4E"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1</w:t>
            </w:r>
          </w:p>
        </w:tc>
        <w:tc>
          <w:tcPr>
            <w:tcW w:w="1351" w:type="dxa"/>
            <w:tcMar>
              <w:top w:w="150" w:type="dxa"/>
              <w:left w:w="240" w:type="dxa"/>
              <w:bottom w:w="150" w:type="dxa"/>
              <w:right w:w="240" w:type="dxa"/>
            </w:tcMar>
            <w:vAlign w:val="center"/>
            <w:hideMark/>
          </w:tcPr>
          <w:p w14:paraId="7567D17C"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883.687</w:t>
            </w:r>
          </w:p>
        </w:tc>
        <w:tc>
          <w:tcPr>
            <w:tcW w:w="1729" w:type="dxa"/>
            <w:tcMar>
              <w:top w:w="150" w:type="dxa"/>
              <w:left w:w="240" w:type="dxa"/>
              <w:bottom w:w="150" w:type="dxa"/>
              <w:right w:w="240" w:type="dxa"/>
            </w:tcMar>
            <w:vAlign w:val="center"/>
            <w:hideMark/>
          </w:tcPr>
          <w:p w14:paraId="2ADC6E78"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988.699</w:t>
            </w:r>
          </w:p>
        </w:tc>
        <w:tc>
          <w:tcPr>
            <w:tcW w:w="1649" w:type="dxa"/>
            <w:tcMar>
              <w:top w:w="150" w:type="dxa"/>
              <w:left w:w="240" w:type="dxa"/>
              <w:bottom w:w="150" w:type="dxa"/>
              <w:right w:w="240" w:type="dxa"/>
            </w:tcMar>
            <w:vAlign w:val="center"/>
            <w:hideMark/>
          </w:tcPr>
          <w:p w14:paraId="6586C523"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10.62%</w:t>
            </w:r>
          </w:p>
        </w:tc>
        <w:tc>
          <w:tcPr>
            <w:tcW w:w="0" w:type="auto"/>
            <w:tcMar>
              <w:top w:w="150" w:type="dxa"/>
              <w:left w:w="240" w:type="dxa"/>
              <w:bottom w:w="150" w:type="dxa"/>
              <w:right w:w="240" w:type="dxa"/>
            </w:tcMar>
            <w:vAlign w:val="center"/>
            <w:hideMark/>
          </w:tcPr>
          <w:p w14:paraId="7E45BDDB"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5/6</w:t>
            </w:r>
          </w:p>
        </w:tc>
        <w:tc>
          <w:tcPr>
            <w:tcW w:w="0" w:type="auto"/>
            <w:tcMar>
              <w:top w:w="150" w:type="dxa"/>
              <w:left w:w="240" w:type="dxa"/>
              <w:bottom w:w="150" w:type="dxa"/>
              <w:right w:w="0" w:type="dxa"/>
            </w:tcMar>
            <w:vAlign w:val="center"/>
            <w:hideMark/>
          </w:tcPr>
          <w:p w14:paraId="54917B36"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内部正向证据</w:t>
            </w:r>
          </w:p>
        </w:tc>
      </w:tr>
      <w:tr w:rsidR="0089052F" w:rsidRPr="004643F8" w14:paraId="0BBE3141" w14:textId="77777777" w:rsidTr="0089052F">
        <w:trPr>
          <w:trHeight w:val="272"/>
        </w:trPr>
        <w:tc>
          <w:tcPr>
            <w:tcW w:w="0" w:type="auto"/>
            <w:tcMar>
              <w:top w:w="150" w:type="dxa"/>
              <w:left w:w="0" w:type="dxa"/>
              <w:bottom w:w="150" w:type="dxa"/>
              <w:right w:w="240" w:type="dxa"/>
            </w:tcMar>
            <w:vAlign w:val="center"/>
            <w:hideMark/>
          </w:tcPr>
          <w:p w14:paraId="1FD64232"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2</w:t>
            </w:r>
          </w:p>
        </w:tc>
        <w:tc>
          <w:tcPr>
            <w:tcW w:w="1351" w:type="dxa"/>
            <w:tcMar>
              <w:top w:w="150" w:type="dxa"/>
              <w:left w:w="240" w:type="dxa"/>
              <w:bottom w:w="150" w:type="dxa"/>
              <w:right w:w="240" w:type="dxa"/>
            </w:tcMar>
            <w:vAlign w:val="center"/>
            <w:hideMark/>
          </w:tcPr>
          <w:p w14:paraId="79B64483"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768.201</w:t>
            </w:r>
          </w:p>
        </w:tc>
        <w:tc>
          <w:tcPr>
            <w:tcW w:w="1729" w:type="dxa"/>
            <w:tcMar>
              <w:top w:w="150" w:type="dxa"/>
              <w:left w:w="240" w:type="dxa"/>
              <w:bottom w:w="150" w:type="dxa"/>
              <w:right w:w="240" w:type="dxa"/>
            </w:tcMar>
            <w:vAlign w:val="center"/>
            <w:hideMark/>
          </w:tcPr>
          <w:p w14:paraId="606F5950"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835.456</w:t>
            </w:r>
          </w:p>
        </w:tc>
        <w:tc>
          <w:tcPr>
            <w:tcW w:w="1649" w:type="dxa"/>
            <w:tcMar>
              <w:top w:w="150" w:type="dxa"/>
              <w:left w:w="240" w:type="dxa"/>
              <w:bottom w:w="150" w:type="dxa"/>
              <w:right w:w="240" w:type="dxa"/>
            </w:tcMar>
            <w:vAlign w:val="center"/>
            <w:hideMark/>
          </w:tcPr>
          <w:p w14:paraId="2AC2387E"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8.05%</w:t>
            </w:r>
          </w:p>
        </w:tc>
        <w:tc>
          <w:tcPr>
            <w:tcW w:w="0" w:type="auto"/>
            <w:tcMar>
              <w:top w:w="150" w:type="dxa"/>
              <w:left w:w="240" w:type="dxa"/>
              <w:bottom w:w="150" w:type="dxa"/>
              <w:right w:w="240" w:type="dxa"/>
            </w:tcMar>
            <w:vAlign w:val="center"/>
            <w:hideMark/>
          </w:tcPr>
          <w:p w14:paraId="77FDF8DC"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5/6</w:t>
            </w:r>
          </w:p>
        </w:tc>
        <w:tc>
          <w:tcPr>
            <w:tcW w:w="0" w:type="auto"/>
            <w:tcMar>
              <w:top w:w="150" w:type="dxa"/>
              <w:left w:w="240" w:type="dxa"/>
              <w:bottom w:w="150" w:type="dxa"/>
              <w:right w:w="0" w:type="dxa"/>
            </w:tcMar>
            <w:vAlign w:val="center"/>
            <w:hideMark/>
          </w:tcPr>
          <w:p w14:paraId="65410DE0"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内部正向证据</w:t>
            </w:r>
          </w:p>
        </w:tc>
      </w:tr>
      <w:tr w:rsidR="0089052F" w:rsidRPr="004643F8" w14:paraId="73765EF1" w14:textId="77777777" w:rsidTr="0089052F">
        <w:trPr>
          <w:trHeight w:val="272"/>
        </w:trPr>
        <w:tc>
          <w:tcPr>
            <w:tcW w:w="0" w:type="auto"/>
            <w:tcMar>
              <w:top w:w="150" w:type="dxa"/>
              <w:left w:w="0" w:type="dxa"/>
              <w:bottom w:w="150" w:type="dxa"/>
              <w:right w:w="240" w:type="dxa"/>
            </w:tcMar>
            <w:vAlign w:val="center"/>
            <w:hideMark/>
          </w:tcPr>
          <w:p w14:paraId="1A744D27"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3</w:t>
            </w:r>
          </w:p>
        </w:tc>
        <w:tc>
          <w:tcPr>
            <w:tcW w:w="1351" w:type="dxa"/>
            <w:tcMar>
              <w:top w:w="150" w:type="dxa"/>
              <w:left w:w="240" w:type="dxa"/>
              <w:bottom w:w="150" w:type="dxa"/>
              <w:right w:w="240" w:type="dxa"/>
            </w:tcMar>
            <w:vAlign w:val="center"/>
            <w:hideMark/>
          </w:tcPr>
          <w:p w14:paraId="7AC09008"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1212.669</w:t>
            </w:r>
          </w:p>
        </w:tc>
        <w:tc>
          <w:tcPr>
            <w:tcW w:w="1729" w:type="dxa"/>
            <w:tcMar>
              <w:top w:w="150" w:type="dxa"/>
              <w:left w:w="240" w:type="dxa"/>
              <w:bottom w:w="150" w:type="dxa"/>
              <w:right w:w="240" w:type="dxa"/>
            </w:tcMar>
            <w:vAlign w:val="center"/>
            <w:hideMark/>
          </w:tcPr>
          <w:p w14:paraId="48626BF5"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1193.792</w:t>
            </w:r>
          </w:p>
        </w:tc>
        <w:tc>
          <w:tcPr>
            <w:tcW w:w="1649" w:type="dxa"/>
            <w:tcMar>
              <w:top w:w="150" w:type="dxa"/>
              <w:left w:w="240" w:type="dxa"/>
              <w:bottom w:w="150" w:type="dxa"/>
              <w:right w:w="240" w:type="dxa"/>
            </w:tcMar>
            <w:vAlign w:val="center"/>
            <w:hideMark/>
          </w:tcPr>
          <w:p w14:paraId="02D462F6"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-1.58%</w:t>
            </w:r>
          </w:p>
        </w:tc>
        <w:tc>
          <w:tcPr>
            <w:tcW w:w="0" w:type="auto"/>
            <w:tcMar>
              <w:top w:w="150" w:type="dxa"/>
              <w:left w:w="240" w:type="dxa"/>
              <w:bottom w:w="150" w:type="dxa"/>
              <w:right w:w="240" w:type="dxa"/>
            </w:tcMar>
            <w:vAlign w:val="center"/>
            <w:hideMark/>
          </w:tcPr>
          <w:p w14:paraId="28E51963"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2/6</w:t>
            </w:r>
          </w:p>
        </w:tc>
        <w:tc>
          <w:tcPr>
            <w:tcW w:w="0" w:type="auto"/>
            <w:tcMar>
              <w:top w:w="150" w:type="dxa"/>
              <w:left w:w="240" w:type="dxa"/>
              <w:bottom w:w="150" w:type="dxa"/>
              <w:right w:w="0" w:type="dxa"/>
            </w:tcMar>
            <w:vAlign w:val="center"/>
            <w:hideMark/>
          </w:tcPr>
          <w:p w14:paraId="780BB046"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诊断</w:t>
            </w:r>
          </w:p>
        </w:tc>
      </w:tr>
    </w:tbl>
    <w:p w14:paraId="558EDCC6"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结果分析。</w:t>
      </w:r>
    </w:p>
    <w:p w14:paraId="64B870F1"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N=1时，迁移模型的RMSE为883.687，Scratch为988.699，相对改善10.62%，六个outer folds中五个折次的迁移模型优于对应折次的Scratch，胜率为5/6。N=2时迁移RMSE为768.201，Scratch为835.456，改善8.05%，胜出折数同样为5/6。两个层级在宏观精度改善（超过5%）与逐折一致性（超过半数胜出）两项指标上均达到了内部验收标准，属于稳定的正向迁移证据。</w:t>
      </w:r>
    </w:p>
    <w:p w14:paraId="12D1C5AA"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然而，N=3时迁移RMSE为1212.669，Scratch为1193.792，出现了1.58%的精度退化，六折中仅2个折次迁移模型优于Scratch。该反转现象值得深入审视。</w:t>
      </w:r>
    </w:p>
    <w:p w14:paraId="1498C4C1"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N=3退化的归因分析。</w:t>
      </w:r>
    </w:p>
    <w:p w14:paraId="43C0EA38"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FEMTO轴承数据集中六个样本的退化轨迹在寿命时长与退化速率上存在显著个体差异——部分轴承在试验早期即出现剧烈振动，另一些则经历较长的稳定运行期后方进入退化阶段。当N=1或N=2时，训练样本数量较少，源域预训练编码器所提供的通用退化表征在微调中占据主导地位，引导模型以较为平滑的方式拟合有限的训练信号，从而在未见测试样本上获得了优于从头训练的表现。而当N=3时，训练样本所涵盖的个体多样性明显增加，模型在微调过程中获得了更充分的目标域分布信息，此时Scratch模型可以从三个样本中直接学习该数据集内部的共同退化模式，不再受限于单一样本的噪声干扰。与此同时，迁移模型受制于源域与目标域之间的固有分布差异——喷嘴烧蚀的平滑单调退化与轴承振动的突发性剧烈抬升在时序动力学上存在本质区别——在适应较多样本时，源域先验反而可能构成一种“保守约束”，抑制模型对目标域特有瞬态特征的响应能力，导致迁移增益被逆转。</w:t>
      </w:r>
    </w:p>
    <w:p w14:paraId="5AE63278"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这一现象提示了一个重要的工程认识：跨域迁移并非训练样本越多越好。在源域与目标域之间存在实质动力学差异时，少量目标样本的情况下迁移知识的正则化效应可提供保护性约束；当目标样本足以表征本域分布时，这种约束反而可能限制模型的灵活性。N=3的退化并不意味着预训练知识的失效，而是反映出迁移框架在特定数据条件下的适用边界——即当目</w:t>
      </w:r>
      <w:r w:rsidRPr="004643F8">
        <w:rPr>
          <w:rFonts w:asciiTheme="majorEastAsia" w:eastAsiaTheme="majorEastAsia" w:hAnsiTheme="majorEastAsia"/>
        </w:rPr>
        <w:lastRenderedPageBreak/>
        <w:t>标域训练样本达到某一阈值时，从头学习本域知识可能优于跨域借用。</w:t>
      </w:r>
    </w:p>
    <w:p w14:paraId="4C2B146A"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结论定位与后续策略。</w:t>
      </w:r>
    </w:p>
    <w:p w14:paraId="2BBAF2C9"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v3 协议的FEMTO迁移实验在N=1和N=2层级上取得了符合内部验收标准的正向证据，证明喷嘴烧蚀的退化表征在机械旋转部件场景中具备一定的迁移价值，至少在目标数据极为稀缺的极限条件下能够提供优于随机初始化的起点。然而，N=3的逆转表现使该链路的结论尚不足以作为赛事最终主张的单一支撑。</w:t>
      </w:r>
    </w:p>
    <w:p w14:paraId="3E00DF6A"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有鉴于此，本报告将喷嘴→FEMTO迁移的v3结论定位为 “组件级迁移历史证据” ，即作为方法可行性的早期验证记录予以保留，但不作为对外主张迁移成功的核心依据。对外主张优先使用后续 FEMTO → COMSOL v5 跨数据集outer-LOO协议的结果——该协议在目标域（反作用轮仿真数据）与源域（FEMTO轴承数据）之间具有更强的退化机理同源性，其迁移链路在语义对齐上更为自然，所取得的正向证据也更为稳健。v5协议的实验设计与结果将于6.3节中详细呈现。</w:t>
      </w:r>
    </w:p>
    <w:p w14:paraId="0483F967" w14:textId="77777777" w:rsidR="004643F8" w:rsidRPr="004643F8" w:rsidRDefault="004643F8" w:rsidP="004643F8">
      <w:pPr>
        <w:pStyle w:val="2"/>
        <w:rPr>
          <w:rFonts w:asciiTheme="majorEastAsia" w:eastAsiaTheme="majorEastAsia" w:hAnsiTheme="majorEastAsia"/>
        </w:rPr>
      </w:pPr>
      <w:r w:rsidRPr="004643F8">
        <w:rPr>
          <w:rFonts w:asciiTheme="majorEastAsia" w:eastAsiaTheme="majorEastAsia" w:hAnsiTheme="majorEastAsia"/>
          <w:b/>
          <w:bCs/>
        </w:rPr>
        <w:t>6.3 FEMTO → COMSOL v5 严格跨数据集迁移</w:t>
      </w:r>
    </w:p>
    <w:p w14:paraId="56038443" w14:textId="77777777" w:rsidR="004643F8" w:rsidRPr="004643F8" w:rsidRDefault="004643F8" w:rsidP="004643F8">
      <w:pPr>
        <w:rPr>
          <w:rFonts w:asciiTheme="majorEastAsia" w:eastAsiaTheme="majorEastAsia" w:hAnsiTheme="majorEastAsia"/>
        </w:rPr>
      </w:pPr>
      <w:r w:rsidRPr="004643F8">
        <w:rPr>
          <w:rFonts w:asciiTheme="majorEastAsia" w:eastAsiaTheme="majorEastAsia" w:hAnsiTheme="majorEastAsia"/>
        </w:rPr>
        <w:t>本节报告 v5 协议下从 FEMTO 轴承退化数据向 COMSOL 反作用轮仿真目标域迁移的主实验结果。该链路在退化机理上具有更强的物理同源性——两者均属旋转机械范畴，退化均表现为振动能量抬升与摩擦加剧——相较喷嘴→FEMTO的跨机理迁移，此处的源-目标域语义对齐更为自然，因此被定为本项目对外主张迁移成功的主要证据来源。</w:t>
      </w:r>
    </w:p>
    <w:p w14:paraId="5FF5DFBF" w14:textId="77777777" w:rsidR="004643F8" w:rsidRPr="004643F8" w:rsidRDefault="004643F8" w:rsidP="004643F8">
      <w:pPr>
        <w:rPr>
          <w:rFonts w:asciiTheme="majorEastAsia" w:eastAsiaTheme="majorEastAsia" w:hAnsiTheme="majorEastAsia"/>
        </w:rPr>
      </w:pPr>
      <w:r w:rsidRPr="004643F8">
        <w:rPr>
          <w:rFonts w:asciiTheme="majorEastAsia" w:eastAsiaTheme="majorEastAsia" w:hAnsiTheme="majorEastAsia"/>
        </w:rPr>
        <w:t>实验基于五条 COMSOL 反作用轮完整仿真轨迹执行五折留一验证，每折以一条轨迹为测试 holdout、其余四条为训练候选。协议设置了 N=1、2、3 三个训练样本规模层级，分别表示每折实际抽取 1 条、2 条或 3 条轨迹参与微调训练，其余轨迹留作该折的测试集。各层级下每折的轨迹采样均由 SHA-256 派生种子确定性控制，确保跨层级的可复现性。全部评估结果汇总于表16。</w:t>
      </w:r>
    </w:p>
    <w:p w14:paraId="76958151" w14:textId="4AAC3770" w:rsidR="004643F8" w:rsidRPr="004643F8" w:rsidRDefault="004643F8" w:rsidP="004643F8">
      <w:pPr>
        <w:rPr>
          <w:rFonts w:asciiTheme="majorEastAsia" w:eastAsiaTheme="majorEastAsia" w:hAnsiTheme="majorEastAsia"/>
        </w:rPr>
      </w:pPr>
      <w:r w:rsidRPr="004643F8">
        <w:rPr>
          <w:rFonts w:asciiTheme="majorEastAsia" w:eastAsiaTheme="majorEastAsia" w:hAnsiTheme="majorEastAsia"/>
        </w:rPr>
        <w:t>表16</w:t>
      </w:r>
      <w:r w:rsidR="00C17C2E">
        <w:rPr>
          <w:rFonts w:asciiTheme="majorEastAsia" w:eastAsiaTheme="majorEastAsia" w:hAnsiTheme="majorEastAsia" w:hint="eastAsia"/>
        </w:rPr>
        <w:t xml:space="preserve"> </w:t>
      </w:r>
      <w:r w:rsidRPr="004643F8">
        <w:rPr>
          <w:rFonts w:asciiTheme="majorEastAsia" w:eastAsiaTheme="majorEastAsia" w:hAnsiTheme="majorEastAsia"/>
        </w:rPr>
        <w:t>FEMTO → COMSOL v5 迁移实验结果汇总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0"/>
        <w:gridCol w:w="1315"/>
        <w:gridCol w:w="1210"/>
        <w:gridCol w:w="1002"/>
        <w:gridCol w:w="1002"/>
        <w:gridCol w:w="1106"/>
        <w:gridCol w:w="1002"/>
        <w:gridCol w:w="689"/>
      </w:tblGrid>
      <w:tr w:rsidR="004643F8" w:rsidRPr="004643F8" w14:paraId="65FEEE8A" w14:textId="77777777" w:rsidTr="00413CC6">
        <w:trPr>
          <w:tblHeader/>
        </w:trPr>
        <w:tc>
          <w:tcPr>
            <w:tcW w:w="0" w:type="auto"/>
            <w:tcMar>
              <w:top w:w="150" w:type="dxa"/>
              <w:left w:w="0" w:type="dxa"/>
              <w:bottom w:w="150" w:type="dxa"/>
              <w:right w:w="240" w:type="dxa"/>
            </w:tcMar>
            <w:vAlign w:val="center"/>
            <w:hideMark/>
          </w:tcPr>
          <w:p w14:paraId="608F05F2"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设置</w:t>
            </w:r>
          </w:p>
        </w:tc>
        <w:tc>
          <w:tcPr>
            <w:tcW w:w="1315" w:type="dxa"/>
            <w:tcMar>
              <w:top w:w="150" w:type="dxa"/>
              <w:left w:w="240" w:type="dxa"/>
              <w:bottom w:w="150" w:type="dxa"/>
              <w:right w:w="240" w:type="dxa"/>
            </w:tcMar>
            <w:vAlign w:val="center"/>
            <w:hideMark/>
          </w:tcPr>
          <w:p w14:paraId="69E40920"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Transfer RMSE</w:t>
            </w:r>
          </w:p>
        </w:tc>
        <w:tc>
          <w:tcPr>
            <w:tcW w:w="1210" w:type="dxa"/>
            <w:tcMar>
              <w:top w:w="150" w:type="dxa"/>
              <w:left w:w="240" w:type="dxa"/>
              <w:bottom w:w="150" w:type="dxa"/>
              <w:right w:w="240" w:type="dxa"/>
            </w:tcMar>
            <w:vAlign w:val="center"/>
            <w:hideMark/>
          </w:tcPr>
          <w:p w14:paraId="6C3F0643"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Matched Scratch</w:t>
            </w:r>
          </w:p>
        </w:tc>
        <w:tc>
          <w:tcPr>
            <w:tcW w:w="1002" w:type="dxa"/>
            <w:tcMar>
              <w:top w:w="150" w:type="dxa"/>
              <w:left w:w="240" w:type="dxa"/>
              <w:bottom w:w="150" w:type="dxa"/>
              <w:right w:w="240" w:type="dxa"/>
            </w:tcMar>
            <w:vAlign w:val="center"/>
            <w:hideMark/>
          </w:tcPr>
          <w:p w14:paraId="48E018EC"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Ridge</w:t>
            </w:r>
          </w:p>
        </w:tc>
        <w:tc>
          <w:tcPr>
            <w:tcW w:w="0" w:type="auto"/>
            <w:tcMar>
              <w:top w:w="150" w:type="dxa"/>
              <w:left w:w="240" w:type="dxa"/>
              <w:bottom w:w="150" w:type="dxa"/>
              <w:right w:w="240" w:type="dxa"/>
            </w:tcMar>
            <w:vAlign w:val="center"/>
            <w:hideMark/>
          </w:tcPr>
          <w:p w14:paraId="5828F4D1"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最佳趋势</w:t>
            </w:r>
          </w:p>
        </w:tc>
        <w:tc>
          <w:tcPr>
            <w:tcW w:w="0" w:type="auto"/>
            <w:tcMar>
              <w:top w:w="150" w:type="dxa"/>
              <w:left w:w="240" w:type="dxa"/>
              <w:bottom w:w="150" w:type="dxa"/>
              <w:right w:w="240" w:type="dxa"/>
            </w:tcMar>
            <w:vAlign w:val="center"/>
            <w:hideMark/>
          </w:tcPr>
          <w:p w14:paraId="3644E306"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提升</w:t>
            </w:r>
          </w:p>
        </w:tc>
        <w:tc>
          <w:tcPr>
            <w:tcW w:w="0" w:type="auto"/>
            <w:tcMar>
              <w:top w:w="150" w:type="dxa"/>
              <w:left w:w="240" w:type="dxa"/>
              <w:bottom w:w="150" w:type="dxa"/>
              <w:right w:w="240" w:type="dxa"/>
            </w:tcMar>
            <w:vAlign w:val="center"/>
            <w:hideMark/>
          </w:tcPr>
          <w:p w14:paraId="0BC622A4"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胜出折数/总折数</w:t>
            </w:r>
          </w:p>
        </w:tc>
        <w:tc>
          <w:tcPr>
            <w:tcW w:w="0" w:type="auto"/>
            <w:tcMar>
              <w:top w:w="150" w:type="dxa"/>
              <w:left w:w="240" w:type="dxa"/>
              <w:bottom w:w="150" w:type="dxa"/>
              <w:right w:w="240" w:type="dxa"/>
            </w:tcMar>
            <w:vAlign w:val="center"/>
            <w:hideMark/>
          </w:tcPr>
          <w:p w14:paraId="4B2BAFAA"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结论</w:t>
            </w:r>
          </w:p>
        </w:tc>
      </w:tr>
      <w:tr w:rsidR="004643F8" w:rsidRPr="004643F8" w14:paraId="128900C0" w14:textId="77777777" w:rsidTr="00413CC6">
        <w:tc>
          <w:tcPr>
            <w:tcW w:w="0" w:type="auto"/>
            <w:tcMar>
              <w:top w:w="150" w:type="dxa"/>
              <w:left w:w="0" w:type="dxa"/>
              <w:bottom w:w="150" w:type="dxa"/>
              <w:right w:w="240" w:type="dxa"/>
            </w:tcMar>
            <w:vAlign w:val="center"/>
            <w:hideMark/>
          </w:tcPr>
          <w:p w14:paraId="0011FF8D"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N=1</w:t>
            </w:r>
          </w:p>
        </w:tc>
        <w:tc>
          <w:tcPr>
            <w:tcW w:w="1315" w:type="dxa"/>
            <w:tcMar>
              <w:top w:w="150" w:type="dxa"/>
              <w:left w:w="240" w:type="dxa"/>
              <w:bottom w:w="150" w:type="dxa"/>
              <w:right w:w="240" w:type="dxa"/>
            </w:tcMar>
            <w:vAlign w:val="center"/>
            <w:hideMark/>
          </w:tcPr>
          <w:p w14:paraId="4D85686A"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7.575</w:t>
            </w:r>
          </w:p>
        </w:tc>
        <w:tc>
          <w:tcPr>
            <w:tcW w:w="1210" w:type="dxa"/>
            <w:tcMar>
              <w:top w:w="150" w:type="dxa"/>
              <w:left w:w="240" w:type="dxa"/>
              <w:bottom w:w="150" w:type="dxa"/>
              <w:right w:w="240" w:type="dxa"/>
            </w:tcMar>
            <w:vAlign w:val="center"/>
            <w:hideMark/>
          </w:tcPr>
          <w:p w14:paraId="12037A16"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8.047</w:t>
            </w:r>
          </w:p>
        </w:tc>
        <w:tc>
          <w:tcPr>
            <w:tcW w:w="1002" w:type="dxa"/>
            <w:tcMar>
              <w:top w:w="150" w:type="dxa"/>
              <w:left w:w="240" w:type="dxa"/>
              <w:bottom w:w="150" w:type="dxa"/>
              <w:right w:w="240" w:type="dxa"/>
            </w:tcMar>
            <w:vAlign w:val="center"/>
            <w:hideMark/>
          </w:tcPr>
          <w:p w14:paraId="2A6F5B5C"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7.369</w:t>
            </w:r>
          </w:p>
        </w:tc>
        <w:tc>
          <w:tcPr>
            <w:tcW w:w="0" w:type="auto"/>
            <w:tcMar>
              <w:top w:w="150" w:type="dxa"/>
              <w:left w:w="240" w:type="dxa"/>
              <w:bottom w:w="150" w:type="dxa"/>
              <w:right w:w="240" w:type="dxa"/>
            </w:tcMar>
            <w:vAlign w:val="center"/>
            <w:hideMark/>
          </w:tcPr>
          <w:p w14:paraId="0D10A933"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8.128</w:t>
            </w:r>
          </w:p>
        </w:tc>
        <w:tc>
          <w:tcPr>
            <w:tcW w:w="0" w:type="auto"/>
            <w:tcMar>
              <w:top w:w="150" w:type="dxa"/>
              <w:left w:w="240" w:type="dxa"/>
              <w:bottom w:w="150" w:type="dxa"/>
              <w:right w:w="240" w:type="dxa"/>
            </w:tcMar>
            <w:vAlign w:val="center"/>
            <w:hideMark/>
          </w:tcPr>
          <w:p w14:paraId="5337B5A9"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+5.87%</w:t>
            </w:r>
          </w:p>
        </w:tc>
        <w:tc>
          <w:tcPr>
            <w:tcW w:w="0" w:type="auto"/>
            <w:tcMar>
              <w:top w:w="150" w:type="dxa"/>
              <w:left w:w="240" w:type="dxa"/>
              <w:bottom w:w="150" w:type="dxa"/>
              <w:right w:w="240" w:type="dxa"/>
            </w:tcMar>
            <w:vAlign w:val="center"/>
            <w:hideMark/>
          </w:tcPr>
          <w:p w14:paraId="1B40EDB6"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3/5</w:t>
            </w:r>
          </w:p>
        </w:tc>
        <w:tc>
          <w:tcPr>
            <w:tcW w:w="0" w:type="auto"/>
            <w:tcMar>
              <w:top w:w="150" w:type="dxa"/>
              <w:left w:w="240" w:type="dxa"/>
              <w:bottom w:w="150" w:type="dxa"/>
              <w:right w:w="0" w:type="dxa"/>
            </w:tcMar>
            <w:vAlign w:val="center"/>
            <w:hideMark/>
          </w:tcPr>
          <w:p w14:paraId="24EC2660" w14:textId="77777777" w:rsidR="004643F8" w:rsidRPr="004643F8" w:rsidRDefault="004643F8" w:rsidP="00413CC6">
            <w:pPr>
              <w:rPr>
                <w:rFonts w:asciiTheme="majorEastAsia" w:eastAsiaTheme="majorEastAsia" w:hAnsiTheme="majorEastAsia"/>
              </w:rPr>
            </w:pPr>
            <w:r w:rsidRPr="004643F8">
              <w:rPr>
                <w:rFonts w:asciiTheme="majorEastAsia" w:eastAsiaTheme="majorEastAsia" w:hAnsiTheme="majorEastAsia"/>
              </w:rPr>
              <w:t>诊断</w:t>
            </w:r>
          </w:p>
        </w:tc>
      </w:tr>
      <w:tr w:rsidR="004643F8" w:rsidRPr="004643F8" w14:paraId="4392AB8A" w14:textId="77777777" w:rsidTr="00413CC6">
        <w:tc>
          <w:tcPr>
            <w:tcW w:w="0" w:type="auto"/>
            <w:tcMar>
              <w:top w:w="150" w:type="dxa"/>
              <w:left w:w="0" w:type="dxa"/>
              <w:bottom w:w="150" w:type="dxa"/>
              <w:right w:w="240" w:type="dxa"/>
            </w:tcMar>
            <w:vAlign w:val="center"/>
            <w:hideMark/>
          </w:tcPr>
          <w:p w14:paraId="2CEE915B"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N=2</w:t>
            </w:r>
          </w:p>
        </w:tc>
        <w:tc>
          <w:tcPr>
            <w:tcW w:w="1315" w:type="dxa"/>
            <w:tcMar>
              <w:top w:w="150" w:type="dxa"/>
              <w:left w:w="240" w:type="dxa"/>
              <w:bottom w:w="150" w:type="dxa"/>
              <w:right w:w="240" w:type="dxa"/>
            </w:tcMar>
            <w:vAlign w:val="center"/>
            <w:hideMark/>
          </w:tcPr>
          <w:p w14:paraId="574B0E19"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4.974</w:t>
            </w:r>
          </w:p>
        </w:tc>
        <w:tc>
          <w:tcPr>
            <w:tcW w:w="1210" w:type="dxa"/>
            <w:tcMar>
              <w:top w:w="150" w:type="dxa"/>
              <w:left w:w="240" w:type="dxa"/>
              <w:bottom w:w="150" w:type="dxa"/>
              <w:right w:w="240" w:type="dxa"/>
            </w:tcMar>
            <w:vAlign w:val="center"/>
            <w:hideMark/>
          </w:tcPr>
          <w:p w14:paraId="7568BE34"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5.366</w:t>
            </w:r>
          </w:p>
        </w:tc>
        <w:tc>
          <w:tcPr>
            <w:tcW w:w="1002" w:type="dxa"/>
            <w:tcMar>
              <w:top w:w="150" w:type="dxa"/>
              <w:left w:w="240" w:type="dxa"/>
              <w:bottom w:w="150" w:type="dxa"/>
              <w:right w:w="240" w:type="dxa"/>
            </w:tcMar>
            <w:vAlign w:val="center"/>
            <w:hideMark/>
          </w:tcPr>
          <w:p w14:paraId="4E55CB06"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5.289</w:t>
            </w:r>
          </w:p>
        </w:tc>
        <w:tc>
          <w:tcPr>
            <w:tcW w:w="0" w:type="auto"/>
            <w:tcMar>
              <w:top w:w="150" w:type="dxa"/>
              <w:left w:w="240" w:type="dxa"/>
              <w:bottom w:w="150" w:type="dxa"/>
              <w:right w:w="240" w:type="dxa"/>
            </w:tcMar>
            <w:vAlign w:val="center"/>
            <w:hideMark/>
          </w:tcPr>
          <w:p w14:paraId="4C5A8204"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6.374</w:t>
            </w:r>
          </w:p>
        </w:tc>
        <w:tc>
          <w:tcPr>
            <w:tcW w:w="0" w:type="auto"/>
            <w:tcMar>
              <w:top w:w="150" w:type="dxa"/>
              <w:left w:w="240" w:type="dxa"/>
              <w:bottom w:w="150" w:type="dxa"/>
              <w:right w:w="240" w:type="dxa"/>
            </w:tcMar>
            <w:vAlign w:val="center"/>
            <w:hideMark/>
          </w:tcPr>
          <w:p w14:paraId="473AAF51"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+7.30%</w:t>
            </w:r>
          </w:p>
        </w:tc>
        <w:tc>
          <w:tcPr>
            <w:tcW w:w="0" w:type="auto"/>
            <w:tcMar>
              <w:top w:w="150" w:type="dxa"/>
              <w:left w:w="240" w:type="dxa"/>
              <w:bottom w:w="150" w:type="dxa"/>
              <w:right w:w="240" w:type="dxa"/>
            </w:tcMar>
            <w:vAlign w:val="center"/>
            <w:hideMark/>
          </w:tcPr>
          <w:p w14:paraId="3164846D"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4/5</w:t>
            </w:r>
          </w:p>
        </w:tc>
        <w:tc>
          <w:tcPr>
            <w:tcW w:w="0" w:type="auto"/>
            <w:tcMar>
              <w:top w:w="150" w:type="dxa"/>
              <w:left w:w="240" w:type="dxa"/>
              <w:bottom w:w="150" w:type="dxa"/>
              <w:right w:w="0" w:type="dxa"/>
            </w:tcMar>
            <w:vAlign w:val="center"/>
            <w:hideMark/>
          </w:tcPr>
          <w:p w14:paraId="783926CE" w14:textId="77777777" w:rsidR="004643F8" w:rsidRPr="004643F8" w:rsidRDefault="004643F8" w:rsidP="00413CC6">
            <w:pPr>
              <w:rPr>
                <w:rFonts w:asciiTheme="majorEastAsia" w:eastAsiaTheme="majorEastAsia" w:hAnsiTheme="majorEastAsia"/>
              </w:rPr>
            </w:pPr>
            <w:r w:rsidRPr="004643F8">
              <w:rPr>
                <w:rFonts w:asciiTheme="majorEastAsia" w:eastAsiaTheme="majorEastAsia" w:hAnsiTheme="majorEastAsia"/>
              </w:rPr>
              <w:t>严格正向证据</w:t>
            </w:r>
          </w:p>
        </w:tc>
      </w:tr>
      <w:tr w:rsidR="004643F8" w:rsidRPr="004643F8" w14:paraId="6A476905" w14:textId="77777777" w:rsidTr="00413CC6">
        <w:tc>
          <w:tcPr>
            <w:tcW w:w="0" w:type="auto"/>
            <w:tcMar>
              <w:top w:w="150" w:type="dxa"/>
              <w:left w:w="0" w:type="dxa"/>
              <w:bottom w:w="150" w:type="dxa"/>
              <w:right w:w="240" w:type="dxa"/>
            </w:tcMar>
            <w:vAlign w:val="center"/>
            <w:hideMark/>
          </w:tcPr>
          <w:p w14:paraId="6CCBACF7"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N=3</w:t>
            </w:r>
          </w:p>
        </w:tc>
        <w:tc>
          <w:tcPr>
            <w:tcW w:w="1315" w:type="dxa"/>
            <w:tcMar>
              <w:top w:w="150" w:type="dxa"/>
              <w:left w:w="240" w:type="dxa"/>
              <w:bottom w:w="150" w:type="dxa"/>
              <w:right w:w="240" w:type="dxa"/>
            </w:tcMar>
            <w:vAlign w:val="center"/>
            <w:hideMark/>
          </w:tcPr>
          <w:p w14:paraId="5CB765C8"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6.149</w:t>
            </w:r>
          </w:p>
        </w:tc>
        <w:tc>
          <w:tcPr>
            <w:tcW w:w="1210" w:type="dxa"/>
            <w:tcMar>
              <w:top w:w="150" w:type="dxa"/>
              <w:left w:w="240" w:type="dxa"/>
              <w:bottom w:w="150" w:type="dxa"/>
              <w:right w:w="240" w:type="dxa"/>
            </w:tcMar>
            <w:vAlign w:val="center"/>
            <w:hideMark/>
          </w:tcPr>
          <w:p w14:paraId="02C892C9"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6.577</w:t>
            </w:r>
          </w:p>
        </w:tc>
        <w:tc>
          <w:tcPr>
            <w:tcW w:w="1002" w:type="dxa"/>
            <w:tcMar>
              <w:top w:w="150" w:type="dxa"/>
              <w:left w:w="240" w:type="dxa"/>
              <w:bottom w:w="150" w:type="dxa"/>
              <w:right w:w="240" w:type="dxa"/>
            </w:tcMar>
            <w:vAlign w:val="center"/>
            <w:hideMark/>
          </w:tcPr>
          <w:p w14:paraId="63B3D66D"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9.011</w:t>
            </w:r>
          </w:p>
        </w:tc>
        <w:tc>
          <w:tcPr>
            <w:tcW w:w="0" w:type="auto"/>
            <w:tcMar>
              <w:top w:w="150" w:type="dxa"/>
              <w:left w:w="240" w:type="dxa"/>
              <w:bottom w:w="150" w:type="dxa"/>
              <w:right w:w="240" w:type="dxa"/>
            </w:tcMar>
            <w:vAlign w:val="center"/>
            <w:hideMark/>
          </w:tcPr>
          <w:p w14:paraId="0535F04A"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7.263</w:t>
            </w:r>
          </w:p>
        </w:tc>
        <w:tc>
          <w:tcPr>
            <w:tcW w:w="0" w:type="auto"/>
            <w:tcMar>
              <w:top w:w="150" w:type="dxa"/>
              <w:left w:w="240" w:type="dxa"/>
              <w:bottom w:w="150" w:type="dxa"/>
              <w:right w:w="240" w:type="dxa"/>
            </w:tcMar>
            <w:vAlign w:val="center"/>
            <w:hideMark/>
          </w:tcPr>
          <w:p w14:paraId="01500574"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+6.51%</w:t>
            </w:r>
          </w:p>
        </w:tc>
        <w:tc>
          <w:tcPr>
            <w:tcW w:w="0" w:type="auto"/>
            <w:tcMar>
              <w:top w:w="150" w:type="dxa"/>
              <w:left w:w="240" w:type="dxa"/>
              <w:bottom w:w="150" w:type="dxa"/>
              <w:right w:w="240" w:type="dxa"/>
            </w:tcMar>
            <w:vAlign w:val="center"/>
            <w:hideMark/>
          </w:tcPr>
          <w:p w14:paraId="75EDD9F3"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3/5</w:t>
            </w:r>
          </w:p>
        </w:tc>
        <w:tc>
          <w:tcPr>
            <w:tcW w:w="0" w:type="auto"/>
            <w:tcMar>
              <w:top w:w="150" w:type="dxa"/>
              <w:left w:w="240" w:type="dxa"/>
              <w:bottom w:w="150" w:type="dxa"/>
              <w:right w:w="0" w:type="dxa"/>
            </w:tcMar>
            <w:vAlign w:val="center"/>
            <w:hideMark/>
          </w:tcPr>
          <w:p w14:paraId="40CF42EE" w14:textId="77777777" w:rsidR="004643F8" w:rsidRPr="004643F8" w:rsidRDefault="004643F8" w:rsidP="00413CC6">
            <w:pPr>
              <w:rPr>
                <w:rFonts w:asciiTheme="majorEastAsia" w:eastAsiaTheme="majorEastAsia" w:hAnsiTheme="majorEastAsia"/>
              </w:rPr>
            </w:pPr>
            <w:r w:rsidRPr="004643F8">
              <w:rPr>
                <w:rFonts w:asciiTheme="majorEastAsia" w:eastAsiaTheme="majorEastAsia" w:hAnsiTheme="majorEastAsia"/>
              </w:rPr>
              <w:t>严格正向证据</w:t>
            </w:r>
          </w:p>
        </w:tc>
      </w:tr>
      <w:tr w:rsidR="004643F8" w:rsidRPr="004643F8" w14:paraId="10D581AA" w14:textId="77777777" w:rsidTr="00413CC6">
        <w:tc>
          <w:tcPr>
            <w:tcW w:w="0" w:type="auto"/>
            <w:tcMar>
              <w:top w:w="150" w:type="dxa"/>
              <w:left w:w="0" w:type="dxa"/>
              <w:bottom w:w="150" w:type="dxa"/>
              <w:right w:w="240" w:type="dxa"/>
            </w:tcMar>
            <w:vAlign w:val="center"/>
            <w:hideMark/>
          </w:tcPr>
          <w:p w14:paraId="5094C65F"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N=1,2,3 聚合</w:t>
            </w:r>
          </w:p>
        </w:tc>
        <w:tc>
          <w:tcPr>
            <w:tcW w:w="1315" w:type="dxa"/>
            <w:tcMar>
              <w:top w:w="150" w:type="dxa"/>
              <w:left w:w="240" w:type="dxa"/>
              <w:bottom w:w="150" w:type="dxa"/>
              <w:right w:w="240" w:type="dxa"/>
            </w:tcMar>
            <w:vAlign w:val="center"/>
            <w:hideMark/>
          </w:tcPr>
          <w:p w14:paraId="768B1761"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6.233</w:t>
            </w:r>
          </w:p>
        </w:tc>
        <w:tc>
          <w:tcPr>
            <w:tcW w:w="1210" w:type="dxa"/>
            <w:tcMar>
              <w:top w:w="150" w:type="dxa"/>
              <w:left w:w="240" w:type="dxa"/>
              <w:bottom w:w="150" w:type="dxa"/>
              <w:right w:w="240" w:type="dxa"/>
            </w:tcMar>
            <w:vAlign w:val="center"/>
            <w:hideMark/>
          </w:tcPr>
          <w:p w14:paraId="510CE185"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6.664</w:t>
            </w:r>
          </w:p>
        </w:tc>
        <w:tc>
          <w:tcPr>
            <w:tcW w:w="1002" w:type="dxa"/>
            <w:tcMar>
              <w:top w:w="150" w:type="dxa"/>
              <w:left w:w="240" w:type="dxa"/>
              <w:bottom w:w="150" w:type="dxa"/>
              <w:right w:w="240" w:type="dxa"/>
            </w:tcMar>
            <w:vAlign w:val="center"/>
            <w:hideMark/>
          </w:tcPr>
          <w:p w14:paraId="763479C3"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7.223</w:t>
            </w:r>
          </w:p>
        </w:tc>
        <w:tc>
          <w:tcPr>
            <w:tcW w:w="0" w:type="auto"/>
            <w:tcMar>
              <w:top w:w="150" w:type="dxa"/>
              <w:left w:w="240" w:type="dxa"/>
              <w:bottom w:w="150" w:type="dxa"/>
              <w:right w:w="240" w:type="dxa"/>
            </w:tcMar>
            <w:vAlign w:val="center"/>
            <w:hideMark/>
          </w:tcPr>
          <w:p w14:paraId="563034DC"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7.255</w:t>
            </w:r>
          </w:p>
        </w:tc>
        <w:tc>
          <w:tcPr>
            <w:tcW w:w="0" w:type="auto"/>
            <w:tcMar>
              <w:top w:w="150" w:type="dxa"/>
              <w:left w:w="240" w:type="dxa"/>
              <w:bottom w:w="150" w:type="dxa"/>
              <w:right w:w="240" w:type="dxa"/>
            </w:tcMar>
            <w:vAlign w:val="center"/>
            <w:hideMark/>
          </w:tcPr>
          <w:p w14:paraId="1268C20D"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+6.46%</w:t>
            </w:r>
          </w:p>
        </w:tc>
        <w:tc>
          <w:tcPr>
            <w:tcW w:w="0" w:type="auto"/>
            <w:tcMar>
              <w:top w:w="150" w:type="dxa"/>
              <w:left w:w="240" w:type="dxa"/>
              <w:bottom w:w="150" w:type="dxa"/>
              <w:right w:w="240" w:type="dxa"/>
            </w:tcMar>
            <w:vAlign w:val="center"/>
            <w:hideMark/>
          </w:tcPr>
          <w:p w14:paraId="57E9364D"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10/15</w:t>
            </w:r>
          </w:p>
        </w:tc>
        <w:tc>
          <w:tcPr>
            <w:tcW w:w="0" w:type="auto"/>
            <w:tcMar>
              <w:top w:w="150" w:type="dxa"/>
              <w:left w:w="240" w:type="dxa"/>
              <w:bottom w:w="150" w:type="dxa"/>
              <w:right w:w="0" w:type="dxa"/>
            </w:tcMar>
            <w:vAlign w:val="center"/>
            <w:hideMark/>
          </w:tcPr>
          <w:p w14:paraId="28D5100D" w14:textId="77777777" w:rsidR="004643F8" w:rsidRPr="004643F8" w:rsidRDefault="004643F8" w:rsidP="00413CC6">
            <w:pPr>
              <w:rPr>
                <w:rFonts w:asciiTheme="majorEastAsia" w:eastAsiaTheme="majorEastAsia" w:hAnsiTheme="majorEastAsia"/>
              </w:rPr>
            </w:pPr>
            <w:r w:rsidRPr="004643F8">
              <w:rPr>
                <w:rFonts w:asciiTheme="majorEastAsia" w:eastAsiaTheme="majorEastAsia" w:hAnsiTheme="majorEastAsia"/>
              </w:rPr>
              <w:t>严格正向证据</w:t>
            </w:r>
          </w:p>
        </w:tc>
      </w:tr>
    </w:tbl>
    <w:p w14:paraId="69DC2069" w14:textId="77777777" w:rsidR="004643F8" w:rsidRDefault="004643F8" w:rsidP="004643F8">
      <w:pPr>
        <w:rPr>
          <w:rFonts w:asciiTheme="majorEastAsia" w:eastAsiaTheme="majorEastAsia" w:hAnsiTheme="majorEastAsia"/>
        </w:rPr>
      </w:pPr>
      <w:r w:rsidRPr="004643F8">
        <w:rPr>
          <w:rFonts w:asciiTheme="majorEastAsia" w:eastAsiaTheme="majorEastAsia" w:hAnsiTheme="majorEastAsia"/>
        </w:rPr>
        <w:t xml:space="preserve">图 2 展示了各链路和样本预算下的宏观 raw RMSE 对比；图 3 展示了迁移模型相对 </w:t>
      </w:r>
      <w:r w:rsidRPr="004643F8">
        <w:rPr>
          <w:rFonts w:asciiTheme="majorEastAsia" w:eastAsiaTheme="majorEastAsia" w:hAnsiTheme="majorEastAsia"/>
        </w:rPr>
        <w:lastRenderedPageBreak/>
        <w:t>matched Scratch 在各 outer fold 上的胜出比例。</w:t>
      </w:r>
    </w:p>
    <w:p w14:paraId="220ADEF8" w14:textId="77777777" w:rsidR="00413CC6" w:rsidRDefault="00413CC6" w:rsidP="00413CC6">
      <w:pPr>
        <w:spacing w:after="40"/>
        <w:jc w:val="center"/>
        <w:rPr>
          <w:rFonts w:hint="eastAsia"/>
        </w:rPr>
      </w:pPr>
      <w:r>
        <w:rPr>
          <w:noProof/>
        </w:rPr>
        <w:drawing>
          <wp:inline distT="0" distB="0" distL="0" distR="0" wp14:anchorId="49E03725" wp14:editId="77D87357">
            <wp:extent cx="5225143" cy="2350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png"/>
                    <pic:cNvPicPr/>
                  </pic:nvPicPr>
                  <pic:blipFill>
                    <a:blip r:embed="rId9"/>
                    <a:stretch>
                      <a:fillRect/>
                    </a:stretch>
                  </pic:blipFill>
                  <pic:spPr>
                    <a:xfrm>
                      <a:off x="0" y="0"/>
                      <a:ext cx="5237533" cy="2355687"/>
                    </a:xfrm>
                    <a:prstGeom prst="rect">
                      <a:avLst/>
                    </a:prstGeom>
                  </pic:spPr>
                </pic:pic>
              </a:graphicData>
            </a:graphic>
          </wp:inline>
        </w:drawing>
      </w:r>
    </w:p>
    <w:p w14:paraId="0A921A62" w14:textId="3ACC0487" w:rsidR="00413CC6" w:rsidRDefault="00413CC6" w:rsidP="00735178">
      <w:pPr>
        <w:spacing w:after="140" w:line="324" w:lineRule="auto"/>
        <w:jc w:val="center"/>
        <w:rPr>
          <w:rFonts w:asciiTheme="majorEastAsia" w:eastAsiaTheme="majorEastAsia" w:hAnsiTheme="majorEastAsia"/>
        </w:rPr>
      </w:pPr>
      <w:r w:rsidRPr="00FF514E">
        <w:rPr>
          <w:rFonts w:asciiTheme="majorEastAsia" w:eastAsiaTheme="majorEastAsia" w:hAnsiTheme="majorEastAsia"/>
        </w:rPr>
        <w:t>图 2  各链路和样本预算下的宏观 raw RMSE 对比</w:t>
      </w:r>
    </w:p>
    <w:p w14:paraId="36380DBA" w14:textId="77777777" w:rsidR="00973F77" w:rsidRDefault="00973F77" w:rsidP="00973F77">
      <w:pPr>
        <w:spacing w:after="40"/>
        <w:jc w:val="center"/>
        <w:rPr>
          <w:rFonts w:hint="eastAsia"/>
        </w:rPr>
      </w:pPr>
      <w:r>
        <w:rPr>
          <w:noProof/>
        </w:rPr>
        <w:drawing>
          <wp:inline distT="0" distB="0" distL="0" distR="0" wp14:anchorId="2ACDD9C2" wp14:editId="3627B1F5">
            <wp:extent cx="4608000" cy="2247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s.png"/>
                    <pic:cNvPicPr/>
                  </pic:nvPicPr>
                  <pic:blipFill>
                    <a:blip r:embed="rId10"/>
                    <a:stretch>
                      <a:fillRect/>
                    </a:stretch>
                  </pic:blipFill>
                  <pic:spPr>
                    <a:xfrm>
                      <a:off x="0" y="0"/>
                      <a:ext cx="4608000" cy="2247581"/>
                    </a:xfrm>
                    <a:prstGeom prst="rect">
                      <a:avLst/>
                    </a:prstGeom>
                  </pic:spPr>
                </pic:pic>
              </a:graphicData>
            </a:graphic>
          </wp:inline>
        </w:drawing>
      </w:r>
    </w:p>
    <w:p w14:paraId="1F73714A" w14:textId="77777777" w:rsidR="00973F77" w:rsidRPr="00973F77" w:rsidRDefault="00973F77" w:rsidP="00973F77">
      <w:pPr>
        <w:spacing w:after="140" w:line="324" w:lineRule="auto"/>
        <w:jc w:val="center"/>
        <w:rPr>
          <w:rFonts w:asciiTheme="majorEastAsia" w:eastAsiaTheme="majorEastAsia" w:hAnsiTheme="majorEastAsia" w:hint="eastAsia"/>
        </w:rPr>
      </w:pPr>
      <w:r w:rsidRPr="00973F77">
        <w:rPr>
          <w:rFonts w:asciiTheme="majorEastAsia" w:eastAsiaTheme="majorEastAsia" w:hAnsiTheme="majorEastAsia"/>
        </w:rPr>
        <w:t>图 3  FEMTO -&gt; COMSOL transfer 相对 matched scratch 的 outer-fold 胜出比例</w:t>
      </w:r>
    </w:p>
    <w:p w14:paraId="3CD44B30" w14:textId="77777777" w:rsidR="004643F8" w:rsidRPr="004643F8" w:rsidRDefault="004643F8" w:rsidP="004643F8">
      <w:pPr>
        <w:rPr>
          <w:rFonts w:asciiTheme="majorEastAsia" w:eastAsiaTheme="majorEastAsia" w:hAnsiTheme="majorEastAsia"/>
        </w:rPr>
      </w:pPr>
      <w:r w:rsidRPr="004643F8">
        <w:rPr>
          <w:rFonts w:asciiTheme="majorEastAsia" w:eastAsiaTheme="majorEastAsia" w:hAnsiTheme="majorEastAsia"/>
        </w:rPr>
        <w:t>逐层级分析。</w:t>
      </w:r>
    </w:p>
    <w:p w14:paraId="3BF6787B"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N=1（极限小样本）。 迁移模型 RMSE 为 7.575，相对 Scratch（8.047）改善 5.87%，精度增益超过了 5% 阈值。然而，五折中仅有 3 折迁移模型优于 Scratch，未满足“多数折次胜出”的要求；更为关键的是，Ridge 回归在该层级取得了 7.369 的 RMSE，低于迁移模型的 7.575。Ridge 作为线性模型在小样本下受益于强正则化约束，方差较小，而神经迁移模型尽管继承了源域知识，在极端稀缺数据下仍存在折间不稳定性。因此 N=1 层级被判定为 诊断（diagnostic） ——迁移在部分折次上有效，但尚未达到“全面优于所有基线”的严格标准。</w:t>
      </w:r>
    </w:p>
    <w:p w14:paraId="7978D13C"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N=2（中等稀缺）。 迁移 RMSE 为 4.974，相对 Scratch（5.366）改善 7.30%，五折中四折胜出（80%），同时显著低于 Ridge（5.289）与最佳趋势基线（6.374）。三项验收标准全部满足，判定为 严格正向证据。</w:t>
      </w:r>
    </w:p>
    <w:p w14:paraId="2AFFE0BC"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N=3（少量可用）。 迁移 RMSE 为 6.149，相对 Scratch（6.577）改善 6.51%，五折中三折胜出（60%），同时低于 Ridge（9.011）与最佳趋势基线（7.263）。三项验收标准全部满足，判定为 严格正向证据。值得注意的是，N=3 的绝对 RMSE（6.149）高于 N=2（4.974），此现象与 6.2 节中观察到的非单调性一致，再次印证了“迁移增益并非随目标样本增加而</w:t>
      </w:r>
      <w:r w:rsidRPr="00822CD0">
        <w:rPr>
          <w:rFonts w:asciiTheme="majorEastAsia" w:eastAsiaTheme="majorEastAsia" w:hAnsiTheme="majorEastAsia"/>
        </w:rPr>
        <w:lastRenderedPageBreak/>
        <w:t>单调提升”的经验认识——当训练样本从 2 条增至 3 条时，新增轨迹若与源域分布偏离较大，反而可能引入与预训练表征相冲突的梯度方向，干扰迁移知识的有效利用。</w:t>
      </w:r>
    </w:p>
    <w:p w14:paraId="355D628A"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聚合结果（N=1,2,3）。 项目在协议设计阶段已预声明以三个层级的聚合结果作为主结论判定依据，以平滑单层级的随机波动，提供更稳健的宏观判断。聚合后迁移 RMSE 为 6.233，相对 Scratch（6.664）改善 6.46%，15 个 outer fold 中 10 个胜出（67%），同时低于 Ridge（7.223）与最佳趋势基线（7.255）。三项验收标准全部满足，聚合结论为 严格正向证据。</w:t>
      </w:r>
    </w:p>
    <w:p w14:paraId="5A9A2498"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N=1 诊断的工程启示。</w:t>
      </w:r>
    </w:p>
    <w:p w14:paraId="667ABA9A"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N=1 层级的诊断结论揭示了一个值得注意的方法论问题：相对神经 Scratch 的改善，并不自动等同于“全面优于所有工程基线”。在极限小样本条件下（仅有 1 条目标轨迹可用于训练），Ridge 回归凭借其强正则化先验取得了比迁移神经网络更低的预测误差。这说明，当目标域适配数据极端稀缺时，源域预训练知识虽然能够将神经模型的起点从随机初始化提升至有意义的状态，但仍然无法完全补偿深度模型在小样本下的高方差缺陷——此时，一个简单的线性正则化模型反而更为可靠。这一发现对航天工程选型具有直接参考意义：在仅有极少量在轨数据可用的早期阶段，传统统计方法可能是比深度迁移模型更审慎的选择；只有当目标数据积累至 2 条以上轨迹时，深度迁移模型的优势才能稳定释放。</w:t>
      </w:r>
    </w:p>
    <w:p w14:paraId="0D55888E"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结论汇总。</w:t>
      </w:r>
    </w:p>
    <w:p w14:paraId="25646490"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FEMTO → COMSOL v5 迁移实验在 N=2、N=3 以及预声明的三层聚合判定中，均同时满足全部三项内部验收标准——相对 matched Scratch 的宏观 RMSE 改善超过 5%、多数 outer fold 胜出、且全面低于 Ridge 与最佳确定性趋势基线。该链路因此被认定为本项目 迁移成功的主证据。N=1 层级虽在改善幅度上达标，但因未全面超越 Ridge，保留为诊断结论，不纳入主证据。</w:t>
      </w:r>
    </w:p>
    <w:p w14:paraId="04EEE9AA" w14:textId="77777777" w:rsidR="00942E59" w:rsidRPr="00942E59" w:rsidRDefault="00942E59" w:rsidP="00942E59">
      <w:pPr>
        <w:pStyle w:val="2"/>
        <w:rPr>
          <w:rFonts w:asciiTheme="majorEastAsia" w:eastAsiaTheme="majorEastAsia" w:hAnsiTheme="majorEastAsia"/>
        </w:rPr>
      </w:pPr>
      <w:r w:rsidRPr="00942E59">
        <w:rPr>
          <w:rFonts w:asciiTheme="majorEastAsia" w:eastAsiaTheme="majorEastAsia" w:hAnsiTheme="majorEastAsia"/>
          <w:b/>
          <w:bCs/>
        </w:rPr>
        <w:t>6.4 逐折结果与稳定性</w:t>
      </w:r>
    </w:p>
    <w:p w14:paraId="5C86C4AC"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宏观聚合指标虽然能够提供整体迁移效果的定量判断，但无法揭示性能改善在不同测试样本上的分布特征——例如，改善是否集中于某一两个易预测的折次，而其余折次表现平平甚至恶化。为检验迁移增益的稳定性，本节报告 v3 协议喷嘴→FEMTO实验在各outer fold上的逐折明细。</w:t>
      </w:r>
    </w:p>
    <w:p w14:paraId="3933D0E1" w14:textId="0D195DC2"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表17</w:t>
      </w:r>
      <w:r>
        <w:rPr>
          <w:rFonts w:asciiTheme="majorEastAsia" w:eastAsiaTheme="majorEastAsia" w:hAnsiTheme="majorEastAsia" w:hint="eastAsia"/>
        </w:rPr>
        <w:t xml:space="preserve"> </w:t>
      </w:r>
      <w:r w:rsidRPr="00942E59">
        <w:rPr>
          <w:rFonts w:asciiTheme="majorEastAsia" w:eastAsiaTheme="majorEastAsia" w:hAnsiTheme="majorEastAsia"/>
        </w:rPr>
        <w:t>喷嘴→FEMTO v3逐折预测误差明细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
        <w:gridCol w:w="1530"/>
        <w:gridCol w:w="1845"/>
        <w:gridCol w:w="1740"/>
        <w:gridCol w:w="900"/>
      </w:tblGrid>
      <w:tr w:rsidR="00942E59" w:rsidRPr="00942E59" w14:paraId="33CAAD3F" w14:textId="77777777" w:rsidTr="00EE2A2C">
        <w:trPr>
          <w:trHeight w:val="272"/>
          <w:tblHeader/>
          <w:jc w:val="center"/>
        </w:trPr>
        <w:tc>
          <w:tcPr>
            <w:tcW w:w="0" w:type="auto"/>
            <w:tcMar>
              <w:top w:w="150" w:type="dxa"/>
              <w:left w:w="0" w:type="dxa"/>
              <w:bottom w:w="150" w:type="dxa"/>
              <w:right w:w="240" w:type="dxa"/>
            </w:tcMar>
            <w:vAlign w:val="center"/>
            <w:hideMark/>
          </w:tcPr>
          <w:p w14:paraId="13E10BC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N</w:t>
            </w:r>
          </w:p>
        </w:tc>
        <w:tc>
          <w:tcPr>
            <w:tcW w:w="0" w:type="auto"/>
            <w:tcMar>
              <w:top w:w="150" w:type="dxa"/>
              <w:left w:w="240" w:type="dxa"/>
              <w:bottom w:w="150" w:type="dxa"/>
              <w:right w:w="240" w:type="dxa"/>
            </w:tcMar>
            <w:vAlign w:val="center"/>
            <w:hideMark/>
          </w:tcPr>
          <w:p w14:paraId="3B8D8212"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Holdout</w:t>
            </w:r>
          </w:p>
        </w:tc>
        <w:tc>
          <w:tcPr>
            <w:tcW w:w="0" w:type="auto"/>
            <w:tcMar>
              <w:top w:w="150" w:type="dxa"/>
              <w:left w:w="240" w:type="dxa"/>
              <w:bottom w:w="150" w:type="dxa"/>
              <w:right w:w="240" w:type="dxa"/>
            </w:tcMar>
            <w:vAlign w:val="center"/>
            <w:hideMark/>
          </w:tcPr>
          <w:p w14:paraId="3EC3CFE5"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Transfer RMSE</w:t>
            </w:r>
          </w:p>
        </w:tc>
        <w:tc>
          <w:tcPr>
            <w:tcW w:w="0" w:type="auto"/>
            <w:tcMar>
              <w:top w:w="150" w:type="dxa"/>
              <w:left w:w="240" w:type="dxa"/>
              <w:bottom w:w="150" w:type="dxa"/>
              <w:right w:w="240" w:type="dxa"/>
            </w:tcMar>
            <w:vAlign w:val="center"/>
            <w:hideMark/>
          </w:tcPr>
          <w:p w14:paraId="790B587C"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Scratch RMSE</w:t>
            </w:r>
          </w:p>
        </w:tc>
        <w:tc>
          <w:tcPr>
            <w:tcW w:w="0" w:type="auto"/>
            <w:tcMar>
              <w:top w:w="150" w:type="dxa"/>
              <w:left w:w="240" w:type="dxa"/>
              <w:bottom w:w="150" w:type="dxa"/>
              <w:right w:w="240" w:type="dxa"/>
            </w:tcMar>
            <w:vAlign w:val="center"/>
            <w:hideMark/>
          </w:tcPr>
          <w:p w14:paraId="434E742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胜出</w:t>
            </w:r>
          </w:p>
        </w:tc>
      </w:tr>
      <w:tr w:rsidR="00942E59" w:rsidRPr="00942E59" w14:paraId="62AF2891" w14:textId="77777777" w:rsidTr="00EE2A2C">
        <w:trPr>
          <w:trHeight w:val="272"/>
          <w:jc w:val="center"/>
        </w:trPr>
        <w:tc>
          <w:tcPr>
            <w:tcW w:w="0" w:type="auto"/>
            <w:tcMar>
              <w:top w:w="150" w:type="dxa"/>
              <w:left w:w="0" w:type="dxa"/>
              <w:bottom w:w="150" w:type="dxa"/>
              <w:right w:w="240" w:type="dxa"/>
            </w:tcMar>
            <w:vAlign w:val="center"/>
            <w:hideMark/>
          </w:tcPr>
          <w:p w14:paraId="016522C1"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1FF309E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Bearing1_1</w:t>
            </w:r>
          </w:p>
        </w:tc>
        <w:tc>
          <w:tcPr>
            <w:tcW w:w="0" w:type="auto"/>
            <w:tcMar>
              <w:top w:w="150" w:type="dxa"/>
              <w:left w:w="240" w:type="dxa"/>
              <w:bottom w:w="150" w:type="dxa"/>
              <w:right w:w="240" w:type="dxa"/>
            </w:tcMar>
            <w:vAlign w:val="center"/>
            <w:hideMark/>
          </w:tcPr>
          <w:p w14:paraId="49D08B5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858.69</w:t>
            </w:r>
          </w:p>
        </w:tc>
        <w:tc>
          <w:tcPr>
            <w:tcW w:w="0" w:type="auto"/>
            <w:tcMar>
              <w:top w:w="150" w:type="dxa"/>
              <w:left w:w="240" w:type="dxa"/>
              <w:bottom w:w="150" w:type="dxa"/>
              <w:right w:w="240" w:type="dxa"/>
            </w:tcMar>
            <w:vAlign w:val="center"/>
            <w:hideMark/>
          </w:tcPr>
          <w:p w14:paraId="607E3719"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894.61</w:t>
            </w:r>
          </w:p>
        </w:tc>
        <w:tc>
          <w:tcPr>
            <w:tcW w:w="0" w:type="auto"/>
            <w:tcMar>
              <w:top w:w="150" w:type="dxa"/>
              <w:left w:w="240" w:type="dxa"/>
              <w:bottom w:w="150" w:type="dxa"/>
              <w:right w:w="0" w:type="dxa"/>
            </w:tcMar>
            <w:vAlign w:val="center"/>
            <w:hideMark/>
          </w:tcPr>
          <w:p w14:paraId="65149BF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231FBABE" w14:textId="77777777" w:rsidTr="00EE2A2C">
        <w:trPr>
          <w:trHeight w:val="272"/>
          <w:jc w:val="center"/>
        </w:trPr>
        <w:tc>
          <w:tcPr>
            <w:tcW w:w="0" w:type="auto"/>
            <w:tcMar>
              <w:top w:w="150" w:type="dxa"/>
              <w:left w:w="0" w:type="dxa"/>
              <w:bottom w:w="150" w:type="dxa"/>
              <w:right w:w="240" w:type="dxa"/>
            </w:tcMar>
            <w:vAlign w:val="center"/>
            <w:hideMark/>
          </w:tcPr>
          <w:p w14:paraId="74B42F7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3F8E04E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Bearing1_2</w:t>
            </w:r>
          </w:p>
        </w:tc>
        <w:tc>
          <w:tcPr>
            <w:tcW w:w="0" w:type="auto"/>
            <w:tcMar>
              <w:top w:w="150" w:type="dxa"/>
              <w:left w:w="240" w:type="dxa"/>
              <w:bottom w:w="150" w:type="dxa"/>
              <w:right w:w="240" w:type="dxa"/>
            </w:tcMar>
            <w:vAlign w:val="center"/>
            <w:hideMark/>
          </w:tcPr>
          <w:p w14:paraId="465F0AE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1038.40</w:t>
            </w:r>
          </w:p>
        </w:tc>
        <w:tc>
          <w:tcPr>
            <w:tcW w:w="0" w:type="auto"/>
            <w:tcMar>
              <w:top w:w="150" w:type="dxa"/>
              <w:left w:w="240" w:type="dxa"/>
              <w:bottom w:w="150" w:type="dxa"/>
              <w:right w:w="240" w:type="dxa"/>
            </w:tcMar>
            <w:vAlign w:val="center"/>
            <w:hideMark/>
          </w:tcPr>
          <w:p w14:paraId="47330D59"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1080.18</w:t>
            </w:r>
          </w:p>
        </w:tc>
        <w:tc>
          <w:tcPr>
            <w:tcW w:w="0" w:type="auto"/>
            <w:tcMar>
              <w:top w:w="150" w:type="dxa"/>
              <w:left w:w="240" w:type="dxa"/>
              <w:bottom w:w="150" w:type="dxa"/>
              <w:right w:w="0" w:type="dxa"/>
            </w:tcMar>
            <w:vAlign w:val="center"/>
            <w:hideMark/>
          </w:tcPr>
          <w:p w14:paraId="0C93F4B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5074E82C" w14:textId="77777777" w:rsidTr="00EE2A2C">
        <w:trPr>
          <w:trHeight w:val="272"/>
          <w:jc w:val="center"/>
        </w:trPr>
        <w:tc>
          <w:tcPr>
            <w:tcW w:w="0" w:type="auto"/>
            <w:tcMar>
              <w:top w:w="150" w:type="dxa"/>
              <w:left w:w="0" w:type="dxa"/>
              <w:bottom w:w="150" w:type="dxa"/>
              <w:right w:w="240" w:type="dxa"/>
            </w:tcMar>
            <w:vAlign w:val="center"/>
            <w:hideMark/>
          </w:tcPr>
          <w:p w14:paraId="134BCF9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5E6768AF"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Bearing2_1</w:t>
            </w:r>
          </w:p>
        </w:tc>
        <w:tc>
          <w:tcPr>
            <w:tcW w:w="0" w:type="auto"/>
            <w:tcMar>
              <w:top w:w="150" w:type="dxa"/>
              <w:left w:w="240" w:type="dxa"/>
              <w:bottom w:w="150" w:type="dxa"/>
              <w:right w:w="240" w:type="dxa"/>
            </w:tcMar>
            <w:vAlign w:val="center"/>
            <w:hideMark/>
          </w:tcPr>
          <w:p w14:paraId="4027EE72"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589.57</w:t>
            </w:r>
          </w:p>
        </w:tc>
        <w:tc>
          <w:tcPr>
            <w:tcW w:w="0" w:type="auto"/>
            <w:tcMar>
              <w:top w:w="150" w:type="dxa"/>
              <w:left w:w="240" w:type="dxa"/>
              <w:bottom w:w="150" w:type="dxa"/>
              <w:right w:w="240" w:type="dxa"/>
            </w:tcMar>
            <w:vAlign w:val="center"/>
            <w:hideMark/>
          </w:tcPr>
          <w:p w14:paraId="56F3625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816.61</w:t>
            </w:r>
          </w:p>
        </w:tc>
        <w:tc>
          <w:tcPr>
            <w:tcW w:w="0" w:type="auto"/>
            <w:tcMar>
              <w:top w:w="150" w:type="dxa"/>
              <w:left w:w="240" w:type="dxa"/>
              <w:bottom w:w="150" w:type="dxa"/>
              <w:right w:w="0" w:type="dxa"/>
            </w:tcMar>
            <w:vAlign w:val="center"/>
            <w:hideMark/>
          </w:tcPr>
          <w:p w14:paraId="5210255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56FE4830" w14:textId="77777777" w:rsidTr="00EE2A2C">
        <w:trPr>
          <w:trHeight w:val="272"/>
          <w:jc w:val="center"/>
        </w:trPr>
        <w:tc>
          <w:tcPr>
            <w:tcW w:w="0" w:type="auto"/>
            <w:tcMar>
              <w:top w:w="150" w:type="dxa"/>
              <w:left w:w="0" w:type="dxa"/>
              <w:bottom w:w="150" w:type="dxa"/>
              <w:right w:w="240" w:type="dxa"/>
            </w:tcMar>
            <w:vAlign w:val="center"/>
            <w:hideMark/>
          </w:tcPr>
          <w:p w14:paraId="2FFBC5F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68E6505F"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Bearing2_2</w:t>
            </w:r>
          </w:p>
        </w:tc>
        <w:tc>
          <w:tcPr>
            <w:tcW w:w="0" w:type="auto"/>
            <w:tcMar>
              <w:top w:w="150" w:type="dxa"/>
              <w:left w:w="240" w:type="dxa"/>
              <w:bottom w:w="150" w:type="dxa"/>
              <w:right w:w="240" w:type="dxa"/>
            </w:tcMar>
            <w:vAlign w:val="center"/>
            <w:hideMark/>
          </w:tcPr>
          <w:p w14:paraId="66A63CD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957.35</w:t>
            </w:r>
          </w:p>
        </w:tc>
        <w:tc>
          <w:tcPr>
            <w:tcW w:w="0" w:type="auto"/>
            <w:tcMar>
              <w:top w:w="150" w:type="dxa"/>
              <w:left w:w="240" w:type="dxa"/>
              <w:bottom w:w="150" w:type="dxa"/>
              <w:right w:w="240" w:type="dxa"/>
            </w:tcMar>
            <w:vAlign w:val="center"/>
            <w:hideMark/>
          </w:tcPr>
          <w:p w14:paraId="1278759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1276.58</w:t>
            </w:r>
          </w:p>
        </w:tc>
        <w:tc>
          <w:tcPr>
            <w:tcW w:w="0" w:type="auto"/>
            <w:tcMar>
              <w:top w:w="150" w:type="dxa"/>
              <w:left w:w="240" w:type="dxa"/>
              <w:bottom w:w="150" w:type="dxa"/>
              <w:right w:w="0" w:type="dxa"/>
            </w:tcMar>
            <w:vAlign w:val="center"/>
            <w:hideMark/>
          </w:tcPr>
          <w:p w14:paraId="324332B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738EBDA6" w14:textId="77777777" w:rsidTr="00EE2A2C">
        <w:trPr>
          <w:trHeight w:val="272"/>
          <w:jc w:val="center"/>
        </w:trPr>
        <w:tc>
          <w:tcPr>
            <w:tcW w:w="0" w:type="auto"/>
            <w:tcMar>
              <w:top w:w="150" w:type="dxa"/>
              <w:left w:w="0" w:type="dxa"/>
              <w:bottom w:w="150" w:type="dxa"/>
              <w:right w:w="240" w:type="dxa"/>
            </w:tcMar>
            <w:vAlign w:val="center"/>
            <w:hideMark/>
          </w:tcPr>
          <w:p w14:paraId="742436DF"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2C59F642"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Bearing3_1</w:t>
            </w:r>
          </w:p>
        </w:tc>
        <w:tc>
          <w:tcPr>
            <w:tcW w:w="0" w:type="auto"/>
            <w:tcMar>
              <w:top w:w="150" w:type="dxa"/>
              <w:left w:w="240" w:type="dxa"/>
              <w:bottom w:w="150" w:type="dxa"/>
              <w:right w:w="240" w:type="dxa"/>
            </w:tcMar>
            <w:vAlign w:val="center"/>
            <w:hideMark/>
          </w:tcPr>
          <w:p w14:paraId="1249158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1036.80</w:t>
            </w:r>
          </w:p>
        </w:tc>
        <w:tc>
          <w:tcPr>
            <w:tcW w:w="0" w:type="auto"/>
            <w:tcMar>
              <w:top w:w="150" w:type="dxa"/>
              <w:left w:w="240" w:type="dxa"/>
              <w:bottom w:w="150" w:type="dxa"/>
              <w:right w:w="240" w:type="dxa"/>
            </w:tcMar>
            <w:vAlign w:val="center"/>
            <w:hideMark/>
          </w:tcPr>
          <w:p w14:paraId="18CB7D7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1027.87</w:t>
            </w:r>
          </w:p>
        </w:tc>
        <w:tc>
          <w:tcPr>
            <w:tcW w:w="0" w:type="auto"/>
            <w:tcMar>
              <w:top w:w="150" w:type="dxa"/>
              <w:left w:w="240" w:type="dxa"/>
              <w:bottom w:w="150" w:type="dxa"/>
              <w:right w:w="0" w:type="dxa"/>
            </w:tcMar>
            <w:vAlign w:val="center"/>
            <w:hideMark/>
          </w:tcPr>
          <w:p w14:paraId="5198F22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r w:rsidR="00942E59" w:rsidRPr="00942E59" w14:paraId="5E94A108" w14:textId="77777777" w:rsidTr="00EE2A2C">
        <w:trPr>
          <w:trHeight w:val="272"/>
          <w:jc w:val="center"/>
        </w:trPr>
        <w:tc>
          <w:tcPr>
            <w:tcW w:w="0" w:type="auto"/>
            <w:tcMar>
              <w:top w:w="150" w:type="dxa"/>
              <w:left w:w="0" w:type="dxa"/>
              <w:bottom w:w="150" w:type="dxa"/>
              <w:right w:w="240" w:type="dxa"/>
            </w:tcMar>
            <w:vAlign w:val="center"/>
            <w:hideMark/>
          </w:tcPr>
          <w:p w14:paraId="460E7055"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32F83D6E"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Bearing3_2</w:t>
            </w:r>
          </w:p>
        </w:tc>
        <w:tc>
          <w:tcPr>
            <w:tcW w:w="0" w:type="auto"/>
            <w:tcMar>
              <w:top w:w="150" w:type="dxa"/>
              <w:left w:w="240" w:type="dxa"/>
              <w:bottom w:w="150" w:type="dxa"/>
              <w:right w:w="240" w:type="dxa"/>
            </w:tcMar>
            <w:vAlign w:val="center"/>
            <w:hideMark/>
          </w:tcPr>
          <w:p w14:paraId="7859628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821.31</w:t>
            </w:r>
          </w:p>
        </w:tc>
        <w:tc>
          <w:tcPr>
            <w:tcW w:w="0" w:type="auto"/>
            <w:tcMar>
              <w:top w:w="150" w:type="dxa"/>
              <w:left w:w="240" w:type="dxa"/>
              <w:bottom w:w="150" w:type="dxa"/>
              <w:right w:w="240" w:type="dxa"/>
            </w:tcMar>
            <w:vAlign w:val="center"/>
            <w:hideMark/>
          </w:tcPr>
          <w:p w14:paraId="1826A0E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836.33</w:t>
            </w:r>
          </w:p>
        </w:tc>
        <w:tc>
          <w:tcPr>
            <w:tcW w:w="0" w:type="auto"/>
            <w:tcMar>
              <w:top w:w="150" w:type="dxa"/>
              <w:left w:w="240" w:type="dxa"/>
              <w:bottom w:w="150" w:type="dxa"/>
              <w:right w:w="0" w:type="dxa"/>
            </w:tcMar>
            <w:vAlign w:val="center"/>
            <w:hideMark/>
          </w:tcPr>
          <w:p w14:paraId="1CF78421"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43098478" w14:textId="77777777" w:rsidTr="00EE2A2C">
        <w:trPr>
          <w:trHeight w:val="272"/>
          <w:jc w:val="center"/>
        </w:trPr>
        <w:tc>
          <w:tcPr>
            <w:tcW w:w="0" w:type="auto"/>
            <w:tcMar>
              <w:top w:w="150" w:type="dxa"/>
              <w:left w:w="0" w:type="dxa"/>
              <w:bottom w:w="150" w:type="dxa"/>
              <w:right w:w="240" w:type="dxa"/>
            </w:tcMar>
            <w:vAlign w:val="center"/>
            <w:hideMark/>
          </w:tcPr>
          <w:p w14:paraId="06F28ED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2</w:t>
            </w:r>
          </w:p>
        </w:tc>
        <w:tc>
          <w:tcPr>
            <w:tcW w:w="0" w:type="auto"/>
            <w:tcMar>
              <w:top w:w="150" w:type="dxa"/>
              <w:left w:w="240" w:type="dxa"/>
              <w:bottom w:w="150" w:type="dxa"/>
              <w:right w:w="240" w:type="dxa"/>
            </w:tcMar>
            <w:vAlign w:val="center"/>
            <w:hideMark/>
          </w:tcPr>
          <w:p w14:paraId="225EAD4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Bearing1_1</w:t>
            </w:r>
          </w:p>
        </w:tc>
        <w:tc>
          <w:tcPr>
            <w:tcW w:w="0" w:type="auto"/>
            <w:tcMar>
              <w:top w:w="150" w:type="dxa"/>
              <w:left w:w="240" w:type="dxa"/>
              <w:bottom w:w="150" w:type="dxa"/>
              <w:right w:w="240" w:type="dxa"/>
            </w:tcMar>
            <w:vAlign w:val="center"/>
            <w:hideMark/>
          </w:tcPr>
          <w:p w14:paraId="2529D76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856.33</w:t>
            </w:r>
          </w:p>
        </w:tc>
        <w:tc>
          <w:tcPr>
            <w:tcW w:w="0" w:type="auto"/>
            <w:tcMar>
              <w:top w:w="150" w:type="dxa"/>
              <w:left w:w="240" w:type="dxa"/>
              <w:bottom w:w="150" w:type="dxa"/>
              <w:right w:w="240" w:type="dxa"/>
            </w:tcMar>
            <w:vAlign w:val="center"/>
            <w:hideMark/>
          </w:tcPr>
          <w:p w14:paraId="5139721E"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902.13</w:t>
            </w:r>
          </w:p>
        </w:tc>
        <w:tc>
          <w:tcPr>
            <w:tcW w:w="0" w:type="auto"/>
            <w:tcMar>
              <w:top w:w="150" w:type="dxa"/>
              <w:left w:w="240" w:type="dxa"/>
              <w:bottom w:w="150" w:type="dxa"/>
              <w:right w:w="0" w:type="dxa"/>
            </w:tcMar>
            <w:vAlign w:val="center"/>
            <w:hideMark/>
          </w:tcPr>
          <w:p w14:paraId="23DBD1BA"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63D45245" w14:textId="77777777" w:rsidTr="00EE2A2C">
        <w:trPr>
          <w:trHeight w:val="272"/>
          <w:jc w:val="center"/>
        </w:trPr>
        <w:tc>
          <w:tcPr>
            <w:tcW w:w="0" w:type="auto"/>
            <w:tcMar>
              <w:top w:w="150" w:type="dxa"/>
              <w:left w:w="0" w:type="dxa"/>
              <w:bottom w:w="150" w:type="dxa"/>
              <w:right w:w="240" w:type="dxa"/>
            </w:tcMar>
            <w:vAlign w:val="center"/>
            <w:hideMark/>
          </w:tcPr>
          <w:p w14:paraId="5F2BB66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lastRenderedPageBreak/>
              <w:t>2</w:t>
            </w:r>
          </w:p>
        </w:tc>
        <w:tc>
          <w:tcPr>
            <w:tcW w:w="0" w:type="auto"/>
            <w:tcMar>
              <w:top w:w="150" w:type="dxa"/>
              <w:left w:w="240" w:type="dxa"/>
              <w:bottom w:w="150" w:type="dxa"/>
              <w:right w:w="240" w:type="dxa"/>
            </w:tcMar>
            <w:vAlign w:val="center"/>
            <w:hideMark/>
          </w:tcPr>
          <w:p w14:paraId="2B0159D9"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Bearing1_2</w:t>
            </w:r>
          </w:p>
        </w:tc>
        <w:tc>
          <w:tcPr>
            <w:tcW w:w="0" w:type="auto"/>
            <w:tcMar>
              <w:top w:w="150" w:type="dxa"/>
              <w:left w:w="240" w:type="dxa"/>
              <w:bottom w:w="150" w:type="dxa"/>
              <w:right w:w="240" w:type="dxa"/>
            </w:tcMar>
            <w:vAlign w:val="center"/>
            <w:hideMark/>
          </w:tcPr>
          <w:p w14:paraId="6DE097CC"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505.85</w:t>
            </w:r>
          </w:p>
        </w:tc>
        <w:tc>
          <w:tcPr>
            <w:tcW w:w="0" w:type="auto"/>
            <w:tcMar>
              <w:top w:w="150" w:type="dxa"/>
              <w:left w:w="240" w:type="dxa"/>
              <w:bottom w:w="150" w:type="dxa"/>
              <w:right w:w="240" w:type="dxa"/>
            </w:tcMar>
            <w:vAlign w:val="center"/>
            <w:hideMark/>
          </w:tcPr>
          <w:p w14:paraId="5C2C4F4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506.36</w:t>
            </w:r>
          </w:p>
        </w:tc>
        <w:tc>
          <w:tcPr>
            <w:tcW w:w="0" w:type="auto"/>
            <w:tcMar>
              <w:top w:w="150" w:type="dxa"/>
              <w:left w:w="240" w:type="dxa"/>
              <w:bottom w:w="150" w:type="dxa"/>
              <w:right w:w="0" w:type="dxa"/>
            </w:tcMar>
            <w:vAlign w:val="center"/>
            <w:hideMark/>
          </w:tcPr>
          <w:p w14:paraId="2AE9BBBF"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7FA268A6" w14:textId="77777777" w:rsidTr="00EE2A2C">
        <w:trPr>
          <w:trHeight w:val="272"/>
          <w:jc w:val="center"/>
        </w:trPr>
        <w:tc>
          <w:tcPr>
            <w:tcW w:w="0" w:type="auto"/>
            <w:tcMar>
              <w:top w:w="150" w:type="dxa"/>
              <w:left w:w="0" w:type="dxa"/>
              <w:bottom w:w="150" w:type="dxa"/>
              <w:right w:w="240" w:type="dxa"/>
            </w:tcMar>
            <w:vAlign w:val="center"/>
            <w:hideMark/>
          </w:tcPr>
          <w:p w14:paraId="636510A2"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2</w:t>
            </w:r>
          </w:p>
        </w:tc>
        <w:tc>
          <w:tcPr>
            <w:tcW w:w="0" w:type="auto"/>
            <w:tcMar>
              <w:top w:w="150" w:type="dxa"/>
              <w:left w:w="240" w:type="dxa"/>
              <w:bottom w:w="150" w:type="dxa"/>
              <w:right w:w="240" w:type="dxa"/>
            </w:tcMar>
            <w:vAlign w:val="center"/>
            <w:hideMark/>
          </w:tcPr>
          <w:p w14:paraId="373C027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Bearing2_1</w:t>
            </w:r>
          </w:p>
        </w:tc>
        <w:tc>
          <w:tcPr>
            <w:tcW w:w="0" w:type="auto"/>
            <w:tcMar>
              <w:top w:w="150" w:type="dxa"/>
              <w:left w:w="240" w:type="dxa"/>
              <w:bottom w:w="150" w:type="dxa"/>
              <w:right w:w="240" w:type="dxa"/>
            </w:tcMar>
            <w:vAlign w:val="center"/>
            <w:hideMark/>
          </w:tcPr>
          <w:p w14:paraId="1436C95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750.87</w:t>
            </w:r>
          </w:p>
        </w:tc>
        <w:tc>
          <w:tcPr>
            <w:tcW w:w="0" w:type="auto"/>
            <w:tcMar>
              <w:top w:w="150" w:type="dxa"/>
              <w:left w:w="240" w:type="dxa"/>
              <w:bottom w:w="150" w:type="dxa"/>
              <w:right w:w="240" w:type="dxa"/>
            </w:tcMar>
            <w:vAlign w:val="center"/>
            <w:hideMark/>
          </w:tcPr>
          <w:p w14:paraId="14D63CF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1056.35</w:t>
            </w:r>
          </w:p>
        </w:tc>
        <w:tc>
          <w:tcPr>
            <w:tcW w:w="0" w:type="auto"/>
            <w:tcMar>
              <w:top w:w="150" w:type="dxa"/>
              <w:left w:w="240" w:type="dxa"/>
              <w:bottom w:w="150" w:type="dxa"/>
              <w:right w:w="0" w:type="dxa"/>
            </w:tcMar>
            <w:vAlign w:val="center"/>
            <w:hideMark/>
          </w:tcPr>
          <w:p w14:paraId="79EC771C"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2AF34443" w14:textId="77777777" w:rsidTr="00EE2A2C">
        <w:trPr>
          <w:trHeight w:val="272"/>
          <w:jc w:val="center"/>
        </w:trPr>
        <w:tc>
          <w:tcPr>
            <w:tcW w:w="0" w:type="auto"/>
            <w:tcMar>
              <w:top w:w="150" w:type="dxa"/>
              <w:left w:w="0" w:type="dxa"/>
              <w:bottom w:w="150" w:type="dxa"/>
              <w:right w:w="240" w:type="dxa"/>
            </w:tcMar>
            <w:vAlign w:val="center"/>
            <w:hideMark/>
          </w:tcPr>
          <w:p w14:paraId="1495B5B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2</w:t>
            </w:r>
          </w:p>
        </w:tc>
        <w:tc>
          <w:tcPr>
            <w:tcW w:w="0" w:type="auto"/>
            <w:tcMar>
              <w:top w:w="150" w:type="dxa"/>
              <w:left w:w="240" w:type="dxa"/>
              <w:bottom w:w="150" w:type="dxa"/>
              <w:right w:w="240" w:type="dxa"/>
            </w:tcMar>
            <w:vAlign w:val="center"/>
            <w:hideMark/>
          </w:tcPr>
          <w:p w14:paraId="4E683E3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Bearing2_2</w:t>
            </w:r>
          </w:p>
        </w:tc>
        <w:tc>
          <w:tcPr>
            <w:tcW w:w="0" w:type="auto"/>
            <w:tcMar>
              <w:top w:w="150" w:type="dxa"/>
              <w:left w:w="240" w:type="dxa"/>
              <w:bottom w:w="150" w:type="dxa"/>
              <w:right w:w="240" w:type="dxa"/>
            </w:tcMar>
            <w:vAlign w:val="center"/>
            <w:hideMark/>
          </w:tcPr>
          <w:p w14:paraId="1027819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871.77</w:t>
            </w:r>
          </w:p>
        </w:tc>
        <w:tc>
          <w:tcPr>
            <w:tcW w:w="0" w:type="auto"/>
            <w:tcMar>
              <w:top w:w="150" w:type="dxa"/>
              <w:left w:w="240" w:type="dxa"/>
              <w:bottom w:w="150" w:type="dxa"/>
              <w:right w:w="240" w:type="dxa"/>
            </w:tcMar>
            <w:vAlign w:val="center"/>
            <w:hideMark/>
          </w:tcPr>
          <w:p w14:paraId="56A2A3B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952.67</w:t>
            </w:r>
          </w:p>
        </w:tc>
        <w:tc>
          <w:tcPr>
            <w:tcW w:w="0" w:type="auto"/>
            <w:tcMar>
              <w:top w:w="150" w:type="dxa"/>
              <w:left w:w="240" w:type="dxa"/>
              <w:bottom w:w="150" w:type="dxa"/>
              <w:right w:w="0" w:type="dxa"/>
            </w:tcMar>
            <w:vAlign w:val="center"/>
            <w:hideMark/>
          </w:tcPr>
          <w:p w14:paraId="386F8FFA"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3000F4FD" w14:textId="77777777" w:rsidTr="00EE2A2C">
        <w:trPr>
          <w:trHeight w:val="272"/>
          <w:jc w:val="center"/>
        </w:trPr>
        <w:tc>
          <w:tcPr>
            <w:tcW w:w="0" w:type="auto"/>
            <w:tcMar>
              <w:top w:w="150" w:type="dxa"/>
              <w:left w:w="0" w:type="dxa"/>
              <w:bottom w:w="150" w:type="dxa"/>
              <w:right w:w="240" w:type="dxa"/>
            </w:tcMar>
            <w:vAlign w:val="center"/>
            <w:hideMark/>
          </w:tcPr>
          <w:p w14:paraId="518E7B0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2</w:t>
            </w:r>
          </w:p>
        </w:tc>
        <w:tc>
          <w:tcPr>
            <w:tcW w:w="0" w:type="auto"/>
            <w:tcMar>
              <w:top w:w="150" w:type="dxa"/>
              <w:left w:w="240" w:type="dxa"/>
              <w:bottom w:w="150" w:type="dxa"/>
              <w:right w:w="240" w:type="dxa"/>
            </w:tcMar>
            <w:vAlign w:val="center"/>
            <w:hideMark/>
          </w:tcPr>
          <w:p w14:paraId="6212C0B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Bearing3_1</w:t>
            </w:r>
          </w:p>
        </w:tc>
        <w:tc>
          <w:tcPr>
            <w:tcW w:w="0" w:type="auto"/>
            <w:tcMar>
              <w:top w:w="150" w:type="dxa"/>
              <w:left w:w="240" w:type="dxa"/>
              <w:bottom w:w="150" w:type="dxa"/>
              <w:right w:w="240" w:type="dxa"/>
            </w:tcMar>
            <w:vAlign w:val="center"/>
            <w:hideMark/>
          </w:tcPr>
          <w:p w14:paraId="0477178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1125.69</w:t>
            </w:r>
          </w:p>
        </w:tc>
        <w:tc>
          <w:tcPr>
            <w:tcW w:w="0" w:type="auto"/>
            <w:tcMar>
              <w:top w:w="150" w:type="dxa"/>
              <w:left w:w="240" w:type="dxa"/>
              <w:bottom w:w="150" w:type="dxa"/>
              <w:right w:w="240" w:type="dxa"/>
            </w:tcMar>
            <w:vAlign w:val="center"/>
            <w:hideMark/>
          </w:tcPr>
          <w:p w14:paraId="67CE459F"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1085.97</w:t>
            </w:r>
          </w:p>
        </w:tc>
        <w:tc>
          <w:tcPr>
            <w:tcW w:w="0" w:type="auto"/>
            <w:tcMar>
              <w:top w:w="150" w:type="dxa"/>
              <w:left w:w="240" w:type="dxa"/>
              <w:bottom w:w="150" w:type="dxa"/>
              <w:right w:w="0" w:type="dxa"/>
            </w:tcMar>
            <w:vAlign w:val="center"/>
            <w:hideMark/>
          </w:tcPr>
          <w:p w14:paraId="6F51CBB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r w:rsidR="00942E59" w:rsidRPr="00942E59" w14:paraId="32DD1840" w14:textId="77777777" w:rsidTr="00EE2A2C">
        <w:trPr>
          <w:trHeight w:val="272"/>
          <w:jc w:val="center"/>
        </w:trPr>
        <w:tc>
          <w:tcPr>
            <w:tcW w:w="0" w:type="auto"/>
            <w:tcMar>
              <w:top w:w="150" w:type="dxa"/>
              <w:left w:w="0" w:type="dxa"/>
              <w:bottom w:w="150" w:type="dxa"/>
              <w:right w:w="240" w:type="dxa"/>
            </w:tcMar>
            <w:vAlign w:val="center"/>
            <w:hideMark/>
          </w:tcPr>
          <w:p w14:paraId="2FC348BB"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2</w:t>
            </w:r>
          </w:p>
        </w:tc>
        <w:tc>
          <w:tcPr>
            <w:tcW w:w="0" w:type="auto"/>
            <w:tcMar>
              <w:top w:w="150" w:type="dxa"/>
              <w:left w:w="240" w:type="dxa"/>
              <w:bottom w:w="150" w:type="dxa"/>
              <w:right w:w="240" w:type="dxa"/>
            </w:tcMar>
            <w:vAlign w:val="center"/>
            <w:hideMark/>
          </w:tcPr>
          <w:p w14:paraId="71C9F7F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Bearing3_2</w:t>
            </w:r>
          </w:p>
        </w:tc>
        <w:tc>
          <w:tcPr>
            <w:tcW w:w="0" w:type="auto"/>
            <w:tcMar>
              <w:top w:w="150" w:type="dxa"/>
              <w:left w:w="240" w:type="dxa"/>
              <w:bottom w:w="150" w:type="dxa"/>
              <w:right w:w="240" w:type="dxa"/>
            </w:tcMar>
            <w:vAlign w:val="center"/>
            <w:hideMark/>
          </w:tcPr>
          <w:p w14:paraId="6C3A83E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498.69</w:t>
            </w:r>
          </w:p>
        </w:tc>
        <w:tc>
          <w:tcPr>
            <w:tcW w:w="0" w:type="auto"/>
            <w:tcMar>
              <w:top w:w="150" w:type="dxa"/>
              <w:left w:w="240" w:type="dxa"/>
              <w:bottom w:w="150" w:type="dxa"/>
              <w:right w:w="240" w:type="dxa"/>
            </w:tcMar>
            <w:vAlign w:val="center"/>
            <w:hideMark/>
          </w:tcPr>
          <w:p w14:paraId="1BE28E7B"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509.27</w:t>
            </w:r>
          </w:p>
        </w:tc>
        <w:tc>
          <w:tcPr>
            <w:tcW w:w="0" w:type="auto"/>
            <w:tcMar>
              <w:top w:w="150" w:type="dxa"/>
              <w:left w:w="240" w:type="dxa"/>
              <w:bottom w:w="150" w:type="dxa"/>
              <w:right w:w="0" w:type="dxa"/>
            </w:tcMar>
            <w:vAlign w:val="center"/>
            <w:hideMark/>
          </w:tcPr>
          <w:p w14:paraId="5D80D7A1"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098BA37A" w14:textId="77777777" w:rsidTr="00EE2A2C">
        <w:trPr>
          <w:trHeight w:val="272"/>
          <w:jc w:val="center"/>
        </w:trPr>
        <w:tc>
          <w:tcPr>
            <w:tcW w:w="0" w:type="auto"/>
            <w:tcMar>
              <w:top w:w="150" w:type="dxa"/>
              <w:left w:w="0" w:type="dxa"/>
              <w:bottom w:w="150" w:type="dxa"/>
              <w:right w:w="240" w:type="dxa"/>
            </w:tcMar>
            <w:vAlign w:val="center"/>
            <w:hideMark/>
          </w:tcPr>
          <w:p w14:paraId="66F8242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588F719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Bearing1_1</w:t>
            </w:r>
          </w:p>
        </w:tc>
        <w:tc>
          <w:tcPr>
            <w:tcW w:w="0" w:type="auto"/>
            <w:tcMar>
              <w:top w:w="150" w:type="dxa"/>
              <w:left w:w="240" w:type="dxa"/>
              <w:bottom w:w="150" w:type="dxa"/>
              <w:right w:w="240" w:type="dxa"/>
            </w:tcMar>
            <w:vAlign w:val="center"/>
            <w:hideMark/>
          </w:tcPr>
          <w:p w14:paraId="12047E2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984.99</w:t>
            </w:r>
          </w:p>
        </w:tc>
        <w:tc>
          <w:tcPr>
            <w:tcW w:w="0" w:type="auto"/>
            <w:tcMar>
              <w:top w:w="150" w:type="dxa"/>
              <w:left w:w="240" w:type="dxa"/>
              <w:bottom w:w="150" w:type="dxa"/>
              <w:right w:w="240" w:type="dxa"/>
            </w:tcMar>
            <w:vAlign w:val="center"/>
            <w:hideMark/>
          </w:tcPr>
          <w:p w14:paraId="516853AB"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996.63</w:t>
            </w:r>
          </w:p>
        </w:tc>
        <w:tc>
          <w:tcPr>
            <w:tcW w:w="0" w:type="auto"/>
            <w:tcMar>
              <w:top w:w="150" w:type="dxa"/>
              <w:left w:w="240" w:type="dxa"/>
              <w:bottom w:w="150" w:type="dxa"/>
              <w:right w:w="0" w:type="dxa"/>
            </w:tcMar>
            <w:vAlign w:val="center"/>
            <w:hideMark/>
          </w:tcPr>
          <w:p w14:paraId="2A5E952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14B291BD" w14:textId="77777777" w:rsidTr="00EE2A2C">
        <w:trPr>
          <w:trHeight w:val="272"/>
          <w:jc w:val="center"/>
        </w:trPr>
        <w:tc>
          <w:tcPr>
            <w:tcW w:w="0" w:type="auto"/>
            <w:tcMar>
              <w:top w:w="150" w:type="dxa"/>
              <w:left w:w="0" w:type="dxa"/>
              <w:bottom w:w="150" w:type="dxa"/>
              <w:right w:w="240" w:type="dxa"/>
            </w:tcMar>
            <w:vAlign w:val="center"/>
            <w:hideMark/>
          </w:tcPr>
          <w:p w14:paraId="4D0B314C"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416F105E"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Bearing1_2</w:t>
            </w:r>
          </w:p>
        </w:tc>
        <w:tc>
          <w:tcPr>
            <w:tcW w:w="0" w:type="auto"/>
            <w:tcMar>
              <w:top w:w="150" w:type="dxa"/>
              <w:left w:w="240" w:type="dxa"/>
              <w:bottom w:w="150" w:type="dxa"/>
              <w:right w:w="240" w:type="dxa"/>
            </w:tcMar>
            <w:vAlign w:val="center"/>
            <w:hideMark/>
          </w:tcPr>
          <w:p w14:paraId="5CD3C53B"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931.16</w:t>
            </w:r>
          </w:p>
        </w:tc>
        <w:tc>
          <w:tcPr>
            <w:tcW w:w="0" w:type="auto"/>
            <w:tcMar>
              <w:top w:w="150" w:type="dxa"/>
              <w:left w:w="240" w:type="dxa"/>
              <w:bottom w:w="150" w:type="dxa"/>
              <w:right w:w="240" w:type="dxa"/>
            </w:tcMar>
            <w:vAlign w:val="center"/>
            <w:hideMark/>
          </w:tcPr>
          <w:p w14:paraId="4342558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913.87</w:t>
            </w:r>
          </w:p>
        </w:tc>
        <w:tc>
          <w:tcPr>
            <w:tcW w:w="0" w:type="auto"/>
            <w:tcMar>
              <w:top w:w="150" w:type="dxa"/>
              <w:left w:w="240" w:type="dxa"/>
              <w:bottom w:w="150" w:type="dxa"/>
              <w:right w:w="0" w:type="dxa"/>
            </w:tcMar>
            <w:vAlign w:val="center"/>
            <w:hideMark/>
          </w:tcPr>
          <w:p w14:paraId="62D807D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r w:rsidR="00942E59" w:rsidRPr="00942E59" w14:paraId="1C3A347E" w14:textId="77777777" w:rsidTr="00EE2A2C">
        <w:trPr>
          <w:trHeight w:val="272"/>
          <w:jc w:val="center"/>
        </w:trPr>
        <w:tc>
          <w:tcPr>
            <w:tcW w:w="0" w:type="auto"/>
            <w:tcMar>
              <w:top w:w="150" w:type="dxa"/>
              <w:left w:w="0" w:type="dxa"/>
              <w:bottom w:w="150" w:type="dxa"/>
              <w:right w:w="240" w:type="dxa"/>
            </w:tcMar>
            <w:vAlign w:val="center"/>
            <w:hideMark/>
          </w:tcPr>
          <w:p w14:paraId="218DBB15"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554EC9A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Bearing2_1</w:t>
            </w:r>
          </w:p>
        </w:tc>
        <w:tc>
          <w:tcPr>
            <w:tcW w:w="0" w:type="auto"/>
            <w:tcMar>
              <w:top w:w="150" w:type="dxa"/>
              <w:left w:w="240" w:type="dxa"/>
              <w:bottom w:w="150" w:type="dxa"/>
              <w:right w:w="240" w:type="dxa"/>
            </w:tcMar>
            <w:vAlign w:val="center"/>
            <w:hideMark/>
          </w:tcPr>
          <w:p w14:paraId="4A9BE2C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1431.40</w:t>
            </w:r>
          </w:p>
        </w:tc>
        <w:tc>
          <w:tcPr>
            <w:tcW w:w="0" w:type="auto"/>
            <w:tcMar>
              <w:top w:w="150" w:type="dxa"/>
              <w:left w:w="240" w:type="dxa"/>
              <w:bottom w:w="150" w:type="dxa"/>
              <w:right w:w="240" w:type="dxa"/>
            </w:tcMar>
            <w:vAlign w:val="center"/>
            <w:hideMark/>
          </w:tcPr>
          <w:p w14:paraId="595748C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1568.45</w:t>
            </w:r>
          </w:p>
        </w:tc>
        <w:tc>
          <w:tcPr>
            <w:tcW w:w="0" w:type="auto"/>
            <w:tcMar>
              <w:top w:w="150" w:type="dxa"/>
              <w:left w:w="240" w:type="dxa"/>
              <w:bottom w:w="150" w:type="dxa"/>
              <w:right w:w="0" w:type="dxa"/>
            </w:tcMar>
            <w:vAlign w:val="center"/>
            <w:hideMark/>
          </w:tcPr>
          <w:p w14:paraId="048FD06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7CBBEC71" w14:textId="77777777" w:rsidTr="00EE2A2C">
        <w:trPr>
          <w:trHeight w:val="272"/>
          <w:jc w:val="center"/>
        </w:trPr>
        <w:tc>
          <w:tcPr>
            <w:tcW w:w="0" w:type="auto"/>
            <w:tcMar>
              <w:top w:w="150" w:type="dxa"/>
              <w:left w:w="0" w:type="dxa"/>
              <w:bottom w:w="150" w:type="dxa"/>
              <w:right w:w="240" w:type="dxa"/>
            </w:tcMar>
            <w:vAlign w:val="center"/>
            <w:hideMark/>
          </w:tcPr>
          <w:p w14:paraId="7FFC870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15D54621"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Bearing2_2</w:t>
            </w:r>
          </w:p>
        </w:tc>
        <w:tc>
          <w:tcPr>
            <w:tcW w:w="0" w:type="auto"/>
            <w:tcMar>
              <w:top w:w="150" w:type="dxa"/>
              <w:left w:w="240" w:type="dxa"/>
              <w:bottom w:w="150" w:type="dxa"/>
              <w:right w:w="240" w:type="dxa"/>
            </w:tcMar>
            <w:vAlign w:val="center"/>
            <w:hideMark/>
          </w:tcPr>
          <w:p w14:paraId="31F01C2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1362.63</w:t>
            </w:r>
          </w:p>
        </w:tc>
        <w:tc>
          <w:tcPr>
            <w:tcW w:w="0" w:type="auto"/>
            <w:tcMar>
              <w:top w:w="150" w:type="dxa"/>
              <w:left w:w="240" w:type="dxa"/>
              <w:bottom w:w="150" w:type="dxa"/>
              <w:right w:w="240" w:type="dxa"/>
            </w:tcMar>
            <w:vAlign w:val="center"/>
            <w:hideMark/>
          </w:tcPr>
          <w:p w14:paraId="6374FEE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1268.82</w:t>
            </w:r>
          </w:p>
        </w:tc>
        <w:tc>
          <w:tcPr>
            <w:tcW w:w="0" w:type="auto"/>
            <w:tcMar>
              <w:top w:w="150" w:type="dxa"/>
              <w:left w:w="240" w:type="dxa"/>
              <w:bottom w:w="150" w:type="dxa"/>
              <w:right w:w="0" w:type="dxa"/>
            </w:tcMar>
            <w:vAlign w:val="center"/>
            <w:hideMark/>
          </w:tcPr>
          <w:p w14:paraId="1A63ABA1"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r w:rsidR="00942E59" w:rsidRPr="00942E59" w14:paraId="507CFC4C" w14:textId="77777777" w:rsidTr="00EE2A2C">
        <w:trPr>
          <w:trHeight w:val="272"/>
          <w:jc w:val="center"/>
        </w:trPr>
        <w:tc>
          <w:tcPr>
            <w:tcW w:w="0" w:type="auto"/>
            <w:tcMar>
              <w:top w:w="150" w:type="dxa"/>
              <w:left w:w="0" w:type="dxa"/>
              <w:bottom w:w="150" w:type="dxa"/>
              <w:right w:w="240" w:type="dxa"/>
            </w:tcMar>
            <w:vAlign w:val="center"/>
            <w:hideMark/>
          </w:tcPr>
          <w:p w14:paraId="506AAAA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2721AF6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Bearing3_1</w:t>
            </w:r>
          </w:p>
        </w:tc>
        <w:tc>
          <w:tcPr>
            <w:tcW w:w="0" w:type="auto"/>
            <w:tcMar>
              <w:top w:w="150" w:type="dxa"/>
              <w:left w:w="240" w:type="dxa"/>
              <w:bottom w:w="150" w:type="dxa"/>
              <w:right w:w="240" w:type="dxa"/>
            </w:tcMar>
            <w:vAlign w:val="center"/>
            <w:hideMark/>
          </w:tcPr>
          <w:p w14:paraId="525290A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1399.08</w:t>
            </w:r>
          </w:p>
        </w:tc>
        <w:tc>
          <w:tcPr>
            <w:tcW w:w="0" w:type="auto"/>
            <w:tcMar>
              <w:top w:w="150" w:type="dxa"/>
              <w:left w:w="240" w:type="dxa"/>
              <w:bottom w:w="150" w:type="dxa"/>
              <w:right w:w="240" w:type="dxa"/>
            </w:tcMar>
            <w:vAlign w:val="center"/>
            <w:hideMark/>
          </w:tcPr>
          <w:p w14:paraId="4484442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1360.70</w:t>
            </w:r>
          </w:p>
        </w:tc>
        <w:tc>
          <w:tcPr>
            <w:tcW w:w="0" w:type="auto"/>
            <w:tcMar>
              <w:top w:w="150" w:type="dxa"/>
              <w:left w:w="240" w:type="dxa"/>
              <w:bottom w:w="150" w:type="dxa"/>
              <w:right w:w="0" w:type="dxa"/>
            </w:tcMar>
            <w:vAlign w:val="center"/>
            <w:hideMark/>
          </w:tcPr>
          <w:p w14:paraId="2136DB0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r w:rsidR="00942E59" w:rsidRPr="00942E59" w14:paraId="18630516" w14:textId="77777777" w:rsidTr="00EE2A2C">
        <w:trPr>
          <w:trHeight w:val="272"/>
          <w:jc w:val="center"/>
        </w:trPr>
        <w:tc>
          <w:tcPr>
            <w:tcW w:w="0" w:type="auto"/>
            <w:tcMar>
              <w:top w:w="150" w:type="dxa"/>
              <w:left w:w="0" w:type="dxa"/>
              <w:bottom w:w="150" w:type="dxa"/>
              <w:right w:w="240" w:type="dxa"/>
            </w:tcMar>
            <w:vAlign w:val="center"/>
            <w:hideMark/>
          </w:tcPr>
          <w:p w14:paraId="65E7D34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09A0A18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Bearing3_2</w:t>
            </w:r>
          </w:p>
        </w:tc>
        <w:tc>
          <w:tcPr>
            <w:tcW w:w="0" w:type="auto"/>
            <w:tcMar>
              <w:top w:w="150" w:type="dxa"/>
              <w:left w:w="240" w:type="dxa"/>
              <w:bottom w:w="150" w:type="dxa"/>
              <w:right w:w="240" w:type="dxa"/>
            </w:tcMar>
            <w:vAlign w:val="center"/>
            <w:hideMark/>
          </w:tcPr>
          <w:p w14:paraId="7260CED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1166.75</w:t>
            </w:r>
          </w:p>
        </w:tc>
        <w:tc>
          <w:tcPr>
            <w:tcW w:w="0" w:type="auto"/>
            <w:tcMar>
              <w:top w:w="150" w:type="dxa"/>
              <w:left w:w="240" w:type="dxa"/>
              <w:bottom w:w="150" w:type="dxa"/>
              <w:right w:w="240" w:type="dxa"/>
            </w:tcMar>
            <w:vAlign w:val="center"/>
            <w:hideMark/>
          </w:tcPr>
          <w:p w14:paraId="06EC0D6A"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1054.29</w:t>
            </w:r>
          </w:p>
        </w:tc>
        <w:tc>
          <w:tcPr>
            <w:tcW w:w="0" w:type="auto"/>
            <w:tcMar>
              <w:top w:w="150" w:type="dxa"/>
              <w:left w:w="240" w:type="dxa"/>
              <w:bottom w:w="150" w:type="dxa"/>
              <w:right w:w="0" w:type="dxa"/>
            </w:tcMar>
            <w:vAlign w:val="center"/>
            <w:hideMark/>
          </w:tcPr>
          <w:p w14:paraId="28CB400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bl>
    <w:p w14:paraId="29C6E29A"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胜出分布分析。</w:t>
      </w:r>
    </w:p>
    <w:p w14:paraId="4DEFFDF8"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逐折明细表明，迁移模型的改善并非由单一或少数异常折次驱动。N=1层级下六折中五折胜出，唯一失败的折次为 Bearing3_1；N=2层级同样五折胜出，唯一失败仍为 Bearing3_1。当 N 增加至 3 时，胜出折数降至三折，失败样本扩大至 Bearing1_2、Bearing2_2 及 Bearing3 系列全部两个样本。</w:t>
      </w:r>
    </w:p>
    <w:p w14:paraId="0AEEECA3"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从样本维度观察，Bearing1 系列（两个样本）在所有 N 层级下均表现稳定——迁移模型始终优于或持平 Scratch。Bearing2 系列除 N=3 时 Bearing2_2 出现一次失败外，其余全部胜出。Bearing3 系列则是失败最集中的样本组：Bearing3_1 在全部三个 N 层级上均未胜出，Bearing3_2 在 N=1、2 时胜出，N=3 时失败。</w:t>
      </w:r>
    </w:p>
    <w:p w14:paraId="0AF8DF04"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失败折次的归因。</w:t>
      </w:r>
    </w:p>
    <w:p w14:paraId="08905FF8"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Bearing3 系列样本在 FEMTO 数据集中的退化行为具有特殊性。回顾 2.4 节表6中记录的质量门控数据，FEMTO 轴承整体的 health-RUL 平均相关系数为 0.9587，但 Bearing3_1 与 Bearing3_2 的个体相关系数显著低于该均值——这两个样本在退化后期出现了多次振动能量的剧烈瞬态波动，而非渐进式平滑抬升，导致其退化轨迹与“单调健康衰减”的源域假设偏离较大。当迁移模型面对此类非单调样本时，源域预训练所强化的单调趋势先验反而成为一种约束，限制了模型对瞬态突变的响应能力。在 N=3 时，训练集中包含了更多 Bearing3 系列的特征，这种约束效应被进一步放大，导致迁移模型在该样本上的表现不及从头训练的 Scratch 模型——后者不受源域先验的束缚，可以更灵活地拟合本地的非平稳模式。</w:t>
      </w:r>
    </w:p>
    <w:p w14:paraId="25BE5375"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稳定性结论。</w:t>
      </w:r>
    </w:p>
    <w:p w14:paraId="11948959"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lastRenderedPageBreak/>
        <w:t>综合逐折结果，迁移模型在 Bearing1 与 Bearing2 系列样本上表现出一致且稳定的正向增益，在 Bearing3 系列样本上则存在局限性。这一分布特征支持了 6.2 节中 N=1、N=2 层级的正向判定——增益不是统计偶然，而是集中在退化行为与源域假设相容的样本子集上。同时，Bearing3 系列的表现差异也提示了一个重要的改进方向：当前迁移框架对“源域退化形态”的假设较为刚性，当目标域存在强非单调退化或高噪声样本时，预训练知识的正则化效应可能从保护变为束缚。后续工作中，引入更具鲁棒性的时序建模策略（如注意力机制对突变点的自适应加权）或更丰富的源域退化多样性（涵盖不同噪声水平的机械退化数据），有望进一步扩展迁移框架的适用边界，使其在 Bearing3 类样本上同样释放正向增益。</w:t>
      </w:r>
    </w:p>
    <w:p w14:paraId="0A65C6A5"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后续数据需求。</w:t>
      </w:r>
    </w:p>
    <w:p w14:paraId="7D825AF7"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逐折结果的另一层启示在于验证集构建的挑战。当前 v3 协议受限于 FEMTO 仅有六个可用样本，outer-LOO 的折次有限，难以支撑更细粒度的统计分析。后续引入更多未见轨迹（如 IMS 数据集中额外的轴承样本）或真实工程数据，将有助于进一步确认迁移增益的统计稳健性，并降低单一异常样本对整体结论的潜在影响。</w:t>
      </w:r>
    </w:p>
    <w:p w14:paraId="54F971A4" w14:textId="77777777" w:rsidR="00EE0486" w:rsidRPr="00EE0486" w:rsidRDefault="00EE0486" w:rsidP="00EE0486">
      <w:pPr>
        <w:pStyle w:val="2"/>
        <w:rPr>
          <w:rFonts w:asciiTheme="majorEastAsia" w:eastAsiaTheme="majorEastAsia" w:hAnsiTheme="majorEastAsia"/>
        </w:rPr>
      </w:pPr>
      <w:r w:rsidRPr="00EE0486">
        <w:rPr>
          <w:rFonts w:asciiTheme="majorEastAsia" w:eastAsiaTheme="majorEastAsia" w:hAnsiTheme="majorEastAsia"/>
          <w:b/>
          <w:bCs/>
        </w:rPr>
        <w:t>7.1 在线工作流</w:t>
      </w:r>
    </w:p>
    <w:p w14:paraId="00898523"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在算法验证之外，本项目还构建了一套完整的寿命状态在线监测工作流，将预测模型从“离线评估工具”升级为“工程决策辅助系统”。该工作流以赛事加分项要求的“寿命状态直观表达”和“工程应用流程”为导向，涵盖从数据接入到风险分级再到审计回放的全链路功能，具备原型级的工程可用性。</w:t>
      </w:r>
    </w:p>
    <w:p w14:paraId="36C53A0D"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数据接入与质量检查。 工作流的起点为航天器遥测数据的标准化接入。系统支持转速、温度、电流、振动加速度（反作用轮场景）以及电压、电流、循环容量（电池场景）等多类型传感器通道的并行读取。数据接入层在将原始信号送入预测引擎之前，执行三项自动质量检查——时间顺序校验（确保数据按正确时序排列）、缺失值检测（标记并插补异常缺测点）以及物理单位校验（确认输入量纲与训练阶段一致）。任一检查未通过时，系统返回明确错误码，阻断下游推理过程，避免因数据质量问题导致无效预测。</w:t>
      </w:r>
    </w:p>
    <w:p w14:paraId="4750D040"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健康特征构造。 通过质量检查的原始遥测数据被送入特征变换模块。该模块加载训练阶段固化的目标域 scaler 参数（均值和标准差）与 health 变换函数，将原始多通道信号映射为统一语义方向上的健康指标序列。该步骤所有变换参数均来源于训练折的独立估计，在线推理阶段仅执行前向变换，不涉及任何参数自适应更新，确保预测条件与验证协议严格一致。</w:t>
      </w:r>
    </w:p>
    <w:p w14:paraId="02521027"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滚动窗口预测。 系统维护一个长度为 L 的滑动窗口缓存，按时间顺序持续接收新到达的健康特征向量。每当窗口填满，即构成一个完整的时序输入张量，送入已加载的迁移模型执行前向推理——编码器将窗口内的历史信息压缩为当前退化状态表征，预测头输出该时刻的剩余寿命估计值（以原始物理单位计）。该过程以流式方式持续运行：每一个新的遥测帧到达后，窗口滑动一步，模型输出一次新的 RUL 估计，形成连续的生命周期预测流。</w:t>
      </w:r>
    </w:p>
    <w:p w14:paraId="21426709"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风险等级判定。 单点 RUL 估计值之外，系统将预测结果进一步转化为工程人员可直接解读的三级健康状态：</w:t>
      </w:r>
    </w:p>
    <w:p w14:paraId="0B7786F6"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正常（绿色）。 预测 RUL 超过预设安全阈值，且近期预测趋势稳定，表明组件当前处于健康服役期，按计划继续运行。</w:t>
      </w:r>
    </w:p>
    <w:p w14:paraId="038148D0"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关注（黄色）。 预测 RUL 进入警戒区间，或 RUL 估计值在过去若干窗口内呈现加速下降趋势，提示退化进程可能正在加快，建议缩短监测间隔并关注相关遥测变化。</w:t>
      </w:r>
    </w:p>
    <w:p w14:paraId="11D304F2"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警告（红色）。 预测 RUL 低于最低可接受剩余寿命限值，或预测偏差出现异常跳变，提示组件已接近或达到寿命终点，需启动维护评估流程。</w:t>
      </w:r>
    </w:p>
    <w:p w14:paraId="67715FEC"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三级状态的判定阈值可根据不同组件和任务剖面进行配置，并非硬编码于系统底层，以适应不同航天任务对风险容忍度的差异化要求。</w:t>
      </w:r>
    </w:p>
    <w:p w14:paraId="0379E0CA"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审计回放模式。 为同时满足工程一线操作需求与赛事可追溯性审查要求，系统提供两种界</w:t>
      </w:r>
      <w:r w:rsidRPr="00EE0486">
        <w:rPr>
          <w:rFonts w:asciiTheme="majorEastAsia" w:eastAsiaTheme="majorEastAsia" w:hAnsiTheme="majorEastAsia"/>
        </w:rPr>
        <w:lastRenderedPageBreak/>
        <w:t>面视图：</w:t>
      </w:r>
    </w:p>
    <w:p w14:paraId="75B1691D"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操作员视图聚焦于决策效率——界面仅呈现当前健康状态等级、RUL 估计值及最近若干时刻的预测趋势曲线，无任何技术细节干扰，供一线人员在轨控操作中快速获取判断依据。</w:t>
      </w:r>
    </w:p>
    <w:p w14:paraId="321A8588"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审计员视图则在操作员视图的基础上叠加完整的实验溯源信息：当前测试折的真实标签（若已归档）、各折预测误差明细、当前所用折叠身份标识、输入数据 SHA-256 哈希值以及协议版本号。该视图面向赛事评审、技术归零或第三方复验场景，使评审方可独立验证每一个预测结果对应的数据版本与模型状态。</w:t>
      </w:r>
    </w:p>
    <w:p w14:paraId="3E817FF5"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上述在线工作流已全部完成开发与本地部署，可作为航天器在轨健康管理辅助决策系统的原型验证基础。系统启动流程、界面截图及操作手册详见附录。</w:t>
      </w:r>
    </w:p>
    <w:p w14:paraId="0C133BB3" w14:textId="77777777" w:rsidR="007A1533" w:rsidRPr="007A1533" w:rsidRDefault="007A1533" w:rsidP="007A1533">
      <w:pPr>
        <w:pStyle w:val="2"/>
        <w:rPr>
          <w:rFonts w:asciiTheme="majorEastAsia" w:eastAsiaTheme="majorEastAsia" w:hAnsiTheme="majorEastAsia"/>
        </w:rPr>
      </w:pPr>
      <w:r w:rsidRPr="007A1533">
        <w:rPr>
          <w:rFonts w:asciiTheme="majorEastAsia" w:eastAsiaTheme="majorEastAsia" w:hAnsiTheme="majorEastAsia"/>
          <w:b/>
          <w:bCs/>
        </w:rPr>
        <w:t>7.2 工程证据与交付物</w:t>
      </w:r>
    </w:p>
    <w:p w14:paraId="0B528D28" w14:textId="77777777" w:rsidR="007A1533" w:rsidRPr="007A1533" w:rsidRDefault="007A1533" w:rsidP="007A1533">
      <w:pPr>
        <w:rPr>
          <w:rFonts w:asciiTheme="majorEastAsia" w:eastAsiaTheme="majorEastAsia" w:hAnsiTheme="majorEastAsia"/>
        </w:rPr>
      </w:pPr>
      <w:r w:rsidRPr="007A1533">
        <w:rPr>
          <w:rFonts w:asciiTheme="majorEastAsia" w:eastAsiaTheme="majorEastAsia" w:hAnsiTheme="majorEastAsia"/>
        </w:rPr>
        <w:t>仪表板以单页面形式集成以下核心视图：预测RUL随时间变化的趋势曲线、健康状态退化轨迹、当前风险等级指示器、时间轴滑动控件、模型版本标签以及审计回放入口。界面设计遵循信息层级清晰的原则——操作人员可在数秒内获取“当前组件处于什么状态、还剩多少寿命、是否需要注意”三个关键信息，无需理解底层模型细节。</w:t>
      </w:r>
    </w:p>
    <w:p w14:paraId="78FDEDDA" w14:textId="77777777" w:rsidR="007A1533" w:rsidRPr="007A1533" w:rsidRDefault="007A1533" w:rsidP="007A1533">
      <w:pPr>
        <w:rPr>
          <w:rFonts w:asciiTheme="majorEastAsia" w:eastAsiaTheme="majorEastAsia" w:hAnsiTheme="majorEastAsia"/>
        </w:rPr>
      </w:pPr>
      <w:r w:rsidRPr="007A1533">
        <w:rPr>
          <w:rFonts w:asciiTheme="majorEastAsia" w:eastAsiaTheme="majorEastAsia" w:hAnsiTheme="majorEastAsia"/>
        </w:rPr>
        <w:t>仪表板界面中明确标注COMSOL数据为“反作用轮机械退化仿真代理”，并在显著位置保留“需经未见outer holdout确认”的限制声明，确保技术结论的边界条件在工程展示环节不被遗忘或误读。下述各工程能力模块均已交付可运行材料：</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5953"/>
      </w:tblGrid>
      <w:tr w:rsidR="002C006B" w:rsidRPr="007A1533" w14:paraId="1E4EF15B" w14:textId="77777777" w:rsidTr="002C006B">
        <w:trPr>
          <w:tblHeader/>
          <w:jc w:val="center"/>
        </w:trPr>
        <w:tc>
          <w:tcPr>
            <w:tcW w:w="2122" w:type="dxa"/>
            <w:tcMar>
              <w:top w:w="150" w:type="dxa"/>
              <w:left w:w="0" w:type="dxa"/>
              <w:bottom w:w="150" w:type="dxa"/>
              <w:right w:w="240" w:type="dxa"/>
            </w:tcMar>
            <w:vAlign w:val="center"/>
            <w:hideMark/>
          </w:tcPr>
          <w:p w14:paraId="409AB87C"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能力模块</w:t>
            </w:r>
          </w:p>
        </w:tc>
        <w:tc>
          <w:tcPr>
            <w:tcW w:w="5953" w:type="dxa"/>
            <w:tcMar>
              <w:top w:w="150" w:type="dxa"/>
              <w:left w:w="240" w:type="dxa"/>
              <w:bottom w:w="150" w:type="dxa"/>
              <w:right w:w="240" w:type="dxa"/>
            </w:tcMar>
            <w:vAlign w:val="center"/>
            <w:hideMark/>
          </w:tcPr>
          <w:p w14:paraId="0AA4434B"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工程价值</w:t>
            </w:r>
          </w:p>
        </w:tc>
      </w:tr>
      <w:tr w:rsidR="002C006B" w:rsidRPr="007A1533" w14:paraId="53815D00" w14:textId="77777777" w:rsidTr="002C006B">
        <w:trPr>
          <w:jc w:val="center"/>
        </w:trPr>
        <w:tc>
          <w:tcPr>
            <w:tcW w:w="2122" w:type="dxa"/>
            <w:tcMar>
              <w:top w:w="150" w:type="dxa"/>
              <w:left w:w="0" w:type="dxa"/>
              <w:bottom w:w="150" w:type="dxa"/>
              <w:right w:w="240" w:type="dxa"/>
            </w:tcMar>
            <w:vAlign w:val="center"/>
            <w:hideMark/>
          </w:tcPr>
          <w:p w14:paraId="558DEC4D"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RUL与趋势曲线</w:t>
            </w:r>
          </w:p>
        </w:tc>
        <w:tc>
          <w:tcPr>
            <w:tcW w:w="5953" w:type="dxa"/>
            <w:tcMar>
              <w:top w:w="150" w:type="dxa"/>
              <w:left w:w="240" w:type="dxa"/>
              <w:bottom w:w="150" w:type="dxa"/>
              <w:right w:w="240" w:type="dxa"/>
            </w:tcMar>
            <w:vAlign w:val="center"/>
            <w:hideMark/>
          </w:tcPr>
          <w:p w14:paraId="40AF214F"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直观观测退化进程与剩余寿命走势，支持趋势预判</w:t>
            </w:r>
          </w:p>
        </w:tc>
      </w:tr>
      <w:tr w:rsidR="002C006B" w:rsidRPr="007A1533" w14:paraId="2B7526A6" w14:textId="77777777" w:rsidTr="002C006B">
        <w:trPr>
          <w:jc w:val="center"/>
        </w:trPr>
        <w:tc>
          <w:tcPr>
            <w:tcW w:w="2122" w:type="dxa"/>
            <w:tcMar>
              <w:top w:w="150" w:type="dxa"/>
              <w:left w:w="0" w:type="dxa"/>
              <w:bottom w:w="150" w:type="dxa"/>
              <w:right w:w="240" w:type="dxa"/>
            </w:tcMar>
            <w:vAlign w:val="center"/>
            <w:hideMark/>
          </w:tcPr>
          <w:p w14:paraId="24D99EB8"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风险状态指示</w:t>
            </w:r>
          </w:p>
        </w:tc>
        <w:tc>
          <w:tcPr>
            <w:tcW w:w="5953" w:type="dxa"/>
            <w:tcMar>
              <w:top w:w="150" w:type="dxa"/>
              <w:left w:w="240" w:type="dxa"/>
              <w:bottom w:w="150" w:type="dxa"/>
              <w:right w:w="240" w:type="dxa"/>
            </w:tcMar>
            <w:vAlign w:val="center"/>
            <w:hideMark/>
          </w:tcPr>
          <w:p w14:paraId="4BAACAE4"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将连续预测值转化为正常/关注/警告三级离散动作信号</w:t>
            </w:r>
          </w:p>
        </w:tc>
      </w:tr>
      <w:tr w:rsidR="002C006B" w:rsidRPr="007A1533" w14:paraId="46790B79" w14:textId="77777777" w:rsidTr="002C006B">
        <w:trPr>
          <w:jc w:val="center"/>
        </w:trPr>
        <w:tc>
          <w:tcPr>
            <w:tcW w:w="2122" w:type="dxa"/>
            <w:tcMar>
              <w:top w:w="150" w:type="dxa"/>
              <w:left w:w="0" w:type="dxa"/>
              <w:bottom w:w="150" w:type="dxa"/>
              <w:right w:w="240" w:type="dxa"/>
            </w:tcMar>
            <w:vAlign w:val="center"/>
            <w:hideMark/>
          </w:tcPr>
          <w:p w14:paraId="48587C01"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操作员/审计员视图分离</w:t>
            </w:r>
          </w:p>
        </w:tc>
        <w:tc>
          <w:tcPr>
            <w:tcW w:w="5953" w:type="dxa"/>
            <w:tcMar>
              <w:top w:w="150" w:type="dxa"/>
              <w:left w:w="240" w:type="dxa"/>
              <w:bottom w:w="150" w:type="dxa"/>
              <w:right w:w="240" w:type="dxa"/>
            </w:tcMar>
            <w:vAlign w:val="center"/>
            <w:hideMark/>
          </w:tcPr>
          <w:p w14:paraId="059A1A11"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操作员界面不暴露未来标签，满足工程信息降噪与审计可追溯双重需求</w:t>
            </w:r>
          </w:p>
        </w:tc>
      </w:tr>
      <w:tr w:rsidR="002C006B" w:rsidRPr="007A1533" w14:paraId="1ACB55FA" w14:textId="77777777" w:rsidTr="002C006B">
        <w:trPr>
          <w:jc w:val="center"/>
        </w:trPr>
        <w:tc>
          <w:tcPr>
            <w:tcW w:w="2122" w:type="dxa"/>
            <w:tcMar>
              <w:top w:w="150" w:type="dxa"/>
              <w:left w:w="0" w:type="dxa"/>
              <w:bottom w:w="150" w:type="dxa"/>
              <w:right w:w="240" w:type="dxa"/>
            </w:tcMar>
            <w:vAlign w:val="center"/>
            <w:hideMark/>
          </w:tcPr>
          <w:p w14:paraId="2CBA0E21"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版本与哈希溯源</w:t>
            </w:r>
          </w:p>
        </w:tc>
        <w:tc>
          <w:tcPr>
            <w:tcW w:w="5953" w:type="dxa"/>
            <w:tcMar>
              <w:top w:w="150" w:type="dxa"/>
              <w:left w:w="240" w:type="dxa"/>
              <w:bottom w:w="150" w:type="dxa"/>
              <w:right w:w="240" w:type="dxa"/>
            </w:tcMar>
            <w:vAlign w:val="center"/>
            <w:hideMark/>
          </w:tcPr>
          <w:p w14:paraId="78BCD469"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每一个预测结果均可定位至具体协议版本和输入数据批次</w:t>
            </w:r>
          </w:p>
        </w:tc>
      </w:tr>
      <w:tr w:rsidR="002C006B" w:rsidRPr="007A1533" w14:paraId="2B5021E0" w14:textId="77777777" w:rsidTr="002C006B">
        <w:trPr>
          <w:jc w:val="center"/>
        </w:trPr>
        <w:tc>
          <w:tcPr>
            <w:tcW w:w="2122" w:type="dxa"/>
            <w:tcMar>
              <w:top w:w="150" w:type="dxa"/>
              <w:left w:w="0" w:type="dxa"/>
              <w:bottom w:w="150" w:type="dxa"/>
              <w:right w:w="240" w:type="dxa"/>
            </w:tcMar>
            <w:vAlign w:val="center"/>
            <w:hideMark/>
          </w:tcPr>
          <w:p w14:paraId="05AE1065"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本地与Docker启动</w:t>
            </w:r>
          </w:p>
        </w:tc>
        <w:tc>
          <w:tcPr>
            <w:tcW w:w="5953" w:type="dxa"/>
            <w:tcMar>
              <w:top w:w="150" w:type="dxa"/>
              <w:left w:w="240" w:type="dxa"/>
              <w:bottom w:w="150" w:type="dxa"/>
              <w:right w:w="240" w:type="dxa"/>
            </w:tcMar>
            <w:vAlign w:val="center"/>
            <w:hideMark/>
          </w:tcPr>
          <w:p w14:paraId="01B7AB7E"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支持一键拉起完整演示环境，消除环境依赖导致的复现障碍</w:t>
            </w:r>
          </w:p>
        </w:tc>
      </w:tr>
    </w:tbl>
    <w:p w14:paraId="3C3067EA" w14:textId="77777777" w:rsidR="007A1533" w:rsidRPr="007A1533" w:rsidRDefault="007A1533" w:rsidP="007A1533">
      <w:pPr>
        <w:rPr>
          <w:rFonts w:asciiTheme="majorEastAsia" w:eastAsiaTheme="majorEastAsia" w:hAnsiTheme="majorEastAsia"/>
        </w:rPr>
      </w:pPr>
      <w:r>
        <w:t>工程演示、启动命令和交付物索引见仓库 docs/engineering_demo.md；评审方可先运行工程演示，再按复现脚本检查协议和结果文件。</w:t>
      </w:r>
    </w:p>
    <w:p w14:paraId="00174898" w14:textId="77777777" w:rsidR="00770B2A" w:rsidRPr="00770B2A" w:rsidRDefault="00770B2A" w:rsidP="00770B2A">
      <w:pPr>
        <w:pStyle w:val="1"/>
        <w:rPr>
          <w:rFonts w:asciiTheme="majorEastAsia" w:eastAsiaTheme="majorEastAsia" w:hAnsiTheme="majorEastAsia"/>
        </w:rPr>
      </w:pPr>
      <w:r w:rsidRPr="00770B2A">
        <w:rPr>
          <w:rFonts w:asciiTheme="majorEastAsia" w:eastAsiaTheme="majorEastAsia" w:hAnsiTheme="majorEastAsia"/>
          <w:b/>
          <w:bCs/>
        </w:rPr>
        <w:t>八、工程实现与可复现性</w:t>
      </w:r>
    </w:p>
    <w:p>
      <w:pPr>
        <w:pStyle w:val="2"/>
      </w:pPr>
      <w:r>
        <w:t>软件系统作为工程演示层</w:t>
      </w:r>
    </w:p>
    <w:p>
      <w:r>
        <w:t>同学补充的软件部分被纳入工程演示层，而不是主实验层。软件系统读取已归档的预测结果和协议元数据，提供寿命趋势回放、RUL 数值、健康状态分级、时间轴浏览以及操作员/审计员双视图。它不重新训练模型，也不改变主实验的 outer-fold 切分、指标或结论，因此不会把展示功能误当成算法证据。</w:t>
      </w:r>
    </w:p>
    <w:p>
      <w:r>
        <w:t>评审方可在仓库 outputs/engineering_demo/femto_ims_to_comsol_v5/ 查看可离线打开的 index.html 和 DASHBOARD_DATA.json；启动说明见 docs/engineering_demo.md，脚本入口为 scripts/run_engineering_demo.py 与 scripts/run_engineering_demo.ps1。该模块对应赛事“寿命状态直观表达和工程应用流程”要求，主实验仍由 scripts/exp_cross_transfer_v3.py 及其审计输出定义。</w:t>
      </w:r>
      <w:r>
        <w:t xml:space="preserve"> frontend/ (Electron + React + TypeScript client); backend/ (Python inference, training, and data services);</w:t>
      </w:r>
    </w:p>
    <w:p>
      <w:r>
        <w:t>分支策略：main 只承载主实验、数据协议、复现环境和评委版文档；软件工程演示作为同一仓库中的独立模块维护，必要时使用 feature/software 或 software-demo 分支开发，合并前不得改写主实验结果。</w:t>
      </w:r>
    </w:p>
    <w:p w14:paraId="1848AEFC" w14:textId="77777777" w:rsidR="00770B2A" w:rsidRPr="00770B2A" w:rsidRDefault="00770B2A" w:rsidP="00770B2A">
      <w:pPr>
        <w:pStyle w:val="2"/>
        <w:rPr>
          <w:rFonts w:asciiTheme="majorEastAsia" w:eastAsiaTheme="majorEastAsia" w:hAnsiTheme="majorEastAsia"/>
        </w:rPr>
      </w:pPr>
      <w:r w:rsidRPr="00770B2A">
        <w:rPr>
          <w:rFonts w:asciiTheme="majorEastAsia" w:eastAsiaTheme="majorEastAsia" w:hAnsiTheme="majorEastAsia"/>
          <w:b/>
          <w:bCs/>
        </w:rPr>
        <w:t>8.1 代码组织</w:t>
      </w:r>
    </w:p>
    <w:p w14:paraId="376DC321" w14:textId="77777777" w:rsidR="00770B2A" w:rsidRPr="00770B2A" w:rsidRDefault="00770B2A" w:rsidP="00770B2A">
      <w:pPr>
        <w:rPr>
          <w:rFonts w:asciiTheme="majorEastAsia" w:eastAsiaTheme="majorEastAsia" w:hAnsiTheme="majorEastAsia"/>
        </w:rPr>
      </w:pPr>
      <w:r w:rsidRPr="00770B2A">
        <w:rPr>
          <w:rFonts w:asciiTheme="majorEastAsia" w:eastAsiaTheme="majorEastAsia" w:hAnsiTheme="majorEastAsia"/>
        </w:rPr>
        <w:t>本项目代码库以 PyTorch 为深度学习框架，围绕“模块解耦、流程固化、结果可溯”三个原则进行组织，确保评审方可在无需作者协助的情况下独立完成训练、微调、评估与复现全流程。</w:t>
      </w:r>
    </w:p>
    <w:p w14:paraId="08E3985C" w14:textId="77777777" w:rsidR="00770B2A" w:rsidRPr="00770B2A" w:rsidRDefault="00770B2A" w:rsidP="00770B2A">
      <w:pPr>
        <w:rPr>
          <w:rFonts w:asciiTheme="majorEastAsia" w:eastAsiaTheme="majorEastAsia" w:hAnsiTheme="majorEastAsia"/>
        </w:rPr>
      </w:pPr>
      <w:r w:rsidRPr="00770B2A">
        <w:rPr>
          <w:rFonts w:asciiTheme="majorEastAsia" w:eastAsiaTheme="majorEastAsia" w:hAnsiTheme="majorEastAsia"/>
        </w:rPr>
        <w:t>代码库按功能职责划分为五个顶层模块：data/ 负责所有数据集的加载、轨迹级切分、哈希校验与预处理流水线；models/ 包含编码器、输入投影层、RUL预测头及adapter等网络结</w:t>
      </w:r>
      <w:r w:rsidRPr="00770B2A">
        <w:rPr>
          <w:rFonts w:asciiTheme="majorEastAsia" w:eastAsiaTheme="majorEastAsia" w:hAnsiTheme="majorEastAsia"/>
        </w:rPr>
        <w:lastRenderedPageBreak/>
        <w:t>构定义；evaluation/ 实现各评估指标计算、基线对照生成与结果汇总逻辑；experiments/ 承载主协议与补充协议的训练入口、微调流程及早停控制；visualization/ 提供预测曲线绘制、仪表板数据接口与风险状态渲染功能。各模块间通过明确的输入输出契约进行交互，支持独立修改与替换而不影响上下游流程。</w:t>
      </w:r>
    </w:p>
    <w:p w14:paraId="1E58BABF" w14:textId="77777777" w:rsidR="00770B2A" w:rsidRPr="00770B2A" w:rsidRDefault="00770B2A" w:rsidP="00770B2A">
      <w:pPr>
        <w:rPr>
          <w:rFonts w:asciiTheme="majorEastAsia" w:eastAsiaTheme="majorEastAsia" w:hAnsiTheme="majorEastAsia"/>
        </w:rPr>
      </w:pPr>
      <w:r w:rsidRPr="00770B2A">
        <w:rPr>
          <w:rFonts w:asciiTheme="majorEastAsia" w:eastAsiaTheme="majorEastAsia" w:hAnsiTheme="majorEastAsia"/>
        </w:rPr>
        <w:t>两个主入口脚本分别对应赛事主协议与反作用轮仿真代理协议：scripts/exp_cross_transfer_v3.py 执行喷嘴→NASA电池与喷嘴→FEMTO两条链路的跨组件迁移实验；scripts/exp_femto_ims_to_comsol_outerloo_v5.py 执行FEMTO→COMSOL反作用轮仿真代理的留一轨迹验证。两个入口脚本共享同一套底层训练与评估引擎，仅在数据加载配置与协议参数上有所区分，确保了不同实验之间训练策略的一致性。</w:t>
      </w:r>
    </w:p>
    <w:p w14:paraId="4D00E323" w14:textId="77777777" w:rsidR="00770B2A" w:rsidRPr="00770B2A" w:rsidRDefault="00770B2A" w:rsidP="00770B2A">
      <w:pPr>
        <w:rPr>
          <w:rFonts w:asciiTheme="majorEastAsia" w:eastAsiaTheme="majorEastAsia" w:hAnsiTheme="majorEastAsia"/>
        </w:rPr>
      </w:pPr>
      <w:r w:rsidRPr="00770B2A">
        <w:rPr>
          <w:rFonts w:asciiTheme="majorEastAsia" w:eastAsiaTheme="majorEastAsia" w:hAnsiTheme="majorEastAsia"/>
        </w:rPr>
        <w:t>所有实验输出按协议版本和运行时间进行目录隔离。主输出根目录为 outputs/cross_component_transfer_v3/ 与 outputs/femto_ims_to_comsol_v5/，每个目录内包含完整的状态文件、指标汇总、逐折预测、训练曲线与版本锁定记录。历史诊断结果（如早期协议版本下的探索性实验）被单独存放在 outputs/archive/ 中，与主结论明确区分，避免历史调试记录对最终评估结论的干扰，同时保留完整的实验演进轨迹供审查。</w:t>
      </w:r>
    </w:p>
    <w:p w14:paraId="3616A6EF" w14:textId="77777777" w:rsidR="00770B2A" w:rsidRPr="00770B2A" w:rsidRDefault="00770B2A" w:rsidP="00770B2A">
      <w:pPr>
        <w:rPr>
          <w:rFonts w:asciiTheme="majorEastAsia" w:eastAsiaTheme="majorEastAsia" w:hAnsiTheme="majorEastAsia"/>
        </w:rPr>
      </w:pPr>
      <w:r>
        <w:t>仓库提供 Dockerfile、docker/docker-compose.yml、docker/requirements.lock.txt 以及 reproduce_femto_ims_to_comsol.ps1/.sh。Docker 复现流程按 preflight -&gt; smoke -&gt; full -&gt; artifact audit 执行，结果写入宿主机 outputs/，具体命令见 README.md 和 docs/docker_reproduction_report_20260821.md。</w:t>
      </w:r>
    </w:p>
    <w:p w14:paraId="7225D750" w14:textId="77777777" w:rsidR="004A55A1" w:rsidRPr="004A55A1" w:rsidRDefault="004A55A1" w:rsidP="004A55A1">
      <w:pPr>
        <w:pStyle w:val="2"/>
        <w:rPr>
          <w:rFonts w:asciiTheme="majorEastAsia" w:eastAsiaTheme="majorEastAsia" w:hAnsiTheme="majorEastAsia"/>
        </w:rPr>
      </w:pPr>
      <w:r w:rsidRPr="004A55A1">
        <w:rPr>
          <w:rFonts w:asciiTheme="majorEastAsia" w:eastAsiaTheme="majorEastAsia" w:hAnsiTheme="majorEastAsia"/>
          <w:b/>
          <w:bCs/>
        </w:rPr>
        <w:t>8.2 Docker 容器化复现验证</w:t>
      </w:r>
    </w:p>
    <w:p w14:paraId="30C21798"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可复现性的最终保障来自于容器化封装。本项目使用 Docker Desktop（Linux/WSL2 后端）构建了完整的实验镜像，将全部运行环境、代码依赖与数据校验逻辑固化于同一可移植单元中，消除了因 Python 版本、库版本或操作系统差异所引入的复现不确定性。</w:t>
      </w:r>
    </w:p>
    <w:p w14:paraId="210FE9ED"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镜像基于 Ubuntu 22.04 LTS 构建，预置了经过锁定的 Python 3.11.9 运行时以及全部核心依赖库：PyTorch 2.3.1+cpu（镜像采用 CPU 版本以确保在无 GPU 环境下仍可完整运行，所有实验均可纯 CPU 复现）、NumPy 1.26.4、SciPy 1.13.1、scikit-learn 1.5.1、pandas 2.2.2 与 h5py 3.11.0。依赖版本全部以精确的包哈希值锁定于 requirements.lock 中，任何版本的漂移均会被容器构建流程自动检测并阻断。</w:t>
      </w:r>
    </w:p>
    <w:p w14:paraId="7A8DFC6A"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镜像运行时的数据流遵循“输入只读、输出可写”的工程安全原则。数据集目录以只读方式挂载至容器内，防止实验过程中意外修改原始数据；输出目录以可写方式挂载，用于存放运行生成的预测结果、指标汇总与状态日志。这一隔离设计使得同一份数据可被多次独立运行反复消费，同时确保每次运行的结果均可完整保存并逐次追溯。</w:t>
      </w:r>
    </w:p>
    <w:p w14:paraId="34196E1D"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项目在镜像内配置了多级验证流水线，用于确认运行环境的正确性与结果的确定性一致性。验证流程按以下顺序执行：</w:t>
      </w:r>
    </w:p>
    <w:p w14:paraId="4EA20EE6"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预检（preflight）。 容器启动后首先执行环境自检，包括 Python 版本核对、所有依赖库的导入测试、GPU/CPU 后端可用性确认、数据集哈希校验以及数据目录完整性扫描。预检全部通过后，流水线方可进入下一阶段。</w:t>
      </w:r>
    </w:p>
    <w:p w14:paraId="3A226885"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冒烟测试（smoke）。 使用极小规模的截断数据执行一个微型训练-评估回合，用以验证数据加载、前向传播、反向传播、checkpoint保存与指标计算全链路的连通性。冒烟测试生成 66 行宏记录，确认所有组件可协同工作而无运行时异常。</w:t>
      </w:r>
    </w:p>
    <w:p w14:paraId="55107D6C"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全量运行（full）。 执行协议要求的完整训练与评估流程。全量运行生成 120 行宏记录，覆盖全部 outer folds、全部样本规模层级以及全部对照基线，输出完整的预测结果、指标汇总与状态日志。</w:t>
      </w:r>
    </w:p>
    <w:p w14:paraId="74A88088"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lastRenderedPageBreak/>
        <w:t>单元与集成测试。 代码库内建了针对数据切分逻辑、可见性审计规则、scalet变换一致性、哈希校验函数以及指标计算正确性的测试套件。容器内执行完整测试集，结果为 129 项测试通过、1 项跳过（该测试依赖可选的可视化组件，非核心推理路径）、10 项警告（均为过时 API 提示，不影响计算结果）以及 43 个子测试通过，确认核心工程实现的可靠性。</w:t>
      </w:r>
    </w:p>
    <w:p w14:paraId="7F57DB9C"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独立全量重跑验证。 为验证同一镜像是否可在不同时间或不同宿主机上产生完全一致的数值结果，项目执行了一次完整的独立重跑——使用相同的镜像、相同的数据挂载与相同的入口命令，在初次运行完成后间隔数日再次启动容器执行全量流程。两次运行的 MACRO 汇总指标、逐折 PREDICTIONS 数值、PROTOCOL 状态文件以及 DATA_MANIFEST 哈希值完全一致，确认了实验结果的确定性复现能力。</w:t>
      </w:r>
    </w:p>
    <w:p w14:paraId="6890F9C3"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上述验证结果汇总如下：</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3034"/>
        <w:gridCol w:w="3666"/>
      </w:tblGrid>
      <w:tr w:rsidR="004A55A1" w:rsidRPr="004A55A1" w14:paraId="2966A17C" w14:textId="77777777" w:rsidTr="004A55A1">
        <w:trPr>
          <w:tblHeader/>
          <w:jc w:val="center"/>
        </w:trPr>
        <w:tc>
          <w:tcPr>
            <w:tcW w:w="0" w:type="auto"/>
            <w:tcMar>
              <w:top w:w="150" w:type="dxa"/>
              <w:left w:w="0" w:type="dxa"/>
              <w:bottom w:w="150" w:type="dxa"/>
              <w:right w:w="240" w:type="dxa"/>
            </w:tcMar>
            <w:vAlign w:val="center"/>
            <w:hideMark/>
          </w:tcPr>
          <w:p w14:paraId="1CCAA50E"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验证项</w:t>
            </w:r>
          </w:p>
        </w:tc>
        <w:tc>
          <w:tcPr>
            <w:tcW w:w="0" w:type="auto"/>
            <w:tcMar>
              <w:top w:w="150" w:type="dxa"/>
              <w:left w:w="240" w:type="dxa"/>
              <w:bottom w:w="150" w:type="dxa"/>
              <w:right w:w="240" w:type="dxa"/>
            </w:tcMar>
            <w:vAlign w:val="center"/>
            <w:hideMark/>
          </w:tcPr>
          <w:p w14:paraId="252ABD30"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执行内容</w:t>
            </w:r>
          </w:p>
        </w:tc>
        <w:tc>
          <w:tcPr>
            <w:tcW w:w="3666" w:type="dxa"/>
            <w:tcMar>
              <w:top w:w="150" w:type="dxa"/>
              <w:left w:w="240" w:type="dxa"/>
              <w:bottom w:w="150" w:type="dxa"/>
              <w:right w:w="240" w:type="dxa"/>
            </w:tcMar>
            <w:vAlign w:val="center"/>
            <w:hideMark/>
          </w:tcPr>
          <w:p w14:paraId="73A8AFA1"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结果</w:t>
            </w:r>
          </w:p>
        </w:tc>
      </w:tr>
      <w:tr w:rsidR="004A55A1" w:rsidRPr="004A55A1" w14:paraId="5B6CCA89" w14:textId="77777777" w:rsidTr="004A55A1">
        <w:trPr>
          <w:jc w:val="center"/>
        </w:trPr>
        <w:tc>
          <w:tcPr>
            <w:tcW w:w="0" w:type="auto"/>
            <w:tcMar>
              <w:top w:w="150" w:type="dxa"/>
              <w:left w:w="0" w:type="dxa"/>
              <w:bottom w:w="150" w:type="dxa"/>
              <w:right w:w="240" w:type="dxa"/>
            </w:tcMar>
            <w:vAlign w:val="center"/>
            <w:hideMark/>
          </w:tcPr>
          <w:p w14:paraId="614DDE66"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预检</w:t>
            </w:r>
          </w:p>
        </w:tc>
        <w:tc>
          <w:tcPr>
            <w:tcW w:w="0" w:type="auto"/>
            <w:tcMar>
              <w:top w:w="150" w:type="dxa"/>
              <w:left w:w="240" w:type="dxa"/>
              <w:bottom w:w="150" w:type="dxa"/>
              <w:right w:w="240" w:type="dxa"/>
            </w:tcMar>
            <w:vAlign w:val="center"/>
            <w:hideMark/>
          </w:tcPr>
          <w:p w14:paraId="0359CC6B"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环境自检与数据完整性校验</w:t>
            </w:r>
          </w:p>
        </w:tc>
        <w:tc>
          <w:tcPr>
            <w:tcW w:w="3666" w:type="dxa"/>
            <w:tcMar>
              <w:top w:w="150" w:type="dxa"/>
              <w:left w:w="240" w:type="dxa"/>
              <w:bottom w:w="150" w:type="dxa"/>
              <w:right w:w="0" w:type="dxa"/>
            </w:tcMar>
            <w:vAlign w:val="center"/>
            <w:hideMark/>
          </w:tcPr>
          <w:p w14:paraId="2703E4C9"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通过</w:t>
            </w:r>
          </w:p>
        </w:tc>
      </w:tr>
      <w:tr w:rsidR="004A55A1" w:rsidRPr="004A55A1" w14:paraId="669FBD9C" w14:textId="77777777" w:rsidTr="004A55A1">
        <w:trPr>
          <w:jc w:val="center"/>
        </w:trPr>
        <w:tc>
          <w:tcPr>
            <w:tcW w:w="0" w:type="auto"/>
            <w:tcMar>
              <w:top w:w="150" w:type="dxa"/>
              <w:left w:w="0" w:type="dxa"/>
              <w:bottom w:w="150" w:type="dxa"/>
              <w:right w:w="240" w:type="dxa"/>
            </w:tcMar>
            <w:vAlign w:val="center"/>
            <w:hideMark/>
          </w:tcPr>
          <w:p w14:paraId="77A2C99A"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冒烟测试</w:t>
            </w:r>
          </w:p>
        </w:tc>
        <w:tc>
          <w:tcPr>
            <w:tcW w:w="0" w:type="auto"/>
            <w:tcMar>
              <w:top w:w="150" w:type="dxa"/>
              <w:left w:w="240" w:type="dxa"/>
              <w:bottom w:w="150" w:type="dxa"/>
              <w:right w:w="240" w:type="dxa"/>
            </w:tcMar>
            <w:vAlign w:val="center"/>
            <w:hideMark/>
          </w:tcPr>
          <w:p w14:paraId="3B1CFF00"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截断数据全链路连通性验证</w:t>
            </w:r>
          </w:p>
        </w:tc>
        <w:tc>
          <w:tcPr>
            <w:tcW w:w="3666" w:type="dxa"/>
            <w:tcMar>
              <w:top w:w="150" w:type="dxa"/>
              <w:left w:w="240" w:type="dxa"/>
              <w:bottom w:w="150" w:type="dxa"/>
              <w:right w:w="0" w:type="dxa"/>
            </w:tcMar>
            <w:vAlign w:val="center"/>
            <w:hideMark/>
          </w:tcPr>
          <w:p w14:paraId="626F65C2"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通过，66 行宏记录</w:t>
            </w:r>
          </w:p>
        </w:tc>
      </w:tr>
      <w:tr w:rsidR="004A55A1" w:rsidRPr="004A55A1" w14:paraId="3459ECDD" w14:textId="77777777" w:rsidTr="004A55A1">
        <w:trPr>
          <w:jc w:val="center"/>
        </w:trPr>
        <w:tc>
          <w:tcPr>
            <w:tcW w:w="0" w:type="auto"/>
            <w:tcMar>
              <w:top w:w="150" w:type="dxa"/>
              <w:left w:w="0" w:type="dxa"/>
              <w:bottom w:w="150" w:type="dxa"/>
              <w:right w:w="240" w:type="dxa"/>
            </w:tcMar>
            <w:vAlign w:val="center"/>
            <w:hideMark/>
          </w:tcPr>
          <w:p w14:paraId="1939E65C"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全量运行</w:t>
            </w:r>
          </w:p>
        </w:tc>
        <w:tc>
          <w:tcPr>
            <w:tcW w:w="0" w:type="auto"/>
            <w:tcMar>
              <w:top w:w="150" w:type="dxa"/>
              <w:left w:w="240" w:type="dxa"/>
              <w:bottom w:w="150" w:type="dxa"/>
              <w:right w:w="240" w:type="dxa"/>
            </w:tcMar>
            <w:vAlign w:val="center"/>
            <w:hideMark/>
          </w:tcPr>
          <w:p w14:paraId="5D472559"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完整协议训练与评估</w:t>
            </w:r>
          </w:p>
        </w:tc>
        <w:tc>
          <w:tcPr>
            <w:tcW w:w="3666" w:type="dxa"/>
            <w:tcMar>
              <w:top w:w="150" w:type="dxa"/>
              <w:left w:w="240" w:type="dxa"/>
              <w:bottom w:w="150" w:type="dxa"/>
              <w:right w:w="0" w:type="dxa"/>
            </w:tcMar>
            <w:vAlign w:val="center"/>
            <w:hideMark/>
          </w:tcPr>
          <w:p w14:paraId="0D709D94"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通过，120 行宏记录</w:t>
            </w:r>
          </w:p>
        </w:tc>
      </w:tr>
      <w:tr w:rsidR="004A55A1" w:rsidRPr="004A55A1" w14:paraId="29B8EF3B" w14:textId="77777777" w:rsidTr="004A55A1">
        <w:trPr>
          <w:jc w:val="center"/>
        </w:trPr>
        <w:tc>
          <w:tcPr>
            <w:tcW w:w="0" w:type="auto"/>
            <w:tcMar>
              <w:top w:w="150" w:type="dxa"/>
              <w:left w:w="0" w:type="dxa"/>
              <w:bottom w:w="150" w:type="dxa"/>
              <w:right w:w="240" w:type="dxa"/>
            </w:tcMar>
            <w:vAlign w:val="center"/>
            <w:hideMark/>
          </w:tcPr>
          <w:p w14:paraId="78E0B9AA"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容器内测试</w:t>
            </w:r>
          </w:p>
        </w:tc>
        <w:tc>
          <w:tcPr>
            <w:tcW w:w="0" w:type="auto"/>
            <w:tcMar>
              <w:top w:w="150" w:type="dxa"/>
              <w:left w:w="240" w:type="dxa"/>
              <w:bottom w:w="150" w:type="dxa"/>
              <w:right w:w="240" w:type="dxa"/>
            </w:tcMar>
            <w:vAlign w:val="center"/>
            <w:hideMark/>
          </w:tcPr>
          <w:p w14:paraId="603FB7BA"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单元测试与集成测试套件</w:t>
            </w:r>
          </w:p>
        </w:tc>
        <w:tc>
          <w:tcPr>
            <w:tcW w:w="3666" w:type="dxa"/>
            <w:tcMar>
              <w:top w:w="150" w:type="dxa"/>
              <w:left w:w="240" w:type="dxa"/>
              <w:bottom w:w="150" w:type="dxa"/>
              <w:right w:w="0" w:type="dxa"/>
            </w:tcMar>
            <w:vAlign w:val="center"/>
            <w:hideMark/>
          </w:tcPr>
          <w:p w14:paraId="077835E9"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129 通过 / 1 跳过 / 10 警告 / 43 子测试通过</w:t>
            </w:r>
          </w:p>
        </w:tc>
      </w:tr>
      <w:tr w:rsidR="004A55A1" w:rsidRPr="004A55A1" w14:paraId="7E7CD056" w14:textId="77777777" w:rsidTr="004A55A1">
        <w:trPr>
          <w:jc w:val="center"/>
        </w:trPr>
        <w:tc>
          <w:tcPr>
            <w:tcW w:w="0" w:type="auto"/>
            <w:tcMar>
              <w:top w:w="150" w:type="dxa"/>
              <w:left w:w="0" w:type="dxa"/>
              <w:bottom w:w="150" w:type="dxa"/>
              <w:right w:w="240" w:type="dxa"/>
            </w:tcMar>
            <w:vAlign w:val="center"/>
            <w:hideMark/>
          </w:tcPr>
          <w:p w14:paraId="36BE7E21"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独立全量重跑</w:t>
            </w:r>
          </w:p>
        </w:tc>
        <w:tc>
          <w:tcPr>
            <w:tcW w:w="0" w:type="auto"/>
            <w:tcMar>
              <w:top w:w="150" w:type="dxa"/>
              <w:left w:w="240" w:type="dxa"/>
              <w:bottom w:w="150" w:type="dxa"/>
              <w:right w:w="240" w:type="dxa"/>
            </w:tcMar>
            <w:vAlign w:val="center"/>
            <w:hideMark/>
          </w:tcPr>
          <w:p w14:paraId="44F98DB5"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数日后再次运行同一镜像</w:t>
            </w:r>
          </w:p>
        </w:tc>
        <w:tc>
          <w:tcPr>
            <w:tcW w:w="3666" w:type="dxa"/>
            <w:tcMar>
              <w:top w:w="150" w:type="dxa"/>
              <w:left w:w="240" w:type="dxa"/>
              <w:bottom w:w="150" w:type="dxa"/>
              <w:right w:w="0" w:type="dxa"/>
            </w:tcMar>
            <w:vAlign w:val="center"/>
            <w:hideMark/>
          </w:tcPr>
          <w:p w14:paraId="34BE2ACD"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指标与哈希完全一致</w:t>
            </w:r>
          </w:p>
        </w:tc>
      </w:tr>
      <w:tr w:rsidR="004A55A1" w:rsidRPr="004A55A1" w14:paraId="5EA3A758" w14:textId="77777777" w:rsidTr="004A55A1">
        <w:trPr>
          <w:jc w:val="center"/>
        </w:trPr>
        <w:tc>
          <w:tcPr>
            <w:tcW w:w="0" w:type="auto"/>
            <w:tcMar>
              <w:top w:w="150" w:type="dxa"/>
              <w:left w:w="0" w:type="dxa"/>
              <w:bottom w:w="150" w:type="dxa"/>
              <w:right w:w="240" w:type="dxa"/>
            </w:tcMar>
            <w:vAlign w:val="center"/>
            <w:hideMark/>
          </w:tcPr>
          <w:p w14:paraId="15517997"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数据挂载</w:t>
            </w:r>
          </w:p>
        </w:tc>
        <w:tc>
          <w:tcPr>
            <w:tcW w:w="0" w:type="auto"/>
            <w:tcMar>
              <w:top w:w="150" w:type="dxa"/>
              <w:left w:w="240" w:type="dxa"/>
              <w:bottom w:w="150" w:type="dxa"/>
              <w:right w:w="240" w:type="dxa"/>
            </w:tcMar>
            <w:vAlign w:val="center"/>
            <w:hideMark/>
          </w:tcPr>
          <w:p w14:paraId="71B2638E"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输入只读 / 输出可写隔离</w:t>
            </w:r>
          </w:p>
        </w:tc>
        <w:tc>
          <w:tcPr>
            <w:tcW w:w="3666" w:type="dxa"/>
            <w:tcMar>
              <w:top w:w="150" w:type="dxa"/>
              <w:left w:w="240" w:type="dxa"/>
              <w:bottom w:w="150" w:type="dxa"/>
              <w:right w:w="0" w:type="dxa"/>
            </w:tcMar>
            <w:vAlign w:val="center"/>
            <w:hideMark/>
          </w:tcPr>
          <w:p w14:paraId="63A22649"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确认</w:t>
            </w:r>
          </w:p>
        </w:tc>
      </w:tr>
    </w:tbl>
    <w:p w14:paraId="4757B93A" w14:textId="77777777" w:rsidR="004A55A1" w:rsidRPr="004A55A1" w:rsidRDefault="004A55A1" w:rsidP="004A55A1">
      <w:pPr>
        <w:rPr>
          <w:rFonts w:asciiTheme="majorEastAsia" w:eastAsiaTheme="majorEastAsia" w:hAnsiTheme="majorEastAsia"/>
        </w:rPr>
      </w:pPr>
      <w:r>
        <w:t>上述材料支持评审方在 Docker Desktop 中复现实验协议和工程演示；具体运行时间与机器环境可能不同，最终以生成的环境记录、协议文件和哈希清单为准。</w:t>
      </w:r>
    </w:p>
    <w:p w14:paraId="172C13A8" w14:textId="77777777" w:rsidR="00F50D81" w:rsidRPr="00F50D81" w:rsidRDefault="00F50D81" w:rsidP="00F50D81">
      <w:pPr>
        <w:pStyle w:val="2"/>
        <w:rPr>
          <w:rFonts w:asciiTheme="majorEastAsia" w:eastAsiaTheme="majorEastAsia" w:hAnsiTheme="majorEastAsia"/>
        </w:rPr>
      </w:pPr>
      <w:r w:rsidRPr="00F50D81">
        <w:rPr>
          <w:rFonts w:asciiTheme="majorEastAsia" w:eastAsiaTheme="majorEastAsia" w:hAnsiTheme="majorEastAsia"/>
          <w:b/>
          <w:bCs/>
        </w:rPr>
        <w:t>8.3 一键入口与执行路径</w:t>
      </w:r>
    </w:p>
    <w:p w14:paraId="10FAE302"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为实现赛事要求的“可执行代码能够复现全过程”目标，项目提供了三条独立的入口路径，分别对应评审方的三种典型使用场景：严格复现主实验结论、快速验证环境连通性、以及启动工程演示界面。所有入口均以容器化方式运行，无需配置本地 Python 环境。</w:t>
      </w:r>
    </w:p>
    <w:p w14:paraId="03E38871"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严格迁移复现入口。 这是评审方验证报告结论的核心路径。执行以下命令即可在容器内启动 v5 协议的完整训练、微调与评估流程，涵盖全部 outer folds、全部样本规模层级（N=1,2,3）以及全部对照基线（Scratch、Ridge、三种确定性趋势）：</w:t>
      </w:r>
    </w:p>
    <w:p w14:paraId="4AF5F9D1"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powershell</w:t>
      </w:r>
    </w:p>
    <w:p w14:paraId="597DAB8E"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.\scripts\reproduce_femto_ims_to_comsol.ps1</w:t>
      </w:r>
    </w:p>
    <w:p w14:paraId="452B3E41"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脚本自动完成数据挂载校验、依赖环境检查、协议执行与结果归档。运行完毕后，所有预测结果、指标汇总与状态文件写入 outputs/reproducibility/ 目录，供评审方与报告第六章数据进行逐项核对。脚本支持通过参数控制执行阶段：</w:t>
      </w:r>
    </w:p>
    <w:p w14:paraId="27000B06"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powershell</w:t>
      </w:r>
    </w:p>
    <w:p w14:paraId="47B39CA0"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.\scripts\reproduce_femto_ims_to_comsol.ps1 -Phase preflight</w:t>
      </w:r>
    </w:p>
    <w:p w14:paraId="508C8FD9"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该命令仅执行预检流程——校验数据集完整性、核对 SHA-256 哈希、确认容器内依赖版本</w:t>
      </w:r>
      <w:r w:rsidRPr="00F50D81">
        <w:rPr>
          <w:rFonts w:asciiTheme="majorEastAsia" w:eastAsiaTheme="majorEastAsia" w:hAnsiTheme="majorEastAsia"/>
        </w:rPr>
        <w:lastRenderedPageBreak/>
        <w:t>——而不启动完整训练，适用于快速验证环境就绪状态。</w:t>
      </w:r>
    </w:p>
    <w:p>
      <w:r>
        <w:t>软件分支边界。评委首先使用 main 分支复核主实验、数据协议、Docker 入口和审计结果；需要查看寿命状态回放时，再切换到同仓库的 software-demo 分支。该分支只读取已锁定的 FEMTO/IMS -&gt; COMSOL 仿真代理结果，不重新训练模型，也不修改主实验切分、标签、scaler、outer-fold、指标或结论。 软件支线实际目录为 frontend/（Electron + React + TypeScript 客户端）和 backend/（Python 推理、训练与数据服务）；两者均不属于 main 分支的主实验实现。</w:t>
      </w:r>
    </w:p>
    <w:p w14:paraId="3B775CFC"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工程演示入口。 评审方若希望直接体验寿命状态仪表板与预测结果在线回放功能，可通过以下命令启动工程演示服务：</w:t>
      </w:r>
    </w:p>
    <w:p w14:paraId="6D3711A0"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powershell</w:t>
      </w:r>
    </w:p>
    <w:p w14:paraId="74AC1E68"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.\scripts\run_engineering_demo.ps1 -BindHost 127.0.0.1 -Port 8090</w:t>
      </w:r>
    </w:p>
    <w:p w14:paraId="0A178295"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该命令启动一个轻量级 Web 服务，在本地 8090 端口提供仪表板界面。评审方打开浏览器访问 http://127.0.0.1:8090 即可进入系统，无须等待完整的训练流程完成。仪表板包含预测 RUL 趋势曲线、健康状态退化轨迹、三级风险等级指示器以及操作员/审计员双模式切换功能，覆盖 7.1 节所描述的全部在线工作流能力。</w:t>
      </w:r>
    </w:p>
    <w:p w14:paraId="42F938EA"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如评审方使用 Docker Desktop 而非 PowerShell 脚本入口，亦可直接执行：</w:t>
      </w:r>
    </w:p>
    <w:p w14:paraId="6E0937FB"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bash</w:t>
      </w:r>
    </w:p>
    <w:p w14:paraId="72B58341"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docker compose up --build engineering-demo</w:t>
      </w:r>
    </w:p>
    <w:p w14:paraId="3879442F"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该命令构建并启动工程演示容器，效果与 PowerShell 脚本一致，为偏好原生 Docker 命令的评审方提供同等入口。</w:t>
      </w:r>
    </w:p>
    <w:p w14:paraId="1F398463"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环境记录固化。 为支撑独立复现后的审计追溯，每次运行均自动生成一份机器可读的环境记录文件，包含以下信息：运行时间戳、宿主机操作系统版本、Docker 镜像 ID 与版本、全部依赖库的精确版本号、数据挂载路径及校验状态、本次运行的所有配置参数以及输出目录路径。该文件存放于 outputs/reproducibility/femto-ims-to-comsol-&lt;时间戳&gt;/REPRODUCTION_ENVIRONMENT.json，与预测结果和指标文件共同归档。完整的容器化验证环境说明及两次独立重跑的比对结果，详见 docs/docker_reproduction_report_20260821.md。</w:t>
      </w:r>
    </w:p>
    <w:p w14:paraId="7C987E1D"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综上，评审方可根据自身需求灵活选择入口——完整复现、快速预检或工程演示——所有路径均指向同一组容器化代码与数据资产，确保不同入口产生的实验结果具备同源一致性。</w:t>
      </w:r>
    </w:p>
    <w:p w14:paraId="2D436875" w14:textId="6697E6E1" w:rsidR="00561E2E" w:rsidRPr="00561E2E" w:rsidRDefault="00561E2E" w:rsidP="00561E2E">
      <w:pPr>
        <w:pStyle w:val="1"/>
        <w:rPr>
          <w:rFonts w:asciiTheme="majorEastAsia" w:eastAsiaTheme="majorEastAsia" w:hAnsiTheme="majorEastAsia"/>
        </w:rPr>
      </w:pPr>
      <w:r>
        <w:rPr>
          <w:rFonts w:asciiTheme="majorEastAsia" w:eastAsiaTheme="majorEastAsia" w:hAnsiTheme="majorEastAsia" w:hint="eastAsia"/>
          <w:b/>
          <w:bCs/>
        </w:rPr>
        <w:t>九</w:t>
      </w:r>
      <w:r w:rsidRPr="00561E2E">
        <w:rPr>
          <w:rFonts w:asciiTheme="majorEastAsia" w:eastAsiaTheme="majorEastAsia" w:hAnsiTheme="majorEastAsia"/>
          <w:b/>
          <w:bCs/>
        </w:rPr>
        <w:t>、局限性与后续工作</w:t>
      </w:r>
    </w:p>
    <w:p w14:paraId="0E0B257A"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任何基于仿真代理与有限公开数据的迁移学习研究，其结论的有效性必然受制于数据来源的边界与实验设计的前提假设。坦诚界定这些边界，既是学术规范的基本要求，也为后续改进指明方向。本节系统梳理当前工作的主要局限，并据此提出相应的后续研究计划。</w:t>
      </w:r>
    </w:p>
    <w:p w14:paraId="5CA96C0C"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真实在轨遥测的缺失。 反作用轮场景目前依赖 COMSOL 多物理场仿真生成的退化数据作为目标域素材。尽管该仿真链路在物理模型设计、工况设定与失效阈值选取上力求符合工程认知，仿真数据终究无法完全复现在轨环境的综合效应——包括但不限于真实温度交变、真空润滑行为变化、姿态机动引起的非稳态载荷谱以及星载计算机的有限采样精度与遥测丢帧。因此，本报告所报告的迁移精度改善，反映的是“仿真代理条件下算法方法的可行性”，而非真实在轨遥测条件下可直接部署的工程结论。后续工作需获取真实反作用轮试验台加速寿命数据或实际在轨遥测片段，对本方法进行进一步的验证与校准。</w:t>
      </w:r>
    </w:p>
    <w:p w14:paraId="6AA2E112"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v5 协议的证据层级边界。 如 5.2 节所述，FEMTO → COMSOL v5 运行标记为探索性后验复现（exploratory_post_hoc_replication）。COMSOL 五条仿真轨迹在协议设计阶段参与了 N 值定义的采样空间规划，其作为测试集的使用并非完全独立于实验设计流程之外。因此，当前结果虽然具备严格的可见性控制和完整的可复现性记录，但其证据强度仍需额外的、完全未参与当前协议设计的 COMSOL 未见轨迹进行独立确认，方可升级至更高层级的结论。后续工作将优先执行该确认实验。</w:t>
      </w:r>
    </w:p>
    <w:p w14:paraId="05A17225"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电池链路的迁移未达标。 NASA 电池场景在 N=1 与 N=2 两个样本层级上均未通过内部验收标准——N=1 时迁移模型甚至劣于从头训练，N=2 时改善幅度不足 5% 且胜出折数不足。该结果表明，喷嘴烧蚀的退化表示与电池容量衰减之间仍存在显著的语义鸿沟。两者的退化速率分布差异、观测信号形态差异以及目标域样本极度稀缺，共同构成了跨物理场迁移的实</w:t>
      </w:r>
      <w:r w:rsidRPr="00561E2E">
        <w:rPr>
          <w:rFonts w:asciiTheme="majorEastAsia" w:eastAsiaTheme="majorEastAsia" w:hAnsiTheme="majorEastAsia"/>
        </w:rPr>
        <w:lastRenderedPageBreak/>
        <w:t>际障碍。后续工作可从以下方向尝试突破：引入电化学退化机理先验作为辅助约束，使编码器在预训练阶段即接触到与电池退化形态更接近的合成数据；采用领域自适应技术（如对抗式域对齐或对比学习）在特征空间强制拉近源域与电化学目标域的分布；或增加电池退化的源域多样性（如纳入不同温度、不同放电倍率下的电池老化数据），使预训练表征更具电化学场景的覆盖度。</w:t>
      </w:r>
    </w:p>
    <w:p w14:paraId="1DA4998F"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FEMTO 轴承非单调样本的挑战。 逐折结果显示，迁移模型在 Bearing3_1 与 Bearing3_2 两个样本上持续弱于 Scratch，其根源在于这两个样本的退化轨迹中存在强瞬态振动波动，导致 health-RUL 相关性显著低于 FEMTO 数据集的整体均值。当前模型架构假设退化过程具有平滑单调的趋势结构，面对突发性振动抬升时缺乏适应性响应机制。后续工作可从以下方向改进：在预训练阶段引入更具多样性的退化形态，使编码器能够区分“健康退化趋势”与“瞬态噪声冲击”两类不同来源的信号变化；在目标域微调阶段引入分段建模策略，将退化轨迹划分为稳定期与加速期分别建模；此外，量化预测不确定性（如通过 MC Dropout 或集成学习输出置信区间）可使工程人员在预测波动较大时获得额外的决策参考信息。</w:t>
      </w:r>
    </w:p>
    <w:p w14:paraId="4EA3CB8E"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更广泛工况与工程决策逻辑的拓展。 当前实验均基于固定工况条件下的退化数据，未涉及变工况、多任务剖面或不同控制策略下的泛化能力检验。后续工作将纳入更多代表性的运行条件（如不同转速、不同负载、不同充放电制度），检验迁移框架在工况变化下的鲁棒性。同时，当前预测输出为点估计的 RUL 数值，尚未与航天器维护规划的决策成本函数直接对接。后续工作将引入代价敏感的风险决策逻辑——例如将预测偏差与“提前更换成本”和“在轨失效成本”进行加权，使模型输出直接服务于工程权衡，而非仅优化统计误差指标。</w:t>
      </w:r>
    </w:p>
    <w:p w14:paraId="7CC4E0CC"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综上，本项目的核心贡献在于建立了一套端到端可审计的跨域迁移验证框架，并在反作用轮仿真代理场景中取得了符合内部验收标准的正向迁移证据。其边界与不足为后续研究提供了清晰的改进方向——我们将在真实数据获取、协议独立性增强、物理知识融合、不确定性量化及决策逻辑嵌入等维度持续推进。</w:t>
      </w:r>
    </w:p>
    <w:p w14:paraId="79487215" w14:textId="77777777" w:rsidR="008F43F1" w:rsidRPr="008F43F1" w:rsidRDefault="008F43F1" w:rsidP="008F43F1">
      <w:pPr>
        <w:pStyle w:val="1"/>
        <w:rPr>
          <w:rFonts w:asciiTheme="majorEastAsia" w:eastAsiaTheme="majorEastAsia" w:hAnsiTheme="majorEastAsia"/>
        </w:rPr>
      </w:pPr>
      <w:r w:rsidRPr="008F43F1">
        <w:rPr>
          <w:rFonts w:asciiTheme="majorEastAsia" w:eastAsiaTheme="majorEastAsia" w:hAnsiTheme="majorEastAsia"/>
          <w:b/>
          <w:bCs/>
        </w:rPr>
        <w:t>结论</w:t>
      </w:r>
    </w:p>
    <w:p w14:paraId="6B4D911A" w14:textId="77777777" w:rsidR="008F43F1" w:rsidRPr="008F43F1" w:rsidRDefault="008F43F1" w:rsidP="008F43F1">
      <w:pPr>
        <w:rPr>
          <w:rFonts w:asciiTheme="majorEastAsia" w:eastAsiaTheme="majorEastAsia" w:hAnsiTheme="majorEastAsia"/>
        </w:rPr>
      </w:pPr>
      <w:r w:rsidRPr="008F43F1">
        <w:rPr>
          <w:rFonts w:asciiTheme="majorEastAsia" w:eastAsiaTheme="majorEastAsia" w:hAnsiTheme="majorEastAsia"/>
        </w:rPr>
        <w:t>本项目围绕航天器关键组件剩余寿命预测中“数据稀缺、故障样本不可得、在轨验证难”的工程现实，设计并实现了一套端到端可审计的跨域迁移寿命预测框架 ASTRA。该框架以喷嘴烧蚀退化数据为源域知识来源，训练共享退化编码器以习得通用性的退化演化表征；以电池长期容量衰减与反作用轮机械磨损为两个典型目标场景，分别验证框架在电化学系统与旋转机械系统中的迁移适配能力。模型采用领域专属输入投影、共享GRU编码器与独立目标预测头的三段式架构，配合严格的轨迹级别留出验证协议与可见性控制规则，使小样本条件下的迁移效果可被客观归因与逐折审计。</w:t>
      </w:r>
    </w:p>
    <w:p w14:paraId="19C48DDB" w14:textId="77777777" w:rsidR="008F43F1" w:rsidRPr="008F43F1" w:rsidRDefault="008F43F1" w:rsidP="008F43F1">
      <w:pPr>
        <w:rPr>
          <w:rFonts w:asciiTheme="majorEastAsia" w:eastAsiaTheme="majorEastAsia" w:hAnsiTheme="majorEastAsia"/>
        </w:rPr>
      </w:pPr>
      <w:r w:rsidRPr="008F43F1">
        <w:rPr>
          <w:rFonts w:asciiTheme="majorEastAsia" w:eastAsiaTheme="majorEastAsia" w:hAnsiTheme="majorEastAsia"/>
        </w:rPr>
        <w:t>在工程实现层面，项目以 PyTorch 完成全部算法开发，以 Docker Desktop 实现跨平台容器化封装，依赖版本锁定与数据哈希校验确保了任意环境下的确定性复现。离线寿命状态仪表板集成了预测趋势回放、三级风险分级与操作员/审计员双模式视图，使算法输出从数值指标转化为可直接支撑工程决策的信息呈现，完成了从实验验证到工程演示的全链路闭环。</w:t>
      </w:r>
    </w:p>
    <w:p w14:paraId="2482C455" w14:textId="77777777" w:rsidR="008F43F1" w:rsidRPr="008F43F1" w:rsidRDefault="008F43F1" w:rsidP="008F43F1">
      <w:pPr>
        <w:rPr>
          <w:rFonts w:asciiTheme="majorEastAsia" w:eastAsiaTheme="majorEastAsia" w:hAnsiTheme="majorEastAsia"/>
        </w:rPr>
      </w:pPr>
      <w:r w:rsidRPr="008F43F1">
        <w:rPr>
          <w:rFonts w:asciiTheme="majorEastAsia" w:eastAsiaTheme="majorEastAsia" w:hAnsiTheme="majorEastAsia"/>
        </w:rPr>
        <w:t>在迁移效果层面，本项目当前最稳健的正向证据来自 FEMTO 轴承 → COMSOL 反作用轮仿真代理链路。该链路的预声明三层聚合结果（N=1,2,3）显示：迁移模型相对匹配的 Scratch 基准取得了 6.46% 的 raw RMSE 改善，15 个 outer fold 中 10 个胜出，且宏平均 RMSE 同时低于 Ridge 回归与最佳确定性趋势基线，满足本项目全部三项内部验收标准。喷嘴 → NASA 电池链路在两个样本规模层级上未达到内部正向迁移标准，被判定为诊断结论，表明电化学退化系统与热-力烧蚀退化系统之间的域差异仍需更精细的语义对齐策略加以弥合。</w:t>
      </w:r>
    </w:p>
    <w:p w14:paraId="36FE6505" w14:textId="470F0F04" w:rsidR="0089052F" w:rsidRPr="004643F8" w:rsidRDefault="008F43F1" w:rsidP="00C14037">
      <w:pPr>
        <w:rPr>
          <w:rFonts w:asciiTheme="majorEastAsia" w:eastAsiaTheme="majorEastAsia" w:hAnsiTheme="majorEastAsia" w:hint="eastAsia"/>
        </w:rPr>
      </w:pPr>
      <w:r>
        <w:t>本项目不将 COMSOL 仿真代理结论外推至真实在轨放行判定。所有“正向证据”均限定为协议内部的可审计结果；v5 明确标注为 exploratory_post_hoc_replication，仍需未见 outer holdout 或真实遥测进一步确认。</w:t>
      </w:r>
    </w:p>
    <w:p>
      <w:pPr>
        <w:pStyle w:val="1"/>
        <w:pageBreakBefore/>
      </w:pPr>
      <w:r>
        <w:t>参考文献</w:t>
      </w:r>
    </w:p>
    <w:p>
      <w:pPr>
        <w:spacing w:after="60"/>
        <w:ind w:left="283" w:hanging="283"/>
      </w:pPr>
      <w:r>
        <w:rPr>
          <w:sz w:val="19"/>
        </w:rPr>
        <w:t>[1] Nguyen C. D., Bae S. J. Equivalent circuit simulated deep network architecture and transfer learning for remaining useful life prediction of lithium-ion batteries. Journal of Energy Storage, 2023, 71: 108042. 仓库：references/Equivalent circuit simulated deep network architecture and transfer.pdf.</w:t>
      </w:r>
    </w:p>
    <w:p>
      <w:pPr>
        <w:spacing w:after="60"/>
        <w:ind w:left="283" w:hanging="283"/>
      </w:pPr>
      <w:r>
        <w:rPr>
          <w:sz w:val="19"/>
        </w:rPr>
        <w:t>[2] Hou G., Zhang F., Huang C., et al. Joint prediction of SOH and RUL for lithium-ion batteries by an enhanced Transformer model with physical information constraints. Energy, 2025, 336: 138435. 仓库：references/Joint prediction of SOH and RUL for Lithium-ion batteries by an enhanced.pdf.</w:t>
      </w:r>
    </w:p>
    <w:p>
      <w:pPr>
        <w:spacing w:after="60"/>
        <w:ind w:left="283" w:hanging="283"/>
      </w:pPr>
      <w:r>
        <w:rPr>
          <w:sz w:val="19"/>
        </w:rPr>
        <w:t>[3] Muthuganapathy P., Chaturvedi S. K., Gargama H., et al. Friction torque prediction of precision ball bearing unit for reaction wheel actuators for spacecraft applications. International Journal of System Assurance Engineering and Management, 2025. 仓库：references/Friction torque prediction of precision ball bearing unit for reaction wheel actuators for spacecraft applications.pdf.</w:t>
      </w:r>
    </w:p>
    <w:p>
      <w:pPr>
        <w:spacing w:after="60"/>
        <w:ind w:left="283" w:hanging="283"/>
      </w:pPr>
      <w:r>
        <w:rPr>
          <w:sz w:val="19"/>
        </w:rPr>
        <w:t>[4] Alidadi M., Rahimi A. Fault Diagnosis of Lubrication Decay in Reaction Wheels Using Temperature Estimation and Forecasting via Enhanced Adaptive Particle Filter. Sensors. 仓库：references/Fault Diagnosis of Lubrication Decay in Reaction Wheels Using Temperature Estimation and Forecasting via Enhanced Adaptive Particle Filter.pdf.</w:t>
      </w:r>
    </w:p>
    <w:p>
      <w:pPr>
        <w:spacing w:after="60"/>
        <w:ind w:left="283" w:hanging="283"/>
      </w:pPr>
      <w:r>
        <w:rPr>
          <w:sz w:val="19"/>
        </w:rPr>
        <w:t>[5] Yücesan Y. A., Viana F. A. C. Physics-informed digital twin for wind turbine main bearing fatigue: Quantifying uncertainty in grease degradation. Applied Soft Computing, 2023, 149: 110921. 仓库：references/Physics informed digital twin for wind turbine main bearing fatigue Quantifying uncertainty in grease degradation.pdf.</w:t>
      </w:r>
    </w:p>
    <w:p>
      <w:pPr>
        <w:spacing w:after="60"/>
        <w:ind w:left="283" w:hanging="283"/>
      </w:pPr>
      <w:r>
        <w:rPr>
          <w:sz w:val="19"/>
        </w:rPr>
        <w:t>[6] Shang J., Xu D., Qiu H., et al. Domain generalization for rotating machinery real-time remaining useful life prediction via multi-domain orthogonal degradation feature exploration. Mechanical Systems and Signal Processing, 2025, 223: 111924. 仓库：references/Domain Generalization for Rotating Machinery Real-Time Remaining Useful Life Prediction via Multi-Domain Orthogonal Degradation Feature Exploration.pdf.</w:t>
      </w:r>
    </w:p>
    <w:p>
      <w:pPr>
        <w:spacing w:after="60"/>
        <w:ind w:left="283" w:hanging="283"/>
      </w:pPr>
      <w:r>
        <w:rPr>
          <w:sz w:val="19"/>
        </w:rPr>
        <w:t>[7] Nejjar I., Geissmann F., Zhao M., et al. Domain adaptation via alignment of operation profile for remaining useful lifetime prediction. Reliability Engineering and System Safety. 仓库：references/Domain Adaptation via Alignment of Operation Profile for Remaining Useful Lifetime Prediction.pdf.</w:t>
      </w:r>
    </w:p>
    <w:p>
      <w:pPr>
        <w:spacing w:after="60"/>
        <w:ind w:left="283" w:hanging="283"/>
      </w:pPr>
      <w:r>
        <w:rPr>
          <w:sz w:val="19"/>
        </w:rPr>
        <w:t>[8] Chang L., Lin Y.-H. Few-shot remaining useful life prediction based on Bayesian meta-learning with predictive uncertainty calibration. Engineering Applications of Artificial Intelligence, 2025, 142: 109980. 仓库：references/Few-Shot Remaining Useful Life Prediction Based on Bayesian Meta-Learning with Predictive Uncertainty Calibration.pdf.</w:t>
      </w:r>
    </w:p>
    <w:p>
      <w:pPr>
        <w:spacing w:after="60"/>
        <w:ind w:left="283" w:hanging="283"/>
      </w:pPr>
      <w:r>
        <w:rPr>
          <w:sz w:val="19"/>
        </w:rPr>
        <w:t>[9] Lin W., Chen X., Lu H., et al. A novel interactive prognosis framework with nonlinear Wiener process and multi-sensor fusion for remaining useful life prediction. Journal of Process Control, 2024, 140: 103264. 仓库：references/A Novel Interactive Prognosis Framework with Nonlinear Wiener Process and Multi-Sensor Fusion for Remaining Useful Life Prediction.pdf.</w:t>
      </w:r>
    </w:p>
    <w:p>
      <w:pPr>
        <w:spacing w:after="60"/>
        <w:ind w:left="283" w:hanging="283"/>
      </w:pPr>
      <w:r>
        <w:rPr>
          <w:sz w:val="19"/>
        </w:rPr>
        <w:t>[10] Xiang F., Zhang Y., Zhang S., et al. Bayesian gated-transformer model for risk-aware prediction of aero-engine remaining useful life. Expert Systems with Applications, 2024, 238: 121859. 仓库：references/Bayesian Gated-Transformer Model for Risk-Aware Prediction of Aero-Engine Remaining Useful Life.pdf.</w:t>
      </w:r>
    </w:p>
    <w:p>
      <w:pPr>
        <w:spacing w:after="60"/>
        <w:ind w:left="283" w:hanging="283"/>
      </w:pPr>
      <w:r>
        <w:rPr>
          <w:sz w:val="19"/>
        </w:rPr>
        <w:t>[11] Wang E., Lei Z., Wen G., et al. A physics-constrained Bayesian neural network for machinery remaining useful life prediction and uncertainty quantification. Reliability Engineering and System Safety, 2026, 266: 111778. 仓库：references/A Physics-Constrained Bayesian Neural Network for Machinery Remaining Useful Life Prediction and Uncertainty Quantification.pdf.</w:t>
      </w:r>
    </w:p>
    <w:p>
      <w:pPr>
        <w:spacing w:after="60"/>
        <w:ind w:left="283" w:hanging="283"/>
      </w:pPr>
      <w:r>
        <w:rPr>
          <w:sz w:val="19"/>
        </w:rPr>
        <w:t>[12] 本项目方法相关参考：Self-Supervised Health Representation Decomposition Based on Contrast Learning；Pre-training Enhanced Unsupervised Contrastive Domain Adaptation for Industrial Equipment Remaining Useful Life Prediction；Joint Domain-Adaptive Transformer Model for Bearing RUL Prediction Across Different Domains。均存于仓库 references/，用于方法设计背景与对照，不替代本文独立实验。</w:t>
      </w:r>
    </w:p>
    <w:p>
      <w:pPr>
        <w:pStyle w:val="1"/>
        <w:pageBreakBefore/>
      </w:pPr>
      <w:r>
        <w:t>附录A 交付物索引</w:t>
      </w:r>
    </w:p>
    <w:p>
      <w:r>
        <w:rPr>
          <w:b/>
        </w:rPr>
        <w:t>仓库地址：</w:t>
      </w:r>
      <w:hyperlink r:id="rId13">
        <w:r>
          <w:rPr>
            <w:color w:val="0563C1"/>
            <w:u w:val="single"/>
          </w:rPr>
          <w:t>https://github.com/PWQ-GDOU/ASTRA</w:t>
        </w:r>
      </w:hyperlink>
    </w:p>
    <w:p>
      <w:pPr/>
      <w:r>
        <w:rPr>
          <w:b/>
        </w:rPr>
        <w:t>赛事规则原件：</w:t>
      </w:r>
      <w:r>
        <w:t>docs/competition/competition_rules.pdf</w:t>
      </w:r>
    </w:p>
    <w:p>
      <w:pPr/>
      <w:r>
        <w:rPr>
          <w:b/>
        </w:rPr>
        <w:t>数据与来源说明：</w:t>
      </w:r>
      <w:r>
        <w:t>DATA_SOURCES.md；data/raw/competition/；third_party/</w:t>
      </w:r>
    </w:p>
    <w:p>
      <w:pPr/>
      <w:r>
        <w:rPr>
          <w:b/>
        </w:rPr>
        <w:t>主跨组件迁移协议：</w:t>
      </w:r>
      <w:r>
        <w:t>scripts/exp_cross_transfer_v3.py；outputs/cross_component_transfer_v3/</w:t>
      </w:r>
    </w:p>
    <w:p>
      <w:pPr/>
      <w:r>
        <w:rPr>
          <w:b/>
        </w:rPr>
        <w:t>FEMTO -&gt; COMSOL outer-fold 协议：</w:t>
      </w:r>
      <w:r>
        <w:t>scripts/exp_femto_ims_to_comsol_outerloo_v5.py；outputs/femto_ims_to_comsol_outerloo_v5_exploratory_fitonly_innerloo_full5x120_20260825/</w:t>
      </w:r>
    </w:p>
    <w:p>
      <w:pPr/>
      <w:r>
        <w:t>软件工程演示（software-demo 分支）：frontend/（Electron + React + TypeScript 客户端）；backend/（Python 推理、训练与数据服务）；scripts/run_engineering_demo.py；scripts/run_engineering_demo.ps1；docs/engineering_demo.md；outputs/engineering_demo/femto_ims_to_comsol_v5/。</w:t>
      </w:r>
    </w:p>
    <w:p>
      <w:pPr/>
      <w:r>
        <w:t>主实验 Docker 与锁定环境（main 分支）：Dockerfile；docker/docker-compose.yml；docker/requirements.lock.txt</w:t>
      </w:r>
    </w:p>
    <w:p>
      <w:pPr/>
      <w:r>
        <w:rPr>
          <w:b/>
        </w:rPr>
        <w:t>一键复现：</w:t>
      </w:r>
      <w:r>
        <w:t>scripts/reproduce_femto_ims_to_comsol.ps1；scripts/reproduce_femto_ims_to_comsol.sh；README.md</w:t>
      </w:r>
    </w:p>
    <w:p>
      <w:pPr/>
      <w:r>
        <w:rPr>
          <w:b/>
        </w:rPr>
        <w:t>审计文件：</w:t>
      </w:r>
      <w:r>
        <w:t>PROTOCOL.json；DATA_MANIFEST.json；PREFLIGHT.json；ACCEPTANCE.json；OUTER_FOLD_SUMMARY.csv；PREDICTIONS.csv</w:t>
      </w:r>
    </w:p>
    <w:p>
      <w:r>
        <w:t>说明：GitHub 仓库用于技术材料获取与复核；赛事正式提交仍应遵循官方申报系统、作品压缩包和报名表 PDF 的要求。</w:t>
      </w:r>
    </w:p>
    <w:sectPr w:rsidR="0089052F" w:rsidRPr="004643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F476E" w14:textId="77777777" w:rsidR="00153285" w:rsidRDefault="00153285" w:rsidP="00A201CF">
      <w:r>
        <w:separator/>
      </w:r>
    </w:p>
  </w:endnote>
  <w:endnote w:type="continuationSeparator" w:id="0">
    <w:p w14:paraId="101D3CC5" w14:textId="77777777" w:rsidR="00153285" w:rsidRDefault="00153285" w:rsidP="00A20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8ACB" w14:textId="77777777" w:rsidR="00153285" w:rsidRDefault="00153285" w:rsidP="00A201CF">
      <w:r>
        <w:separator/>
      </w:r>
    </w:p>
  </w:footnote>
  <w:footnote w:type="continuationSeparator" w:id="0">
    <w:p w14:paraId="6A502932" w14:textId="77777777" w:rsidR="00153285" w:rsidRDefault="00153285" w:rsidP="00A20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A2621"/>
    <w:multiLevelType w:val="multilevel"/>
    <w:tmpl w:val="D69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55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1C4"/>
    <w:rsid w:val="00010475"/>
    <w:rsid w:val="00022419"/>
    <w:rsid w:val="0002357F"/>
    <w:rsid w:val="00034E9F"/>
    <w:rsid w:val="000B1ACD"/>
    <w:rsid w:val="000B5C22"/>
    <w:rsid w:val="000D282C"/>
    <w:rsid w:val="000F3D51"/>
    <w:rsid w:val="000F75BD"/>
    <w:rsid w:val="00105EC7"/>
    <w:rsid w:val="00153285"/>
    <w:rsid w:val="0022008A"/>
    <w:rsid w:val="0022698D"/>
    <w:rsid w:val="002774BE"/>
    <w:rsid w:val="002A1947"/>
    <w:rsid w:val="002A3235"/>
    <w:rsid w:val="002C006B"/>
    <w:rsid w:val="002C751A"/>
    <w:rsid w:val="002F0DB4"/>
    <w:rsid w:val="00340041"/>
    <w:rsid w:val="00374385"/>
    <w:rsid w:val="003B177B"/>
    <w:rsid w:val="003D75BD"/>
    <w:rsid w:val="003E2AC8"/>
    <w:rsid w:val="00413CC6"/>
    <w:rsid w:val="00460436"/>
    <w:rsid w:val="0046217D"/>
    <w:rsid w:val="004643F8"/>
    <w:rsid w:val="00497F67"/>
    <w:rsid w:val="004A55A1"/>
    <w:rsid w:val="004B1958"/>
    <w:rsid w:val="004B5399"/>
    <w:rsid w:val="00504C3E"/>
    <w:rsid w:val="00546541"/>
    <w:rsid w:val="0055681E"/>
    <w:rsid w:val="0056123D"/>
    <w:rsid w:val="00561E2E"/>
    <w:rsid w:val="005A6089"/>
    <w:rsid w:val="005B0F5F"/>
    <w:rsid w:val="005D1A71"/>
    <w:rsid w:val="00601C0B"/>
    <w:rsid w:val="007213A2"/>
    <w:rsid w:val="00735178"/>
    <w:rsid w:val="00770B2A"/>
    <w:rsid w:val="0077261C"/>
    <w:rsid w:val="007A1533"/>
    <w:rsid w:val="00822CD0"/>
    <w:rsid w:val="008469C7"/>
    <w:rsid w:val="00853D3B"/>
    <w:rsid w:val="00854CD0"/>
    <w:rsid w:val="0089052F"/>
    <w:rsid w:val="008B50F0"/>
    <w:rsid w:val="008E2FB9"/>
    <w:rsid w:val="008F43F1"/>
    <w:rsid w:val="0094178C"/>
    <w:rsid w:val="00942E59"/>
    <w:rsid w:val="009471C4"/>
    <w:rsid w:val="00973F77"/>
    <w:rsid w:val="009C08F5"/>
    <w:rsid w:val="009C429B"/>
    <w:rsid w:val="009E0C6D"/>
    <w:rsid w:val="009F0E59"/>
    <w:rsid w:val="009F3423"/>
    <w:rsid w:val="00A201CF"/>
    <w:rsid w:val="00A373F9"/>
    <w:rsid w:val="00A571A8"/>
    <w:rsid w:val="00A6355A"/>
    <w:rsid w:val="00A80806"/>
    <w:rsid w:val="00AA0497"/>
    <w:rsid w:val="00AD2417"/>
    <w:rsid w:val="00AE1E05"/>
    <w:rsid w:val="00AF5084"/>
    <w:rsid w:val="00B12D37"/>
    <w:rsid w:val="00B20E3D"/>
    <w:rsid w:val="00B5288C"/>
    <w:rsid w:val="00B6049B"/>
    <w:rsid w:val="00B62240"/>
    <w:rsid w:val="00B75742"/>
    <w:rsid w:val="00BF0BE1"/>
    <w:rsid w:val="00C14037"/>
    <w:rsid w:val="00C17C2E"/>
    <w:rsid w:val="00C219E8"/>
    <w:rsid w:val="00C45BE4"/>
    <w:rsid w:val="00C7345C"/>
    <w:rsid w:val="00C85671"/>
    <w:rsid w:val="00CC440E"/>
    <w:rsid w:val="00CC5DC1"/>
    <w:rsid w:val="00D229E7"/>
    <w:rsid w:val="00D36D69"/>
    <w:rsid w:val="00D41CC1"/>
    <w:rsid w:val="00D44646"/>
    <w:rsid w:val="00D44D22"/>
    <w:rsid w:val="00D60DA3"/>
    <w:rsid w:val="00D8561F"/>
    <w:rsid w:val="00DA4E8A"/>
    <w:rsid w:val="00DD51F0"/>
    <w:rsid w:val="00DD6137"/>
    <w:rsid w:val="00DE2EEE"/>
    <w:rsid w:val="00DE66B1"/>
    <w:rsid w:val="00DE66FF"/>
    <w:rsid w:val="00E52018"/>
    <w:rsid w:val="00E5759E"/>
    <w:rsid w:val="00E73A2C"/>
    <w:rsid w:val="00EA108B"/>
    <w:rsid w:val="00EE0486"/>
    <w:rsid w:val="00EE2A2C"/>
    <w:rsid w:val="00EF2F9F"/>
    <w:rsid w:val="00F032E4"/>
    <w:rsid w:val="00F12318"/>
    <w:rsid w:val="00F2435C"/>
    <w:rsid w:val="00F35017"/>
    <w:rsid w:val="00F50D81"/>
    <w:rsid w:val="00F576C5"/>
    <w:rsid w:val="00F63AEB"/>
    <w:rsid w:val="00FB2B2A"/>
    <w:rsid w:val="00FE1EA6"/>
    <w:rsid w:val="00FF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DB65D3"/>
  <w14:defaultImageDpi w14:val="32767"/>
  <w15:chartTrackingRefBased/>
  <w15:docId w15:val="{81C8656D-D60D-4E57-9F08-BDCC043A8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76" w:lineRule="auto" w:after="100"/>
      <w:jc w:val="both"/>
    </w:pPr>
    <w:rPr>
      <w:rFonts w:ascii="宋体" w:hAnsi="宋体" w:eastAsia="宋体"/>
      <w:sz w:val="21"/>
    </w:rPr>
  </w:style>
  <w:style w:type="paragraph" w:styleId="1">
    <w:name w:val="heading 1"/>
    <w:basedOn w:val="a"/>
    <w:next w:val="a"/>
    <w:link w:val="10"/>
    <w:uiPriority w:val="9"/>
    <w:qFormat/>
    <w:rsid w:val="009471C4"/>
    <w:pPr>
      <w:keepNext/>
      <w:keepLines/>
      <w:spacing w:before="480" w:after="80"/>
      <w:outlineLvl w:val="0"/>
    </w:pPr>
    <w:rPr>
      <w:rFonts w:asciiTheme="majorHAnsi" w:eastAsiaTheme="majorEastAsia" w:hAnsiTheme="majorHAnsi" w:cstheme="majorBidi" w:ascii="黑体" w:hAnsi="黑体" w:eastAsia="黑体"/>
      <w:b/>
      <w:color w:val="1F4E79"/>
      <w:sz w:val="30"/>
      <w:szCs w:val="48"/>
    </w:rPr>
  </w:style>
  <w:style w:type="paragraph" w:styleId="2">
    <w:name w:val="heading 2"/>
    <w:basedOn w:val="a"/>
    <w:next w:val="a"/>
    <w:link w:val="20"/>
    <w:uiPriority w:val="9"/>
    <w:semiHidden/>
    <w:unhideWhenUsed/>
    <w:qFormat/>
    <w:rsid w:val="009471C4"/>
    <w:pPr>
      <w:keepNext/>
      <w:keepLines/>
      <w:spacing w:before="160" w:after="80"/>
      <w:outlineLvl w:val="1"/>
    </w:pPr>
    <w:rPr>
      <w:rFonts w:asciiTheme="majorHAnsi" w:eastAsiaTheme="majorEastAsia" w:hAnsiTheme="majorHAnsi" w:cstheme="majorBidi" w:ascii="黑体" w:hAnsi="黑体" w:eastAsia="黑体"/>
      <w:b/>
      <w:color w:val="2F5597"/>
      <w:sz w:val="24"/>
      <w:szCs w:val="40"/>
    </w:rPr>
  </w:style>
  <w:style w:type="paragraph" w:styleId="3">
    <w:name w:val="heading 3"/>
    <w:basedOn w:val="a"/>
    <w:next w:val="a"/>
    <w:link w:val="30"/>
    <w:uiPriority w:val="9"/>
    <w:semiHidden/>
    <w:unhideWhenUsed/>
    <w:qFormat/>
    <w:rsid w:val="009471C4"/>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9471C4"/>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9471C4"/>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9471C4"/>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9471C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71C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71C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71C4"/>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9471C4"/>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9471C4"/>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9471C4"/>
    <w:rPr>
      <w:rFonts w:cstheme="majorBidi"/>
      <w:color w:val="2E74B5" w:themeColor="accent1" w:themeShade="BF"/>
      <w:sz w:val="28"/>
      <w:szCs w:val="28"/>
    </w:rPr>
  </w:style>
  <w:style w:type="character" w:customStyle="1" w:styleId="50">
    <w:name w:val="标题 5 字符"/>
    <w:basedOn w:val="a0"/>
    <w:link w:val="5"/>
    <w:uiPriority w:val="9"/>
    <w:semiHidden/>
    <w:rsid w:val="009471C4"/>
    <w:rPr>
      <w:rFonts w:cstheme="majorBidi"/>
      <w:color w:val="2E74B5" w:themeColor="accent1" w:themeShade="BF"/>
      <w:sz w:val="24"/>
      <w:szCs w:val="24"/>
    </w:rPr>
  </w:style>
  <w:style w:type="character" w:customStyle="1" w:styleId="60">
    <w:name w:val="标题 6 字符"/>
    <w:basedOn w:val="a0"/>
    <w:link w:val="6"/>
    <w:uiPriority w:val="9"/>
    <w:semiHidden/>
    <w:rsid w:val="009471C4"/>
    <w:rPr>
      <w:rFonts w:cstheme="majorBidi"/>
      <w:b/>
      <w:bCs/>
      <w:color w:val="2E74B5" w:themeColor="accent1" w:themeShade="BF"/>
    </w:rPr>
  </w:style>
  <w:style w:type="character" w:customStyle="1" w:styleId="70">
    <w:name w:val="标题 7 字符"/>
    <w:basedOn w:val="a0"/>
    <w:link w:val="7"/>
    <w:uiPriority w:val="9"/>
    <w:semiHidden/>
    <w:rsid w:val="009471C4"/>
    <w:rPr>
      <w:rFonts w:cstheme="majorBidi"/>
      <w:b/>
      <w:bCs/>
      <w:color w:val="595959" w:themeColor="text1" w:themeTint="A6"/>
    </w:rPr>
  </w:style>
  <w:style w:type="character" w:customStyle="1" w:styleId="80">
    <w:name w:val="标题 8 字符"/>
    <w:basedOn w:val="a0"/>
    <w:link w:val="8"/>
    <w:uiPriority w:val="9"/>
    <w:semiHidden/>
    <w:rsid w:val="009471C4"/>
    <w:rPr>
      <w:rFonts w:cstheme="majorBidi"/>
      <w:color w:val="595959" w:themeColor="text1" w:themeTint="A6"/>
    </w:rPr>
  </w:style>
  <w:style w:type="character" w:customStyle="1" w:styleId="90">
    <w:name w:val="标题 9 字符"/>
    <w:basedOn w:val="a0"/>
    <w:link w:val="9"/>
    <w:uiPriority w:val="9"/>
    <w:semiHidden/>
    <w:rsid w:val="009471C4"/>
    <w:rPr>
      <w:rFonts w:eastAsiaTheme="majorEastAsia" w:cstheme="majorBidi"/>
      <w:color w:val="595959" w:themeColor="text1" w:themeTint="A6"/>
    </w:rPr>
  </w:style>
  <w:style w:type="paragraph" w:styleId="a3">
    <w:name w:val="Title"/>
    <w:basedOn w:val="a"/>
    <w:next w:val="a"/>
    <w:link w:val="a4"/>
    <w:uiPriority w:val="10"/>
    <w:qFormat/>
    <w:rsid w:val="009471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71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1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71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71C4"/>
    <w:pPr>
      <w:spacing w:before="160" w:after="160"/>
      <w:jc w:val="center"/>
    </w:pPr>
    <w:rPr>
      <w:i/>
      <w:iCs/>
      <w:color w:val="404040" w:themeColor="text1" w:themeTint="BF"/>
    </w:rPr>
  </w:style>
  <w:style w:type="character" w:customStyle="1" w:styleId="a8">
    <w:name w:val="引用 字符"/>
    <w:basedOn w:val="a0"/>
    <w:link w:val="a7"/>
    <w:uiPriority w:val="29"/>
    <w:rsid w:val="009471C4"/>
    <w:rPr>
      <w:i/>
      <w:iCs/>
      <w:color w:val="404040" w:themeColor="text1" w:themeTint="BF"/>
    </w:rPr>
  </w:style>
  <w:style w:type="paragraph" w:styleId="a9">
    <w:name w:val="List Paragraph"/>
    <w:basedOn w:val="a"/>
    <w:uiPriority w:val="34"/>
    <w:qFormat/>
    <w:rsid w:val="009471C4"/>
    <w:pPr>
      <w:ind w:left="720"/>
      <w:contextualSpacing/>
    </w:pPr>
  </w:style>
  <w:style w:type="character" w:styleId="aa">
    <w:name w:val="Intense Emphasis"/>
    <w:basedOn w:val="a0"/>
    <w:uiPriority w:val="21"/>
    <w:qFormat/>
    <w:rsid w:val="009471C4"/>
    <w:rPr>
      <w:i/>
      <w:iCs/>
      <w:color w:val="2E74B5" w:themeColor="accent1" w:themeShade="BF"/>
    </w:rPr>
  </w:style>
  <w:style w:type="paragraph" w:styleId="ab">
    <w:name w:val="Intense Quote"/>
    <w:basedOn w:val="a"/>
    <w:next w:val="a"/>
    <w:link w:val="ac"/>
    <w:uiPriority w:val="30"/>
    <w:qFormat/>
    <w:rsid w:val="009471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9471C4"/>
    <w:rPr>
      <w:i/>
      <w:iCs/>
      <w:color w:val="2E74B5" w:themeColor="accent1" w:themeShade="BF"/>
    </w:rPr>
  </w:style>
  <w:style w:type="character" w:styleId="ad">
    <w:name w:val="Intense Reference"/>
    <w:basedOn w:val="a0"/>
    <w:uiPriority w:val="32"/>
    <w:qFormat/>
    <w:rsid w:val="009471C4"/>
    <w:rPr>
      <w:b/>
      <w:bCs/>
      <w:smallCaps/>
      <w:color w:val="2E74B5" w:themeColor="accent1" w:themeShade="BF"/>
      <w:spacing w:val="5"/>
    </w:rPr>
  </w:style>
  <w:style w:type="paragraph" w:styleId="ae">
    <w:name w:val="header"/>
    <w:basedOn w:val="a"/>
    <w:link w:val="af"/>
    <w:uiPriority w:val="99"/>
    <w:unhideWhenUsed/>
    <w:rsid w:val="00A201CF"/>
    <w:pPr>
      <w:tabs>
        <w:tab w:val="center" w:pos="4153"/>
        <w:tab w:val="right" w:pos="8306"/>
      </w:tabs>
      <w:snapToGrid w:val="0"/>
      <w:jc w:val="center"/>
    </w:pPr>
    <w:rPr>
      <w:sz w:val="18"/>
      <w:szCs w:val="18"/>
    </w:rPr>
  </w:style>
  <w:style w:type="character" w:customStyle="1" w:styleId="af">
    <w:name w:val="页眉 字符"/>
    <w:basedOn w:val="a0"/>
    <w:link w:val="ae"/>
    <w:uiPriority w:val="99"/>
    <w:rsid w:val="00A201CF"/>
    <w:rPr>
      <w:sz w:val="18"/>
      <w:szCs w:val="18"/>
    </w:rPr>
  </w:style>
  <w:style w:type="paragraph" w:styleId="af0">
    <w:name w:val="footer"/>
    <w:basedOn w:val="a"/>
    <w:link w:val="af1"/>
    <w:uiPriority w:val="99"/>
    <w:unhideWhenUsed/>
    <w:rsid w:val="00A201CF"/>
    <w:pPr>
      <w:tabs>
        <w:tab w:val="center" w:pos="4153"/>
        <w:tab w:val="right" w:pos="8306"/>
      </w:tabs>
      <w:snapToGrid w:val="0"/>
      <w:jc w:val="left"/>
    </w:pPr>
    <w:rPr>
      <w:sz w:val="18"/>
      <w:szCs w:val="18"/>
    </w:rPr>
  </w:style>
  <w:style w:type="character" w:customStyle="1" w:styleId="af1">
    <w:name w:val="页脚 字符"/>
    <w:basedOn w:val="a0"/>
    <w:link w:val="af0"/>
    <w:uiPriority w:val="99"/>
    <w:rsid w:val="00A201CF"/>
    <w:rPr>
      <w:sz w:val="18"/>
      <w:szCs w:val="18"/>
    </w:rPr>
  </w:style>
  <w:style w:type="table" w:styleId="af2">
    <w:name w:val="Table Grid"/>
    <w:basedOn w:val="a1"/>
    <w:uiPriority w:val="39"/>
    <w:rsid w:val="007213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D44D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7822">
      <w:bodyDiv w:val="1"/>
      <w:marLeft w:val="0"/>
      <w:marRight w:val="0"/>
      <w:marTop w:val="0"/>
      <w:marBottom w:val="0"/>
      <w:divBdr>
        <w:top w:val="none" w:sz="0" w:space="0" w:color="auto"/>
        <w:left w:val="none" w:sz="0" w:space="0" w:color="auto"/>
        <w:bottom w:val="none" w:sz="0" w:space="0" w:color="auto"/>
        <w:right w:val="none" w:sz="0" w:space="0" w:color="auto"/>
      </w:divBdr>
      <w:divsChild>
        <w:div w:id="2127234876">
          <w:marLeft w:val="0"/>
          <w:marRight w:val="0"/>
          <w:marTop w:val="0"/>
          <w:marBottom w:val="0"/>
          <w:divBdr>
            <w:top w:val="none" w:sz="0" w:space="0" w:color="auto"/>
            <w:left w:val="none" w:sz="0" w:space="0" w:color="auto"/>
            <w:bottom w:val="none" w:sz="0" w:space="0" w:color="auto"/>
            <w:right w:val="none" w:sz="0" w:space="0" w:color="auto"/>
          </w:divBdr>
          <w:divsChild>
            <w:div w:id="1977636770">
              <w:marLeft w:val="0"/>
              <w:marRight w:val="0"/>
              <w:marTop w:val="0"/>
              <w:marBottom w:val="0"/>
              <w:divBdr>
                <w:top w:val="none" w:sz="0" w:space="0" w:color="auto"/>
                <w:left w:val="none" w:sz="0" w:space="0" w:color="auto"/>
                <w:bottom w:val="none" w:sz="0" w:space="0" w:color="auto"/>
                <w:right w:val="none" w:sz="0" w:space="0" w:color="auto"/>
              </w:divBdr>
              <w:divsChild>
                <w:div w:id="1767577731">
                  <w:marLeft w:val="0"/>
                  <w:marRight w:val="0"/>
                  <w:marTop w:val="0"/>
                  <w:marBottom w:val="0"/>
                  <w:divBdr>
                    <w:top w:val="none" w:sz="0" w:space="0" w:color="auto"/>
                    <w:left w:val="none" w:sz="0" w:space="0" w:color="auto"/>
                    <w:bottom w:val="none" w:sz="0" w:space="0" w:color="auto"/>
                    <w:right w:val="none" w:sz="0" w:space="0" w:color="auto"/>
                  </w:divBdr>
                  <w:divsChild>
                    <w:div w:id="553591206">
                      <w:marLeft w:val="0"/>
                      <w:marRight w:val="0"/>
                      <w:marTop w:val="0"/>
                      <w:marBottom w:val="0"/>
                      <w:divBdr>
                        <w:top w:val="none" w:sz="0" w:space="0" w:color="auto"/>
                        <w:left w:val="none" w:sz="0" w:space="0" w:color="auto"/>
                        <w:bottom w:val="none" w:sz="0" w:space="0" w:color="auto"/>
                        <w:right w:val="none" w:sz="0" w:space="0" w:color="auto"/>
                      </w:divBdr>
                      <w:divsChild>
                        <w:div w:id="3052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203794">
      <w:bodyDiv w:val="1"/>
      <w:marLeft w:val="0"/>
      <w:marRight w:val="0"/>
      <w:marTop w:val="0"/>
      <w:marBottom w:val="0"/>
      <w:divBdr>
        <w:top w:val="none" w:sz="0" w:space="0" w:color="auto"/>
        <w:left w:val="none" w:sz="0" w:space="0" w:color="auto"/>
        <w:bottom w:val="none" w:sz="0" w:space="0" w:color="auto"/>
        <w:right w:val="none" w:sz="0" w:space="0" w:color="auto"/>
      </w:divBdr>
      <w:divsChild>
        <w:div w:id="1347977064">
          <w:marLeft w:val="0"/>
          <w:marRight w:val="0"/>
          <w:marTop w:val="0"/>
          <w:marBottom w:val="0"/>
          <w:divBdr>
            <w:top w:val="none" w:sz="0" w:space="0" w:color="auto"/>
            <w:left w:val="none" w:sz="0" w:space="0" w:color="auto"/>
            <w:bottom w:val="none" w:sz="0" w:space="0" w:color="auto"/>
            <w:right w:val="none" w:sz="0" w:space="0" w:color="auto"/>
          </w:divBdr>
          <w:divsChild>
            <w:div w:id="992029297">
              <w:marLeft w:val="0"/>
              <w:marRight w:val="0"/>
              <w:marTop w:val="0"/>
              <w:marBottom w:val="0"/>
              <w:divBdr>
                <w:top w:val="none" w:sz="0" w:space="0" w:color="auto"/>
                <w:left w:val="none" w:sz="0" w:space="0" w:color="auto"/>
                <w:bottom w:val="none" w:sz="0" w:space="0" w:color="auto"/>
                <w:right w:val="none" w:sz="0" w:space="0" w:color="auto"/>
              </w:divBdr>
              <w:divsChild>
                <w:div w:id="2146583825">
                  <w:marLeft w:val="0"/>
                  <w:marRight w:val="0"/>
                  <w:marTop w:val="0"/>
                  <w:marBottom w:val="0"/>
                  <w:divBdr>
                    <w:top w:val="none" w:sz="0" w:space="0" w:color="auto"/>
                    <w:left w:val="none" w:sz="0" w:space="0" w:color="auto"/>
                    <w:bottom w:val="none" w:sz="0" w:space="0" w:color="auto"/>
                    <w:right w:val="none" w:sz="0" w:space="0" w:color="auto"/>
                  </w:divBdr>
                  <w:divsChild>
                    <w:div w:id="2003311261">
                      <w:marLeft w:val="0"/>
                      <w:marRight w:val="0"/>
                      <w:marTop w:val="0"/>
                      <w:marBottom w:val="0"/>
                      <w:divBdr>
                        <w:top w:val="none" w:sz="0" w:space="0" w:color="auto"/>
                        <w:left w:val="none" w:sz="0" w:space="0" w:color="auto"/>
                        <w:bottom w:val="none" w:sz="0" w:space="0" w:color="auto"/>
                        <w:right w:val="none" w:sz="0" w:space="0" w:color="auto"/>
                      </w:divBdr>
                      <w:divsChild>
                        <w:div w:id="9911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PWQ-GDOU/ASTR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66EEF-366B-4C20-9D82-FB9E849FE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30</Pages>
  <Words>10833</Words>
  <Characters>30769</Characters>
  <Application>Microsoft Office Word</Application>
  <DocSecurity>0</DocSecurity>
  <Lines>1398</Lines>
  <Paragraphs>1260</Paragraphs>
  <ScaleCrop>false</ScaleCrop>
  <Company/>
  <LinksUpToDate>false</LinksUpToDate>
  <CharactersWithSpaces>40342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 report - software branch integrated</dc:title>
  <dc:subject>赛事技术方案、数据仿真、迁移验证、软件演示与复现材料索引</dc:subject>
  <dc:creator>ASTRA 项目组</dc:creator>
  <cp:keywords/>
  <dc:description/>
  <cp:lastModifiedBy>彭温泉</cp:lastModifiedBy>
  <cp:revision>110</cp:revision>
  <dcterms:created xsi:type="dcterms:W3CDTF">2026-08-30T04:21:00Z</dcterms:created>
  <dcterms:modified xsi:type="dcterms:W3CDTF">2026-08-30T05:52:00Z</dcterms:modified>
</cp:coreProperties>
</file>