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F3415" w14:textId="77777777" w:rsidR="00A201CF" w:rsidRPr="004643F8" w:rsidRDefault="00A201CF" w:rsidP="00A201CF">
      <w:pPr>
        <w:pStyle w:val="1"/>
        <w:rPr>
          <w:rFonts w:asciiTheme="majorEastAsia" w:eastAsiaTheme="majorEastAsia" w:hAnsiTheme="majorEastAsia"/>
        </w:rPr>
      </w:pPr>
      <w:r w:rsidRPr="004643F8">
        <w:rPr>
          <w:rFonts w:asciiTheme="majorEastAsia" w:eastAsiaTheme="majorEastAsia" w:hAnsiTheme="majorEastAsia"/>
          <w:b/>
          <w:bCs/>
        </w:rPr>
        <w:t>摘要</w:t>
      </w:r>
    </w:p>
    <w:p w14:paraId="381DDF0C" w14:textId="77777777" w:rsidR="00A201CF" w:rsidRPr="004643F8" w:rsidRDefault="00A201CF" w:rsidP="00A201CF">
      <w:pPr>
        <w:ind w:firstLine="420"/>
        <w:rPr>
          <w:rFonts w:asciiTheme="majorEastAsia" w:eastAsiaTheme="majorEastAsia" w:hAnsiTheme="majorEastAsia"/>
        </w:rPr>
      </w:pPr>
      <w:r>
        <w:t>航天器关键部件退化周期长、故障样本稀缺，真实在轨全寿命数据难以支撑直接建模。本项目以公开退化数据学习通用演化表征，再在航天电池与反作用轮仿真场景中进行小样本适配，并以可追溯协议记录数据、切分、训练和评估过程。</w:t>
      </w:r>
    </w:p>
    <w:p w14:paraId="6D02ABE5" w14:textId="77777777" w:rsidR="00A201CF" w:rsidRPr="004643F8" w:rsidRDefault="00A201CF" w:rsidP="00A201CF">
      <w:pPr>
        <w:ind w:firstLine="420"/>
        <w:rPr>
          <w:rFonts w:asciiTheme="majorEastAsia" w:eastAsiaTheme="majorEastAsia" w:hAnsiTheme="majorEastAsia"/>
        </w:rPr>
      </w:pPr>
      <w:r>
        <w:t>源域采用喷嘴烧蚀多轨迹数据；目标域包括 NASA 电池和反作用轮退化仿真代理。目标侧采用轨迹级或轴承级 outer-fold 留出，比较 pretrained transfer、matched Scratch、Ridge 与趋势基线。COMSOL 结果属于反作用轮仿真代理的探索性证据，不外推为真实在轨遥测结论。</w:t>
      </w:r>
    </w:p>
    <w:p w14:paraId="1A89568C" w14:textId="77777777" w:rsidR="00A201CF" w:rsidRPr="004643F8" w:rsidRDefault="00A201CF" w:rsidP="00A201CF">
      <w:pPr>
        <w:ind w:firstLine="420"/>
        <w:rPr>
          <w:rFonts w:asciiTheme="majorEastAsia" w:eastAsiaTheme="majorEastAsia" w:hAnsiTheme="majorEastAsia"/>
        </w:rPr>
      </w:pPr>
      <w:r>
        <w:t>NASA 电池链路完成了严格切分、目标侧尺度估计和逐折评估，但当前 N=1、N=2 均未达到预设的内部正向迁移标准，因此本报告将其作为诊断结果。所有主实验均输出逐折预测、指标、协议、数据清单和环境记录，支持复核。</w:t>
      </w:r>
    </w:p>
    <w:p w14:paraId="21C9F122" w14:textId="77777777" w:rsidR="00A201CF" w:rsidRPr="004643F8" w:rsidRDefault="00A201CF" w:rsidP="00A201CF">
      <w:pPr>
        <w:ind w:firstLine="420"/>
        <w:rPr>
          <w:rFonts w:asciiTheme="majorEastAsia" w:eastAsiaTheme="majorEastAsia" w:hAnsiTheme="majorEastAsia"/>
        </w:rPr>
      </w:pPr>
      <w:r>
        <w:t>本报告的主要方法学证据来自 FEMTO 轴承 -&gt; COMSOL 反作用轮仿真代理链路的探索性复现；电池链路保留为未通过内部验收的诊断结果。最终是否满足赛事评分要求，由评委依据提交材料和现场复核判定。</w:t>
      </w:r>
    </w:p>
    <w:p w14:paraId="50618775" w14:textId="77777777" w:rsidR="00A201CF" w:rsidRPr="004643F8" w:rsidRDefault="00A201CF" w:rsidP="00A201CF">
      <w:pPr>
        <w:pStyle w:val="1"/>
        <w:rPr>
          <w:rFonts w:asciiTheme="majorEastAsia" w:eastAsiaTheme="majorEastAsia" w:hAnsiTheme="majorEastAsia"/>
        </w:rPr>
      </w:pPr>
      <w:r w:rsidRPr="004643F8">
        <w:rPr>
          <w:rFonts w:asciiTheme="majorEastAsia" w:eastAsiaTheme="majorEastAsia" w:hAnsiTheme="majorEastAsia"/>
          <w:b/>
          <w:bCs/>
        </w:rPr>
        <w:t>关键词</w:t>
      </w:r>
    </w:p>
    <w:p w14:paraId="4896658D" w14:textId="77777777" w:rsidR="00A201CF" w:rsidRPr="004643F8" w:rsidRDefault="00A201CF" w:rsidP="00A201CF">
      <w:pPr>
        <w:rPr>
          <w:rFonts w:asciiTheme="majorEastAsia" w:eastAsiaTheme="majorEastAsia" w:hAnsiTheme="majorEastAsia"/>
        </w:rPr>
      </w:pPr>
      <w:r w:rsidRPr="004643F8">
        <w:rPr>
          <w:rFonts w:asciiTheme="majorEastAsia" w:eastAsiaTheme="majorEastAsia" w:hAnsiTheme="majorEastAsia"/>
        </w:rPr>
        <w:t>跨域迁移学习；渐进退化建模；剩余寿命预测；反作用轮；高保真退化模拟；留出验证；小样本泛化；知识可追溯；在轨健康管理</w:t>
      </w:r>
    </w:p>
    <w:p w14:paraId="682BCB1A" w14:textId="77777777" w:rsidR="00B6049B" w:rsidRPr="004643F8" w:rsidRDefault="00B6049B" w:rsidP="00B6049B">
      <w:pPr>
        <w:pStyle w:val="1"/>
        <w:rPr>
          <w:rFonts w:asciiTheme="majorEastAsia" w:eastAsiaTheme="majorEastAsia" w:hAnsiTheme="majorEastAsia"/>
        </w:rPr>
      </w:pPr>
      <w:r w:rsidRPr="004643F8">
        <w:rPr>
          <w:rFonts w:asciiTheme="majorEastAsia" w:eastAsiaTheme="majorEastAsia" w:hAnsiTheme="majorEastAsia"/>
          <w:b/>
          <w:bCs/>
        </w:rPr>
        <w:t>一、赛事要求与方案定位</w:t>
      </w:r>
    </w:p>
    <w:p>
      <w:pPr>
        <w:pStyle w:val="1"/>
      </w:pPr>
      <w:r>
        <w:t>评审材料获取与复现入口</w:t>
      </w:r>
    </w:p>
    <w:p>
      <w:r>
        <w:rPr>
          <w:b/>
        </w:rPr>
        <w:t>公开仓库：</w:t>
      </w:r>
      <w:hyperlink r:id="rId13">
        <w:r>
          <w:rPr>
            <w:color w:val="0563C1"/>
            <w:u w:val="single"/>
          </w:rPr>
          <w:t>https://github.com/PWQ-GDOU/ASTRA</w:t>
        </w:r>
      </w:hyperlink>
      <w:r>
        <w:t>。GitHub 用于获取代码、数据清单、审计结果和复现说明；赛事正式作品仍以官方申报系统要求的作品包和报名表 PDF 为准。</w:t>
      </w:r>
    </w:p>
    <w:p>
      <w:r>
        <w:t>推荐阅读顺序：README.md -&gt; DATA_SOURCES.md -&gt; docs/competition/competition_rules.pdf -&gt; docs/engineering_demo.md -&gt; outputs/ 中的协议和审计文件。</w:t>
      </w:r>
    </w:p>
    <w:p>
      <w:r>
        <w:t>主实验入口为 scripts/exp_cross_transfer_v3.py；FEMTO -&gt; COMSOL 外层留出入口为 scripts/exp_femto_ims_to_comsol_outerloo_v5.py；Docker 入口为 Dockerfile、docker/docker-compose.yml 和 docker/requirements.lock.txt。</w:t>
      </w:r>
    </w:p>
    <w:p w14:paraId="731B8CE4" w14:textId="77777777" w:rsidR="00B6049B" w:rsidRPr="004643F8" w:rsidRDefault="00B6049B" w:rsidP="00B6049B">
      <w:pPr>
        <w:rPr>
          <w:rFonts w:asciiTheme="majorEastAsia" w:eastAsiaTheme="majorEastAsia" w:hAnsiTheme="majorEastAsia"/>
        </w:rPr>
      </w:pPr>
      <w:r>
        <w:t>根据赛事方案，本文覆盖问题建模与仿真场景、数据集与仿真方法、PyTorch 可执行代码、迁移预测验证及工程表达。评审证据采用报告章节、仓库路径和机器可读结果文件三重索引。</w:t>
      </w:r>
    </w:p>
    <w:p w14:paraId="02F90EFA" w14:textId="77777777" w:rsidR="00B6049B" w:rsidRPr="004643F8" w:rsidRDefault="00B6049B" w:rsidP="00B6049B">
      <w:pPr>
        <w:rPr>
          <w:rFonts w:asciiTheme="majorEastAsia" w:eastAsiaTheme="majorEastAsia" w:hAnsiTheme="majorEastAsia"/>
        </w:rPr>
      </w:pPr>
      <w:r>
        <w:t>据此，本方案定位为“地面知识驱动、航天场景验证、工程闭环交付”。下表仅用于帮助评委定位官方评审要点与证据位置，不代表本项目自评得分或替代评委判断：</w:t>
      </w:r>
    </w:p>
    <w:p w14:paraId="1FF61933" w14:textId="3AA418C9" w:rsidR="00AD2417" w:rsidRPr="004643F8" w:rsidRDefault="002A3235" w:rsidP="00B6049B">
      <w:pPr>
        <w:rPr>
          <w:rFonts w:asciiTheme="majorEastAsia" w:eastAsiaTheme="majorEastAsia" w:hAnsiTheme="majorEastAsia" w:hint="eastAsia"/>
        </w:rPr>
      </w:pPr>
      <w:r w:rsidRPr="004643F8">
        <w:rPr>
          <w:rFonts w:asciiTheme="majorEastAsia" w:eastAsiaTheme="majorEastAsia" w:hAnsiTheme="majorEastAsia"/>
        </w:rPr>
        <w:t>表1</w:t>
      </w:r>
      <w:r w:rsidRPr="004643F8">
        <w:rPr>
          <w:rFonts w:asciiTheme="majorEastAsia" w:eastAsiaTheme="majorEastAsia" w:hAnsiTheme="majorEastAsia" w:hint="eastAsia"/>
        </w:rPr>
        <w:t xml:space="preserve"> </w:t>
      </w:r>
      <w:r w:rsidRPr="004643F8">
        <w:rPr>
          <w:rFonts w:asciiTheme="majorEastAsia" w:eastAsiaTheme="majorEastAsia" w:hAnsiTheme="majorEastAsia"/>
        </w:rPr>
        <w:t>赛事评分维度与本项目证据映射表</w:t>
      </w:r>
    </w:p>
    <w:tbl>
      <w:tblPr>
        <w:tblW w:w="82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8"/>
        <w:gridCol w:w="1415"/>
        <w:gridCol w:w="1665"/>
        <w:gridCol w:w="2654"/>
        <w:gridCol w:w="1326"/>
      </w:tblGrid>
      <w:tr w:rsidR="00B6049B" w:rsidRPr="004643F8" w14:paraId="64F2E777" w14:textId="77777777" w:rsidTr="0077261C">
        <w:trPr>
          <w:trHeight w:val="283"/>
          <w:jc w:val="center"/>
        </w:trPr>
        <w:tc>
          <w:tcPr>
            <w:tcW w:w="1168" w:type="dxa"/>
            <w:noWrap/>
            <w:vAlign w:val="center"/>
            <w:hideMark/>
          </w:tcPr>
          <w:p>
            <w:r>
              <w:t>官方评审维度</w:t>
            </w:r>
          </w:p>
        </w:tc>
        <w:tc>
          <w:tcPr>
            <w:tcW w:w="1415" w:type="dxa"/>
            <w:noWrap/>
            <w:vAlign w:val="center"/>
            <w:hideMark/>
          </w:tcPr>
          <w:p>
            <w:r>
              <w:t>官方权重</w:t>
            </w:r>
          </w:p>
        </w:tc>
        <w:tc>
          <w:tcPr>
            <w:tcW w:w="1665" w:type="dxa"/>
            <w:noWrap/>
            <w:vAlign w:val="center"/>
            <w:hideMark/>
          </w:tcPr>
          <w:p>
            <w:r>
              <w:t>官方要求与本项目证据位置（不代表自评得分）</w:t>
            </w:r>
          </w:p>
        </w:tc>
        <w:tc>
          <w:tcPr>
            <w:tcW w:w="2654" w:type="dxa"/>
            <w:noWrap/>
            <w:vAlign w:val="center"/>
            <w:hideMark/>
          </w:tcPr>
          <w:p w14:paraId="64E90493"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本项目对应做法</w:t>
            </w:r>
          </w:p>
        </w:tc>
        <w:tc>
          <w:tcPr>
            <w:tcW w:w="1326" w:type="dxa"/>
            <w:noWrap/>
            <w:vAlign w:val="center"/>
            <w:hideMark/>
          </w:tcPr>
          <w:p w14:paraId="5A6161D4"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报告位置</w:t>
            </w:r>
          </w:p>
        </w:tc>
      </w:tr>
      <w:tr w:rsidR="00B6049B" w:rsidRPr="004643F8" w14:paraId="0ACA3278" w14:textId="77777777" w:rsidTr="0077261C">
        <w:trPr>
          <w:trHeight w:val="283"/>
          <w:jc w:val="center"/>
        </w:trPr>
        <w:tc>
          <w:tcPr>
            <w:tcW w:w="1168" w:type="dxa"/>
            <w:noWrap/>
            <w:vAlign w:val="center"/>
            <w:hideMark/>
          </w:tcPr>
          <w:p w14:paraId="55A6BE2F"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问题建模与仿真场景设计</w:t>
            </w:r>
          </w:p>
        </w:tc>
        <w:tc>
          <w:tcPr>
            <w:tcW w:w="1415" w:type="dxa"/>
            <w:noWrap/>
            <w:vAlign w:val="center"/>
            <w:hideMark/>
          </w:tcPr>
          <w:p w14:paraId="78DAF7DF" w14:textId="38153557" w:rsidR="00B6049B" w:rsidRPr="004643F8" w:rsidRDefault="00010475" w:rsidP="00C45BE4">
            <w:pPr>
              <w:widowControl/>
              <w:ind w:rightChars="-38" w:right="-80"/>
              <w:jc w:val="left"/>
              <w:rPr>
                <w:rFonts w:asciiTheme="majorEastAsia" w:eastAsiaTheme="majorEastAsia" w:hAnsiTheme="majorEastAsia" w:cs="宋体" w:hint="eastAsia"/>
                <w:color w:val="000000"/>
                <w:kern w:val="0"/>
                <w:sz w:val="22"/>
              </w:rPr>
            </w:pPr>
            <w:r w:rsidRPr="004643F8">
              <w:rPr>
                <w:rFonts w:asciiTheme="majorEastAsia" w:eastAsiaTheme="majorEastAsia" w:hAnsiTheme="majorEastAsia" w:cs="宋体" w:hint="eastAsia"/>
                <w:color w:val="000000"/>
                <w:kern w:val="0"/>
                <w:sz w:val="22"/>
              </w:rPr>
              <w:t>30</w:t>
            </w:r>
          </w:p>
        </w:tc>
        <w:tc>
          <w:tcPr>
            <w:tcW w:w="1665" w:type="dxa"/>
            <w:noWrap/>
            <w:vAlign w:val="center"/>
            <w:hideMark/>
          </w:tcPr>
          <w:p w14:paraId="03642E4F"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退化机理分析、可观测量定义、运行/故障/长期衰减场景构建</w:t>
            </w:r>
          </w:p>
        </w:tc>
        <w:tc>
          <w:tcPr>
            <w:tcW w:w="2654" w:type="dxa"/>
            <w:noWrap/>
            <w:vAlign w:val="center"/>
            <w:hideMark/>
          </w:tcPr>
          <w:p>
            <w:r>
              <w:t>以喷嘴烧蚀为源域知识来源，其热-力耦合衰减机理与航天器机械部件分别说明退化机理与可观测量；面向电池容量衰减与反作用轮磨损分别构建物理可信的退化指标体系与寿命演化工况</w:t>
            </w:r>
          </w:p>
        </w:tc>
        <w:tc>
          <w:tcPr>
            <w:tcW w:w="1326" w:type="dxa"/>
            <w:noWrap/>
            <w:vAlign w:val="center"/>
            <w:hideMark/>
          </w:tcPr>
          <w:p w14:paraId="0B6DB520"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第二章、第三章</w:t>
            </w:r>
          </w:p>
        </w:tc>
      </w:tr>
      <w:tr w:rsidR="00B6049B" w:rsidRPr="004643F8" w14:paraId="1269CEAD" w14:textId="77777777" w:rsidTr="0077261C">
        <w:trPr>
          <w:trHeight w:val="283"/>
          <w:jc w:val="center"/>
        </w:trPr>
        <w:tc>
          <w:tcPr>
            <w:tcW w:w="1168" w:type="dxa"/>
            <w:noWrap/>
            <w:vAlign w:val="center"/>
            <w:hideMark/>
          </w:tcPr>
          <w:p w14:paraId="09FECEA8"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工程实现与可复现性</w:t>
            </w:r>
          </w:p>
        </w:tc>
        <w:tc>
          <w:tcPr>
            <w:tcW w:w="1415" w:type="dxa"/>
            <w:noWrap/>
            <w:vAlign w:val="center"/>
            <w:hideMark/>
          </w:tcPr>
          <w:p w14:paraId="0F4ACB31" w14:textId="4F86DDCF"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50</w:t>
            </w:r>
          </w:p>
        </w:tc>
        <w:tc>
          <w:tcPr>
            <w:tcW w:w="1665" w:type="dxa"/>
            <w:noWrap/>
            <w:vAlign w:val="center"/>
            <w:hideMark/>
          </w:tcPr>
          <w:p w14:paraId="4361C734"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PyTorch可执行代码，完整复现训练、迁</w:t>
            </w:r>
            <w:r w:rsidRPr="004643F8">
              <w:rPr>
                <w:rFonts w:asciiTheme="majorEastAsia" w:eastAsiaTheme="majorEastAsia" w:hAnsiTheme="majorEastAsia" w:cs="宋体"/>
                <w:color w:val="000000"/>
                <w:kern w:val="0"/>
                <w:sz w:val="22"/>
              </w:rPr>
              <w:lastRenderedPageBreak/>
              <w:t>移微调与预测全过程</w:t>
            </w:r>
          </w:p>
        </w:tc>
        <w:tc>
          <w:tcPr>
            <w:tcW w:w="2654" w:type="dxa"/>
            <w:noWrap/>
            <w:vAlign w:val="center"/>
            <w:hideMark/>
          </w:tcPr>
          <w:p w14:paraId="1923FCC5"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lastRenderedPageBreak/>
              <w:t>构建标准化训练评估流水线，严格恪守“仅训练侧可见”原则（数据切分、</w:t>
            </w:r>
            <w:r w:rsidRPr="004643F8">
              <w:rPr>
                <w:rFonts w:asciiTheme="majorEastAsia" w:eastAsiaTheme="majorEastAsia" w:hAnsiTheme="majorEastAsia" w:cs="宋体"/>
                <w:color w:val="000000"/>
                <w:kern w:val="0"/>
                <w:sz w:val="22"/>
              </w:rPr>
              <w:lastRenderedPageBreak/>
              <w:t>归一化、标签尺度、早停等）；完成Docker镜像封装，固化Python运行时、PyTorch版本、CUDA环境及全部依赖，确保任意平台单指令复现</w:t>
            </w:r>
          </w:p>
        </w:tc>
        <w:tc>
          <w:tcPr>
            <w:tcW w:w="1326" w:type="dxa"/>
            <w:noWrap/>
            <w:vAlign w:val="center"/>
            <w:hideMark/>
          </w:tcPr>
          <w:p w14:paraId="14A4D41B"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lastRenderedPageBreak/>
              <w:t>第四章、第五章、第八章</w:t>
            </w:r>
          </w:p>
        </w:tc>
      </w:tr>
      <w:tr w:rsidR="00B6049B" w:rsidRPr="004643F8" w14:paraId="50E0ECDC" w14:textId="77777777" w:rsidTr="0077261C">
        <w:trPr>
          <w:trHeight w:val="283"/>
          <w:jc w:val="center"/>
        </w:trPr>
        <w:tc>
          <w:tcPr>
            <w:tcW w:w="1168" w:type="dxa"/>
            <w:noWrap/>
            <w:vAlign w:val="center"/>
            <w:hideMark/>
          </w:tcPr>
          <w:p w14:paraId="002A858A"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算法效果、迁移能力与应用表达</w:t>
            </w:r>
          </w:p>
        </w:tc>
        <w:tc>
          <w:tcPr>
            <w:tcW w:w="1415" w:type="dxa"/>
            <w:noWrap/>
            <w:vAlign w:val="center"/>
            <w:hideMark/>
          </w:tcPr>
          <w:p w14:paraId="7A51A591"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20</w:t>
            </w:r>
          </w:p>
        </w:tc>
        <w:tc>
          <w:tcPr>
            <w:tcW w:w="1665" w:type="dxa"/>
            <w:noWrap/>
            <w:vAlign w:val="center"/>
            <w:hideMark/>
          </w:tcPr>
          <w:p w14:paraId="2949B2D9"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公开数据训练至目标域适配，体现跨域迁移实质增益</w:t>
            </w:r>
          </w:p>
        </w:tc>
        <w:tc>
          <w:tcPr>
            <w:tcW w:w="2654" w:type="dxa"/>
            <w:noWrap/>
            <w:vAlign w:val="center"/>
            <w:hideMark/>
          </w:tcPr>
          <w:p w14:paraId="0B5F0AC6"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以统一health信号对齐退化方向；源域预训练共享编码器，目标域轻量化适配；反作用轮小样本留出验证中，精度优于从头训练基准、传统回归与固定趋势外推，证明迁移价值</w:t>
            </w:r>
          </w:p>
        </w:tc>
        <w:tc>
          <w:tcPr>
            <w:tcW w:w="1326" w:type="dxa"/>
            <w:noWrap/>
            <w:vAlign w:val="center"/>
            <w:hideMark/>
          </w:tcPr>
          <w:p w14:paraId="582CFC89"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第六章、第七章</w:t>
            </w:r>
          </w:p>
        </w:tc>
      </w:tr>
      <w:tr w:rsidR="00B6049B" w:rsidRPr="004643F8" w14:paraId="46157AEF" w14:textId="77777777" w:rsidTr="0077261C">
        <w:trPr>
          <w:trHeight w:val="283"/>
          <w:jc w:val="center"/>
        </w:trPr>
        <w:tc>
          <w:tcPr>
            <w:tcW w:w="1168" w:type="dxa"/>
            <w:noWrap/>
            <w:vAlign w:val="center"/>
            <w:hideMark/>
          </w:tcPr>
          <w:p w14:paraId="5FEB8CA3"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额外加分候选</w:t>
            </w:r>
          </w:p>
        </w:tc>
        <w:tc>
          <w:tcPr>
            <w:tcW w:w="1415" w:type="dxa"/>
            <w:noWrap/>
            <w:vAlign w:val="center"/>
            <w:hideMark/>
          </w:tcPr>
          <w:p w14:paraId="6A7F2573"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最高5</w:t>
            </w:r>
          </w:p>
        </w:tc>
        <w:tc>
          <w:tcPr>
            <w:tcW w:w="1665" w:type="dxa"/>
            <w:noWrap/>
            <w:vAlign w:val="center"/>
            <w:hideMark/>
          </w:tcPr>
          <w:p w14:paraId="2ACC9D9F"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寿命状态直观表达、工程应用流程</w:t>
            </w:r>
          </w:p>
        </w:tc>
        <w:tc>
          <w:tcPr>
            <w:tcW w:w="2654" w:type="dxa"/>
            <w:noWrap/>
            <w:vAlign w:val="center"/>
            <w:hideMark/>
          </w:tcPr>
          <w:p w14:paraId="06C7A55F"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开发轻量化寿命状态仪表板，支持预测结果在线回放与风险等级即时判别；采用操作员/审计员双角色分离视图，兼顾快速决策与结果可追溯；完整启动-运行-输出流程，可作为在轨健康管理辅助工具原型</w:t>
            </w:r>
          </w:p>
        </w:tc>
        <w:tc>
          <w:tcPr>
            <w:tcW w:w="1326" w:type="dxa"/>
            <w:noWrap/>
            <w:vAlign w:val="center"/>
            <w:hideMark/>
          </w:tcPr>
          <w:p w14:paraId="341FE15D" w14:textId="77777777" w:rsidR="00B6049B" w:rsidRPr="004643F8" w:rsidRDefault="00B6049B" w:rsidP="00C45BE4">
            <w:pPr>
              <w:widowControl/>
              <w:jc w:val="left"/>
              <w:rPr>
                <w:rFonts w:asciiTheme="majorEastAsia" w:eastAsiaTheme="majorEastAsia" w:hAnsiTheme="majorEastAsia" w:cs="宋体"/>
                <w:color w:val="000000"/>
                <w:kern w:val="0"/>
                <w:sz w:val="22"/>
              </w:rPr>
            </w:pPr>
            <w:r w:rsidRPr="004643F8">
              <w:rPr>
                <w:rFonts w:asciiTheme="majorEastAsia" w:eastAsiaTheme="majorEastAsia" w:hAnsiTheme="majorEastAsia" w:cs="宋体"/>
                <w:color w:val="000000"/>
                <w:kern w:val="0"/>
                <w:sz w:val="22"/>
              </w:rPr>
              <w:t>第七章</w:t>
            </w:r>
          </w:p>
        </w:tc>
      </w:tr>
    </w:tbl>
    <w:p w14:paraId="55344053" w14:textId="43AA24F8" w:rsidR="005B0F5F" w:rsidRPr="004643F8" w:rsidRDefault="003B177B">
      <w:pPr>
        <w:rPr>
          <w:rFonts w:asciiTheme="majorEastAsia" w:eastAsiaTheme="majorEastAsia" w:hAnsiTheme="majorEastAsia"/>
        </w:rPr>
      </w:pPr>
      <w:r>
        <w:t>后文分别给出对应的实验、代码、数据和审计文件；评审方可按仓库索引独立复核。</w:t>
      </w:r>
    </w:p>
    <w:p w14:paraId="05A0D47E" w14:textId="77777777" w:rsidR="00C85671" w:rsidRPr="004643F8" w:rsidRDefault="00C85671" w:rsidP="00C85671">
      <w:pPr>
        <w:pStyle w:val="2"/>
        <w:rPr>
          <w:rFonts w:asciiTheme="majorEastAsia" w:eastAsiaTheme="majorEastAsia" w:hAnsiTheme="majorEastAsia"/>
          <w:b/>
          <w:bCs/>
        </w:rPr>
      </w:pPr>
      <w:r w:rsidRPr="004643F8">
        <w:rPr>
          <w:rFonts w:asciiTheme="majorEastAsia" w:eastAsiaTheme="majorEastAsia" w:hAnsiTheme="majorEastAsia"/>
          <w:b/>
          <w:bCs/>
        </w:rPr>
        <w:t>2.1 统一寿命预测问题</w:t>
      </w:r>
    </w:p>
    <w:p w14:paraId="06049475" w14:textId="77777777" w:rsidR="00C85671" w:rsidRPr="004643F8" w:rsidRDefault="00C85671" w:rsidP="00C85671">
      <w:pPr>
        <w:rPr>
          <w:rFonts w:asciiTheme="majorEastAsia" w:eastAsiaTheme="majorEastAsia" w:hAnsiTheme="majorEastAsia"/>
        </w:rPr>
      </w:pPr>
      <w:r w:rsidRPr="004643F8">
        <w:rPr>
          <w:rFonts w:asciiTheme="majorEastAsia" w:eastAsiaTheme="majorEastAsia" w:hAnsiTheme="majorEastAsia"/>
        </w:rPr>
        <w:t>航天器关键组件的退化过程具有显著的个体差异性，且不同部件在物理机理、传感器配置和性能表征维度上各不相同。为构建一个可跨组件迁移的寿命预测框架，首先需要将异构的退化观测统一到相同的数学描述空间内。</w:t>
      </w:r>
    </w:p>
    <w:p w14:paraId="78C00632" w14:textId="4084023A" w:rsidR="00C85671" w:rsidRPr="004643F8" w:rsidRDefault="00C85671" w:rsidP="00C85671">
      <w:pPr>
        <w:rPr>
          <w:rFonts w:asciiTheme="majorEastAsia" w:eastAsiaTheme="majorEastAsia" w:hAnsiTheme="majorEastAsia"/>
        </w:rPr>
      </w:pPr>
      <w:r w:rsidRPr="004643F8">
        <w:rPr>
          <w:rFonts w:asciiTheme="majorEastAsia" w:eastAsiaTheme="majorEastAsia" w:hAnsiTheme="majorEastAsia"/>
        </w:rPr>
        <w:t>设组件在时刻 </w:t>
      </w:r>
      <m:oMath>
        <m:r>
          <w:rPr>
            <w:rFonts w:ascii="Cambria Math" w:eastAsiaTheme="majorEastAsia" w:hAnsi="Cambria Math"/>
          </w:rPr>
          <m:t>t</m:t>
        </m:r>
      </m:oMath>
      <w:r w:rsidRPr="004643F8">
        <w:rPr>
          <w:rFonts w:asciiTheme="majorEastAsia" w:eastAsiaTheme="majorEastAsia" w:hAnsiTheme="majorEastAsia"/>
        </w:rPr>
        <w:t> 的可观测原始信号为 </w:t>
      </w:r>
      <m:oMath>
        <m:sSub>
          <m:sSubPr>
            <m:ctrlPr>
              <w:rPr>
                <w:rFonts w:ascii="Cambria Math" w:eastAsiaTheme="majorEastAsia" w:hAnsi="Cambria Math"/>
              </w:rPr>
            </m:ctrlPr>
          </m:sSubPr>
          <m:e>
            <m:r>
              <w:rPr>
                <w:rFonts w:ascii="Cambria Math" w:eastAsiaTheme="majorEastAsia" w:hAnsi="Cambria Math"/>
              </w:rPr>
              <m:t>x</m:t>
            </m:r>
          </m:e>
          <m:sub>
            <m:r>
              <w:rPr>
                <w:rFonts w:ascii="Cambria Math" w:eastAsiaTheme="majorEastAsia" w:hAnsi="Cambria Math"/>
              </w:rPr>
              <m:t>t</m:t>
            </m:r>
          </m:sub>
        </m:sSub>
      </m:oMath>
      <w:r w:rsidRPr="004643F8">
        <w:rPr>
          <w:rFonts w:asciiTheme="majorEastAsia" w:eastAsiaTheme="majorEastAsia" w:hAnsiTheme="majorEastAsia"/>
        </w:rPr>
        <w:t>。对于不同类型的部件，</w:t>
      </w:r>
      <m:oMath>
        <m:sSub>
          <m:sSubPr>
            <m:ctrlPr>
              <w:rPr>
                <w:rFonts w:ascii="Cambria Math" w:eastAsiaTheme="majorEastAsia" w:hAnsi="Cambria Math"/>
              </w:rPr>
            </m:ctrlPr>
          </m:sSubPr>
          <m:e>
            <m:r>
              <w:rPr>
                <w:rFonts w:ascii="Cambria Math" w:eastAsiaTheme="majorEastAsia" w:hAnsi="Cambria Math"/>
              </w:rPr>
              <m:t>x</m:t>
            </m:r>
          </m:e>
          <m:sub>
            <m:r>
              <w:rPr>
                <w:rFonts w:ascii="Cambria Math" w:eastAsiaTheme="majorEastAsia" w:hAnsi="Cambria Math"/>
              </w:rPr>
              <m:t>t</m:t>
            </m:r>
          </m:sub>
        </m:sSub>
      </m:oMath>
      <w:r w:rsidRPr="004643F8">
        <w:rPr>
          <w:rFonts w:asciiTheme="majorEastAsia" w:eastAsiaTheme="majorEastAsia" w:hAnsiTheme="majorEastAsia"/>
        </w:rPr>
        <w:t> 可能代表完全不同的物理量——在喷嘴场景中可能是烧蚀深度或热流密度，在电池场景中可能是电压曲线或容量测量值，在反作用轮场景中则可能是振动加速度的均方根值。模型的目标是：给定截至当前时刻 </w:t>
      </w:r>
      <m:oMath>
        <m:r>
          <w:rPr>
            <w:rFonts w:ascii="Cambria Math" w:eastAsiaTheme="majorEastAsia" w:hAnsi="Cambria Math"/>
          </w:rPr>
          <m:t>t</m:t>
        </m:r>
      </m:oMath>
      <w:r w:rsidRPr="004643F8">
        <w:rPr>
          <w:rFonts w:asciiTheme="majorEastAsia" w:eastAsiaTheme="majorEastAsia" w:hAnsiTheme="majorEastAsia"/>
        </w:rPr>
        <w:t> 的历史观测序列 </w:t>
      </w:r>
      <m:oMath>
        <m:sSub>
          <m:sSubPr>
            <m:ctrlPr>
              <w:rPr>
                <w:rFonts w:ascii="Cambria Math" w:eastAsiaTheme="majorEastAsia" w:hAnsi="Cambria Math"/>
              </w:rPr>
            </m:ctrlPr>
          </m:sSubPr>
          <m:e>
            <m:r>
              <w:rPr>
                <w:rFonts w:ascii="Cambria Math" w:eastAsiaTheme="majorEastAsia" w:hAnsi="Cambria Math"/>
              </w:rPr>
              <m:t>x</m:t>
            </m:r>
          </m:e>
          <m:sub>
            <m:d>
              <m:dPr>
                <m:ctrlPr>
                  <w:rPr>
                    <w:rFonts w:ascii="Cambria Math" w:eastAsiaTheme="majorEastAsia" w:hAnsi="Cambria Math"/>
                  </w:rPr>
                </m:ctrlPr>
              </m:dPr>
              <m:e>
                <m:r>
                  <w:rPr>
                    <w:rFonts w:ascii="Cambria Math" w:eastAsiaTheme="majorEastAsia" w:hAnsi="Cambria Math"/>
                  </w:rPr>
                  <m:t>1:t</m:t>
                </m:r>
              </m:e>
            </m:d>
          </m:sub>
        </m:sSub>
      </m:oMath>
      <w:r w:rsidRPr="004643F8">
        <w:rPr>
          <w:rFonts w:asciiTheme="majorEastAsia" w:eastAsiaTheme="majorEastAsia" w:hAnsiTheme="majorEastAsia"/>
        </w:rPr>
        <w:t>，预测该组件从当前时刻至寿命终结的剩余时长，即剩余寿命（Remaining Useful Life, RUL）</w:t>
      </w:r>
      <m:oMath>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oMath>
      <w:r w:rsidRPr="004643F8">
        <w:rPr>
          <w:rFonts w:asciiTheme="majorEastAsia" w:eastAsiaTheme="majorEastAsia" w:hAnsiTheme="majorEastAsia"/>
        </w:rPr>
        <w:t>。</w:t>
      </w:r>
    </w:p>
    <w:p w14:paraId="79BAA71E" w14:textId="77777777" w:rsidR="00C85671" w:rsidRPr="004643F8" w:rsidRDefault="00C85671" w:rsidP="00C85671">
      <w:pPr>
        <w:rPr>
          <w:rFonts w:asciiTheme="majorEastAsia" w:eastAsiaTheme="majorEastAsia" w:hAnsiTheme="majorEastAsia"/>
        </w:rPr>
      </w:pPr>
      <w:r w:rsidRPr="004643F8">
        <w:rPr>
          <w:rFonts w:asciiTheme="majorEastAsia" w:eastAsiaTheme="majorEastAsia" w:hAnsiTheme="majorEastAsia"/>
        </w:rPr>
        <w:t>然而，不同组件的退化方向存在天然差异。例如，喷嘴烧蚀深度随时间单调增加，电池荷电状态（State of Health, SOH）单调递减，而反作用轮振动幅值则随磨损加剧而上升。若直接以原始物理量作为监督目标，模型需要为每个场景重新学习退化方向的语义，这违背了跨域知识迁移的设计初衷。</w:t>
      </w:r>
    </w:p>
    <w:p w14:paraId="08AA2CF4" w14:textId="346FBC98" w:rsidR="00C85671" w:rsidRPr="004643F8" w:rsidRDefault="00C85671" w:rsidP="00C85671">
      <w:pPr>
        <w:rPr>
          <w:rFonts w:asciiTheme="majorEastAsia" w:eastAsiaTheme="majorEastAsia" w:hAnsiTheme="majorEastAsia"/>
        </w:rPr>
      </w:pPr>
      <w:r w:rsidRPr="004643F8">
        <w:rPr>
          <w:rFonts w:asciiTheme="majorEastAsia" w:eastAsiaTheme="majorEastAsia" w:hAnsiTheme="majorEastAsia"/>
        </w:rPr>
        <w:t>为此，本方案引入统一的健康指标 </w:t>
      </w:r>
      <m:oMath>
        <m:sSub>
          <m:sSubPr>
            <m:ctrlPr>
              <w:rPr>
                <w:rFonts w:ascii="Cambria Math" w:eastAsiaTheme="majorEastAsia" w:hAnsi="Cambria Math"/>
              </w:rPr>
            </m:ctrlPr>
          </m:sSubPr>
          <m:e>
            <m:r>
              <w:rPr>
                <w:rFonts w:ascii="Cambria Math" w:eastAsiaTheme="majorEastAsia" w:hAnsi="Cambria Math"/>
              </w:rPr>
              <m:t>h</m:t>
            </m:r>
          </m:e>
          <m:sub>
            <m:r>
              <w:rPr>
                <w:rFonts w:ascii="Cambria Math" w:eastAsiaTheme="majorEastAsia" w:hAnsi="Cambria Math"/>
              </w:rPr>
              <m:t>t</m:t>
            </m:r>
          </m:sub>
        </m:sSub>
      </m:oMath>
      <w:r w:rsidRPr="004643F8">
        <w:rPr>
          <w:rFonts w:asciiTheme="majorEastAsia" w:eastAsiaTheme="majorEastAsia" w:hAnsiTheme="majorEastAsia"/>
        </w:rPr>
        <w:t>（health signal），其定义为：</w:t>
      </w:r>
      <w:r>
        <w:t xml:space="preserve"> [1, 6, 7]</w:t>
      </w:r>
    </w:p>
    <w:p w14:paraId="038B3448" w14:textId="77005EA2" w:rsidR="00C85671" w:rsidRPr="004643F8" w:rsidRDefault="00C85671" w:rsidP="00C85671">
      <w:pPr>
        <w:rPr>
          <w:rFonts w:asciiTheme="majorEastAsia" w:eastAsiaTheme="majorEastAsia" w:hAnsiTheme="majorEastAsia"/>
        </w:rPr>
      </w:pPr>
      <m:oMathPara>
        <m:oMath>
          <m:sSub>
            <m:sSubPr>
              <m:ctrlPr>
                <w:rPr>
                  <w:rFonts w:ascii="Cambria Math" w:eastAsiaTheme="majorEastAsia" w:hAnsi="Cambria Math"/>
                </w:rPr>
              </m:ctrlPr>
            </m:sSubPr>
            <m:e>
              <m:r>
                <w:rPr>
                  <w:rFonts w:ascii="Cambria Math" w:eastAsiaTheme="majorEastAsia" w:hAnsi="Cambria Math"/>
                </w:rPr>
                <m:t>h</m:t>
              </m:r>
            </m:e>
            <m:sub>
              <m:r>
                <w:rPr>
                  <w:rFonts w:ascii="Cambria Math" w:eastAsiaTheme="majorEastAsia" w:hAnsi="Cambria Math"/>
                </w:rPr>
                <m:t>t</m:t>
              </m:r>
            </m:sub>
          </m:sSub>
          <m:r>
            <w:rPr>
              <w:rFonts w:ascii="Cambria Math" w:eastAsiaTheme="majorEastAsia" w:hAnsi="Cambria Math"/>
            </w:rPr>
            <m:t>=1-</m:t>
          </m:r>
          <m:sSub>
            <m:sSubPr>
              <m:ctrlPr>
                <w:rPr>
                  <w:rFonts w:ascii="Cambria Math" w:eastAsiaTheme="majorEastAsia" w:hAnsi="Cambria Math"/>
                </w:rPr>
              </m:ctrlPr>
            </m:sSubPr>
            <m:e>
              <m:r>
                <m:rPr>
                  <m:nor/>
                </m:rPr>
                <w:rPr>
                  <w:rFonts w:asciiTheme="majorEastAsia" w:eastAsiaTheme="majorEastAsia" w:hAnsiTheme="majorEastAsia"/>
                </w:rPr>
                <m:t>normalized</m:t>
              </m:r>
              <m:r>
                <m:rPr>
                  <m:lit/>
                  <m:nor/>
                </m:rPr>
                <w:rPr>
                  <w:rFonts w:asciiTheme="majorEastAsia" w:eastAsiaTheme="majorEastAsia" w:hAnsiTheme="majorEastAsia"/>
                </w:rPr>
                <m:t>_</m:t>
              </m:r>
              <m:r>
                <m:rPr>
                  <m:nor/>
                </m:rPr>
                <w:rPr>
                  <w:rFonts w:asciiTheme="majorEastAsia" w:eastAsiaTheme="majorEastAsia" w:hAnsiTheme="majorEastAsia"/>
                </w:rPr>
                <m:t>damage</m:t>
              </m:r>
            </m:e>
            <m:sub>
              <m:r>
                <w:rPr>
                  <w:rFonts w:ascii="Cambria Math" w:eastAsiaTheme="majorEastAsia" w:hAnsi="Cambria Math"/>
                </w:rPr>
                <m:t>t</m:t>
              </m:r>
            </m:sub>
          </m:sSub>
        </m:oMath>
      </m:oMathPara>
    </w:p>
    <w:p w14:paraId="0E616502" w14:textId="09562F0C" w:rsidR="00C85671" w:rsidRPr="004643F8" w:rsidRDefault="00C85671" w:rsidP="00C85671">
      <w:pPr>
        <w:rPr>
          <w:rFonts w:asciiTheme="majorEastAsia" w:eastAsiaTheme="majorEastAsia" w:hAnsiTheme="majorEastAsia"/>
        </w:rPr>
      </w:pPr>
      <w:r w:rsidRPr="004643F8">
        <w:rPr>
          <w:rFonts w:asciiTheme="majorEastAsia" w:eastAsiaTheme="majorEastAsia" w:hAnsiTheme="majorEastAsia"/>
        </w:rPr>
        <w:t>其中 </w:t>
      </w:r>
      <m:oMath>
        <m:sSub>
          <m:sSubPr>
            <m:ctrlPr>
              <w:rPr>
                <w:rFonts w:ascii="Cambria Math" w:eastAsiaTheme="majorEastAsia" w:hAnsi="Cambria Math"/>
              </w:rPr>
            </m:ctrlPr>
          </m:sSubPr>
          <m:e>
            <m:r>
              <m:rPr>
                <m:nor/>
              </m:rPr>
              <w:rPr>
                <w:rFonts w:asciiTheme="majorEastAsia" w:eastAsiaTheme="majorEastAsia" w:hAnsiTheme="majorEastAsia"/>
              </w:rPr>
              <m:t>normalized</m:t>
            </m:r>
            <m:r>
              <m:rPr>
                <m:lit/>
                <m:nor/>
              </m:rPr>
              <w:rPr>
                <w:rFonts w:asciiTheme="majorEastAsia" w:eastAsiaTheme="majorEastAsia" w:hAnsiTheme="majorEastAsia"/>
              </w:rPr>
              <m:t>_</m:t>
            </m:r>
            <m:r>
              <m:rPr>
                <m:nor/>
              </m:rPr>
              <w:rPr>
                <w:rFonts w:asciiTheme="majorEastAsia" w:eastAsiaTheme="majorEastAsia" w:hAnsiTheme="majorEastAsia"/>
              </w:rPr>
              <m:t>damage</m:t>
            </m:r>
          </m:e>
          <m:sub>
            <m:r>
              <w:rPr>
                <w:rFonts w:ascii="Cambria Math" w:eastAsiaTheme="majorEastAsia" w:hAnsi="Cambria Math"/>
              </w:rPr>
              <m:t>t</m:t>
            </m:r>
          </m:sub>
        </m:sSub>
      </m:oMath>
      <w:r w:rsidRPr="004643F8">
        <w:rPr>
          <w:rFonts w:asciiTheme="majorEastAsia" w:eastAsiaTheme="majorEastAsia" w:hAnsiTheme="majorEastAsia"/>
        </w:rPr>
        <w:t> 表示将原始退化量按该组件全生命周期的幅值范围映射至 </w:t>
      </w:r>
      <m:oMath>
        <m:d>
          <m:dPr>
            <m:begChr m:val="["/>
            <m:sepChr m:val=","/>
            <m:endChr m:val="]"/>
            <m:ctrlPr>
              <w:rPr>
                <w:rFonts w:ascii="Cambria Math" w:eastAsiaTheme="majorEastAsia" w:hAnsi="Cambria Math"/>
              </w:rPr>
            </m:ctrlPr>
          </m:dPr>
          <m:e>
            <m:r>
              <w:rPr>
                <w:rFonts w:ascii="Cambria Math" w:eastAsiaTheme="majorEastAsia" w:hAnsi="Cambria Math"/>
              </w:rPr>
              <m:t>0</m:t>
            </m:r>
          </m:e>
          <m:e>
            <m:r>
              <w:rPr>
                <w:rFonts w:ascii="Cambria Math" w:eastAsiaTheme="majorEastAsia" w:hAnsi="Cambria Math"/>
              </w:rPr>
              <m:t>1</m:t>
            </m:r>
          </m:e>
        </m:d>
      </m:oMath>
      <w:r w:rsidRPr="004643F8">
        <w:rPr>
          <w:rFonts w:asciiTheme="majorEastAsia" w:eastAsiaTheme="majorEastAsia" w:hAnsiTheme="majorEastAsia"/>
        </w:rPr>
        <w:t> 区间的损伤程度，</w:t>
      </w:r>
      <m:oMath>
        <m:r>
          <w:rPr>
            <w:rFonts w:ascii="Cambria Math" w:eastAsiaTheme="majorEastAsia" w:hAnsi="Cambria Math"/>
          </w:rPr>
          <m:t>0</m:t>
        </m:r>
      </m:oMath>
      <w:r w:rsidRPr="004643F8">
        <w:rPr>
          <w:rFonts w:asciiTheme="majorEastAsia" w:eastAsiaTheme="majorEastAsia" w:hAnsiTheme="majorEastAsia"/>
        </w:rPr>
        <w:t> 代表全新状态，</w:t>
      </w:r>
      <m:oMath>
        <m:r>
          <w:rPr>
            <w:rFonts w:ascii="Cambria Math" w:eastAsiaTheme="majorEastAsia" w:hAnsi="Cambria Math"/>
          </w:rPr>
          <m:t>1</m:t>
        </m:r>
      </m:oMath>
      <w:r w:rsidRPr="004643F8">
        <w:rPr>
          <w:rFonts w:asciiTheme="majorEastAsia" w:eastAsiaTheme="majorEastAsia" w:hAnsiTheme="majorEastAsia"/>
        </w:rPr>
        <w:t> 代表寿命终结。经过此变换，</w:t>
      </w:r>
      <m:oMath>
        <m:sSub>
          <m:sSubPr>
            <m:ctrlPr>
              <w:rPr>
                <w:rFonts w:ascii="Cambria Math" w:eastAsiaTheme="majorEastAsia" w:hAnsi="Cambria Math"/>
              </w:rPr>
            </m:ctrlPr>
          </m:sSubPr>
          <m:e>
            <m:r>
              <w:rPr>
                <w:rFonts w:ascii="Cambria Math" w:eastAsiaTheme="majorEastAsia" w:hAnsi="Cambria Math"/>
              </w:rPr>
              <m:t>h</m:t>
            </m:r>
          </m:e>
          <m:sub>
            <m:r>
              <w:rPr>
                <w:rFonts w:ascii="Cambria Math" w:eastAsiaTheme="majorEastAsia" w:hAnsi="Cambria Math"/>
              </w:rPr>
              <m:t>t</m:t>
            </m:r>
          </m:sub>
        </m:sSub>
      </m:oMath>
      <w:r w:rsidRPr="004643F8">
        <w:rPr>
          <w:rFonts w:asciiTheme="majorEastAsia" w:eastAsiaTheme="majorEastAsia" w:hAnsiTheme="majorEastAsia"/>
        </w:rPr>
        <w:t> 始终落在 </w:t>
      </w:r>
      <m:oMath>
        <m:d>
          <m:dPr>
            <m:begChr m:val="["/>
            <m:sepChr m:val=","/>
            <m:endChr m:val="]"/>
            <m:ctrlPr>
              <w:rPr>
                <w:rFonts w:ascii="Cambria Math" w:eastAsiaTheme="majorEastAsia" w:hAnsi="Cambria Math"/>
              </w:rPr>
            </m:ctrlPr>
          </m:dPr>
          <m:e>
            <m:r>
              <w:rPr>
                <w:rFonts w:ascii="Cambria Math" w:eastAsiaTheme="majorEastAsia" w:hAnsi="Cambria Math"/>
              </w:rPr>
              <m:t>0</m:t>
            </m:r>
          </m:e>
          <m:e>
            <m:r>
              <w:rPr>
                <w:rFonts w:ascii="Cambria Math" w:eastAsiaTheme="majorEastAsia" w:hAnsi="Cambria Math"/>
              </w:rPr>
              <m:t>1</m:t>
            </m:r>
          </m:e>
        </m:d>
      </m:oMath>
      <w:r w:rsidRPr="004643F8">
        <w:rPr>
          <w:rFonts w:asciiTheme="majorEastAsia" w:eastAsiaTheme="majorEastAsia" w:hAnsiTheme="majorEastAsia"/>
        </w:rPr>
        <w:t> 区间内，且具有统一的语义方向——数值越大表示健康状态越优，数值趋近 </w:t>
      </w:r>
      <m:oMath>
        <m:r>
          <w:rPr>
            <w:rFonts w:ascii="Cambria Math" w:eastAsiaTheme="majorEastAsia" w:hAnsi="Cambria Math"/>
          </w:rPr>
          <m:t>0</m:t>
        </m:r>
      </m:oMath>
      <w:r w:rsidRPr="004643F8">
        <w:rPr>
          <w:rFonts w:asciiTheme="majorEastAsia" w:eastAsiaTheme="majorEastAsia" w:hAnsiTheme="majorEastAsia"/>
        </w:rPr>
        <w:t> 时表明组件已接近失效。这一变换的关键作用在于：尽管喷嘴、电池和反作用轮的</w:t>
      </w:r>
      <w:r w:rsidRPr="004643F8">
        <w:rPr>
          <w:rFonts w:asciiTheme="majorEastAsia" w:eastAsiaTheme="majorEastAsia" w:hAnsiTheme="majorEastAsia"/>
        </w:rPr>
        <w:lastRenderedPageBreak/>
        <w:t>物理退化机理各异，但在 health 空间中它们共享“从健康向故障单调衰减”的共同模式，从而为跨域迁移学习提供了对齐基础。</w:t>
      </w:r>
    </w:p>
    <w:p w14:paraId="496CAFB4" w14:textId="0A1F85C4" w:rsidR="00C85671" w:rsidRPr="004643F8" w:rsidRDefault="00C85671" w:rsidP="00C85671">
      <w:pPr>
        <w:rPr>
          <w:rFonts w:asciiTheme="majorEastAsia" w:eastAsiaTheme="majorEastAsia" w:hAnsiTheme="majorEastAsia"/>
        </w:rPr>
      </w:pPr>
      <w:r w:rsidRPr="004643F8">
        <w:rPr>
          <w:rFonts w:asciiTheme="majorEastAsia" w:eastAsiaTheme="majorEastAsia" w:hAnsiTheme="majorEastAsia"/>
        </w:rPr>
        <w:t>基于 health 信号，剩余寿命标签 </w:t>
      </w:r>
      <m:oMath>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oMath>
      <w:r w:rsidRPr="004643F8">
        <w:rPr>
          <w:rFonts w:asciiTheme="majorEastAsia" w:eastAsiaTheme="majorEastAsia" w:hAnsiTheme="majorEastAsia"/>
        </w:rPr>
        <w:t> 定义为：</w:t>
      </w:r>
    </w:p>
    <w:p w14:paraId="699D6C26" w14:textId="3DBBEB55" w:rsidR="00C85671" w:rsidRPr="004643F8" w:rsidRDefault="00C85671" w:rsidP="00C85671">
      <w:pPr>
        <w:rPr>
          <w:rFonts w:asciiTheme="majorEastAsia" w:eastAsiaTheme="majorEastAsia" w:hAnsiTheme="majorEastAsia"/>
        </w:rPr>
      </w:pPr>
      <m:oMathPara>
        <m:oMath>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r>
            <w:rPr>
              <w:rFonts w:ascii="Cambria Math" w:eastAsiaTheme="majorEastAsia" w:hAnsi="Cambria Math"/>
            </w:rPr>
            <m:t>-t</m:t>
          </m:r>
        </m:oMath>
      </m:oMathPara>
    </w:p>
    <w:p w14:paraId="574ACCE3" w14:textId="22659459" w:rsidR="00C85671" w:rsidRPr="004643F8" w:rsidRDefault="00C85671" w:rsidP="00C85671">
      <w:pPr>
        <w:rPr>
          <w:rFonts w:asciiTheme="majorEastAsia" w:eastAsiaTheme="majorEastAsia" w:hAnsiTheme="majorEastAsia"/>
        </w:rPr>
      </w:pPr>
      <w:r w:rsidRPr="004643F8">
        <w:rPr>
          <w:rFonts w:asciiTheme="majorEastAsia" w:eastAsiaTheme="majorEastAsia" w:hAnsiTheme="majorEastAsia"/>
        </w:rPr>
        <w:t>其中 </w:t>
      </w:r>
      <m:oMath>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oMath>
      <w:r w:rsidRPr="004643F8">
        <w:rPr>
          <w:rFonts w:asciiTheme="majorEastAsia" w:eastAsiaTheme="majorEastAsia" w:hAnsiTheme="majorEastAsia"/>
        </w:rPr>
        <w:t> 为该组件在全生命周期轨迹上达到寿命终点（即 </w:t>
      </w:r>
      <m:oMath>
        <m:sSub>
          <m:sSubPr>
            <m:ctrlPr>
              <w:rPr>
                <w:rFonts w:ascii="Cambria Math" w:eastAsiaTheme="majorEastAsia" w:hAnsi="Cambria Math"/>
              </w:rPr>
            </m:ctrlPr>
          </m:sSubPr>
          <m:e>
            <m:r>
              <w:rPr>
                <w:rFonts w:ascii="Cambria Math" w:eastAsiaTheme="majorEastAsia" w:hAnsi="Cambria Math"/>
              </w:rPr>
              <m:t>h</m:t>
            </m:r>
          </m:e>
          <m:sub>
            <m:r>
              <w:rPr>
                <w:rFonts w:ascii="Cambria Math" w:eastAsiaTheme="majorEastAsia" w:hAnsi="Cambria Math"/>
              </w:rPr>
              <m:t>t</m:t>
            </m:r>
          </m:sub>
        </m:sSub>
      </m:oMath>
      <w:r w:rsidRPr="004643F8">
        <w:rPr>
          <w:rFonts w:asciiTheme="majorEastAsia" w:eastAsiaTheme="majorEastAsia" w:hAnsiTheme="majorEastAsia"/>
        </w:rPr>
        <w:t> 首次触及 </w:t>
      </w:r>
      <m:oMath>
        <m:r>
          <w:rPr>
            <w:rFonts w:ascii="Cambria Math" w:eastAsiaTheme="majorEastAsia" w:hAnsi="Cambria Math"/>
          </w:rPr>
          <m:t>0</m:t>
        </m:r>
      </m:oMath>
      <w:r w:rsidRPr="004643F8">
        <w:rPr>
          <w:rFonts w:asciiTheme="majorEastAsia" w:eastAsiaTheme="majorEastAsia" w:hAnsiTheme="majorEastAsia"/>
        </w:rPr>
        <w:t> 或预设失效阈值）的时刻。</w:t>
      </w:r>
      <m:oMath>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oMath>
      <w:r w:rsidRPr="004643F8">
        <w:rPr>
          <w:rFonts w:asciiTheme="majorEastAsia" w:eastAsiaTheme="majorEastAsia" w:hAnsiTheme="majorEastAsia"/>
        </w:rPr>
        <w:t> 的单位可以是物理时间（秒、循环次数）或离散观测步数，具体取决于目标域的采样约定。值得注意的是，</w:t>
      </w:r>
      <m:oMath>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oMath>
      <w:r w:rsidRPr="004643F8">
        <w:rPr>
          <w:rFonts w:asciiTheme="majorEastAsia" w:eastAsiaTheme="majorEastAsia" w:hAnsiTheme="majorEastAsia"/>
        </w:rPr>
        <w:t> 并非模型直接预测的原始数值，而是经目标域标签尺度归一化后参与损失计算，以消除不同组件服役时长量级差异对训练稳定性的影响。</w:t>
      </w:r>
    </w:p>
    <w:p w14:paraId="6BA30D8F" w14:textId="53504E49" w:rsidR="00C85671" w:rsidRPr="004643F8" w:rsidRDefault="00C85671" w:rsidP="00C85671">
      <w:pPr>
        <w:rPr>
          <w:rFonts w:asciiTheme="majorEastAsia" w:eastAsiaTheme="majorEastAsia" w:hAnsiTheme="majorEastAsia"/>
        </w:rPr>
      </w:pPr>
      <w:r w:rsidRPr="004643F8">
        <w:rPr>
          <w:rFonts w:asciiTheme="majorEastAsia" w:eastAsiaTheme="majorEastAsia" w:hAnsiTheme="majorEastAsia"/>
        </w:rPr>
        <w:t>模型采用滑动窗口方式进行序列化预测。设窗口长度为 </w:t>
      </w:r>
      <m:oMath>
        <m:r>
          <w:rPr>
            <w:rFonts w:ascii="Cambria Math" w:eastAsiaTheme="majorEastAsia" w:hAnsi="Cambria Math"/>
          </w:rPr>
          <m:t>L</m:t>
        </m:r>
      </m:oMath>
      <w:r w:rsidRPr="004643F8">
        <w:rPr>
          <w:rFonts w:asciiTheme="majorEastAsia" w:eastAsiaTheme="majorEastAsia" w:hAnsiTheme="majorEastAsia"/>
        </w:rPr>
        <w:t>，则在时刻 </w:t>
      </w:r>
      <m:oMath>
        <m:r>
          <w:rPr>
            <w:rFonts w:ascii="Cambria Math" w:eastAsiaTheme="majorEastAsia" w:hAnsi="Cambria Math"/>
          </w:rPr>
          <m:t>t</m:t>
        </m:r>
      </m:oMath>
      <w:r w:rsidRPr="004643F8">
        <w:rPr>
          <w:rFonts w:asciiTheme="majorEastAsia" w:eastAsiaTheme="majorEastAsia" w:hAnsiTheme="majorEastAsia"/>
        </w:rPr>
        <w:t> 的输入为最近 </w:t>
      </w:r>
      <m:oMath>
        <m:r>
          <w:rPr>
            <w:rFonts w:ascii="Cambria Math" w:eastAsiaTheme="majorEastAsia" w:hAnsi="Cambria Math"/>
          </w:rPr>
          <m:t>L</m:t>
        </m:r>
      </m:oMath>
      <w:r w:rsidRPr="004643F8">
        <w:rPr>
          <w:rFonts w:asciiTheme="majorEastAsia" w:eastAsiaTheme="majorEastAsia" w:hAnsiTheme="majorEastAsia"/>
        </w:rPr>
        <w:t> 个时刻的历史观测窗口 </w:t>
      </w:r>
      <m:oMath>
        <m:sSub>
          <m:sSubPr>
            <m:ctrlPr>
              <w:rPr>
                <w:rFonts w:ascii="Cambria Math" w:eastAsiaTheme="majorEastAsia" w:hAnsi="Cambria Math"/>
              </w:rPr>
            </m:ctrlPr>
          </m:sSubPr>
          <m:e>
            <m:r>
              <w:rPr>
                <w:rFonts w:ascii="Cambria Math" w:eastAsiaTheme="majorEastAsia" w:hAnsi="Cambria Math"/>
              </w:rPr>
              <m:t>x</m:t>
            </m:r>
          </m:e>
          <m:sub>
            <m:d>
              <m:dPr>
                <m:ctrlPr>
                  <w:rPr>
                    <w:rFonts w:ascii="Cambria Math" w:eastAsiaTheme="majorEastAsia" w:hAnsi="Cambria Math"/>
                  </w:rPr>
                </m:ctrlPr>
              </m:dPr>
              <m:e>
                <m:r>
                  <w:rPr>
                    <w:rFonts w:ascii="Cambria Math" w:eastAsiaTheme="majorEastAsia" w:hAnsi="Cambria Math"/>
                  </w:rPr>
                  <m:t>t-L+1:t</m:t>
                </m:r>
              </m:e>
            </m:d>
          </m:sub>
        </m:sSub>
      </m:oMath>
      <w:r w:rsidRPr="004643F8">
        <w:rPr>
          <w:rFonts w:asciiTheme="majorEastAsia" w:eastAsiaTheme="majorEastAsia" w:hAnsiTheme="majorEastAsia"/>
        </w:rPr>
        <w:t>，模型 </w:t>
      </w:r>
      <m:oMath>
        <m:sSub>
          <m:sSubPr>
            <m:ctrlPr>
              <w:rPr>
                <w:rFonts w:ascii="Cambria Math" w:eastAsiaTheme="majorEastAsia" w:hAnsi="Cambria Math"/>
              </w:rPr>
            </m:ctrlPr>
          </m:sSubPr>
          <m:e>
            <m:r>
              <w:rPr>
                <w:rFonts w:ascii="Cambria Math" w:eastAsiaTheme="majorEastAsia" w:hAnsi="Cambria Math"/>
              </w:rPr>
              <m:t>f</m:t>
            </m:r>
          </m:e>
          <m:sub>
            <m:r>
              <w:rPr>
                <w:rFonts w:ascii="Cambria Math" w:eastAsiaTheme="majorEastAsia" w:hAnsi="Cambria Math"/>
              </w:rPr>
              <m:t>θ</m:t>
            </m:r>
          </m:sub>
        </m:sSub>
      </m:oMath>
      <w:r w:rsidRPr="004643F8">
        <w:rPr>
          <w:rFonts w:asciiTheme="majorEastAsia" w:eastAsiaTheme="majorEastAsia" w:hAnsiTheme="majorEastAsia"/>
        </w:rPr>
        <w:t> 输出该时刻的剩余寿命估计值：</w:t>
      </w:r>
    </w:p>
    <w:p w14:paraId="694C12C5" w14:textId="4A19C4CB" w:rsidR="00C85671" w:rsidRPr="004643F8" w:rsidRDefault="00C85671" w:rsidP="00C85671">
      <w:pPr>
        <w:rPr>
          <w:rFonts w:asciiTheme="majorEastAsia" w:eastAsiaTheme="majorEastAsia" w:hAnsiTheme="majorEastAsia"/>
        </w:rPr>
      </w:pPr>
      <m:oMathPara>
        <m:oMath>
          <m:sSub>
            <m:sSubPr>
              <m:ctrlPr>
                <w:rPr>
                  <w:rFonts w:ascii="Cambria Math" w:eastAsiaTheme="majorEastAsia" w:hAnsi="Cambria Math"/>
                </w:rPr>
              </m:ctrlPr>
            </m:sSubPr>
            <m:e>
              <m:acc>
                <m:accPr>
                  <m:ctrlPr>
                    <w:rPr>
                      <w:rFonts w:ascii="Cambria Math" w:eastAsiaTheme="majorEastAsia" w:hAnsi="Cambria Math"/>
                    </w:rPr>
                  </m:ctrlPr>
                </m:accPr>
                <m:e>
                  <m:r>
                    <w:rPr>
                      <w:rFonts w:ascii="Cambria Math" w:eastAsiaTheme="majorEastAsia" w:hAnsi="Cambria Math"/>
                    </w:rPr>
                    <m:t>r</m:t>
                  </m:r>
                </m:e>
              </m:acc>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f</m:t>
              </m:r>
            </m:e>
            <m:sub>
              <m:r>
                <w:rPr>
                  <w:rFonts w:ascii="Cambria Math" w:eastAsiaTheme="majorEastAsia" w:hAnsi="Cambria Math"/>
                </w:rPr>
                <m:t>θ</m:t>
              </m:r>
            </m:sub>
          </m:sSub>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x</m:t>
                  </m:r>
                </m:e>
                <m:sub>
                  <m:d>
                    <m:dPr>
                      <m:ctrlPr>
                        <w:rPr>
                          <w:rFonts w:ascii="Cambria Math" w:eastAsiaTheme="majorEastAsia" w:hAnsi="Cambria Math"/>
                        </w:rPr>
                      </m:ctrlPr>
                    </m:dPr>
                    <m:e>
                      <m:r>
                        <w:rPr>
                          <w:rFonts w:ascii="Cambria Math" w:eastAsiaTheme="majorEastAsia" w:hAnsi="Cambria Math"/>
                        </w:rPr>
                        <m:t>t-L+1:t</m:t>
                      </m:r>
                    </m:e>
                  </m:d>
                </m:sub>
              </m:sSub>
            </m:e>
          </m:d>
        </m:oMath>
      </m:oMathPara>
    </w:p>
    <w:p w14:paraId="2678F818" w14:textId="7AFBB410" w:rsidR="00C85671" w:rsidRPr="004643F8" w:rsidRDefault="00C85671" w:rsidP="00C85671">
      <w:pPr>
        <w:rPr>
          <w:rFonts w:asciiTheme="majorEastAsia" w:eastAsiaTheme="majorEastAsia" w:hAnsiTheme="majorEastAsia"/>
        </w:rPr>
      </w:pPr>
      <m:oMath>
        <m:sSub>
          <m:sSubPr>
            <m:ctrlPr>
              <w:rPr>
                <w:rFonts w:ascii="Cambria Math" w:eastAsiaTheme="majorEastAsia" w:hAnsi="Cambria Math"/>
              </w:rPr>
            </m:ctrlPr>
          </m:sSubPr>
          <m:e>
            <m:r>
              <w:rPr>
                <w:rFonts w:ascii="Cambria Math" w:eastAsiaTheme="majorEastAsia" w:hAnsi="Cambria Math"/>
              </w:rPr>
              <m:t>f</m:t>
            </m:r>
          </m:e>
          <m:sub>
            <m:r>
              <w:rPr>
                <w:rFonts w:ascii="Cambria Math" w:eastAsiaTheme="majorEastAsia" w:hAnsi="Cambria Math"/>
              </w:rPr>
              <m:t>θ</m:t>
            </m:r>
          </m:sub>
        </m:sSub>
      </m:oMath>
      <w:r w:rsidRPr="004643F8">
        <w:rPr>
          <w:rFonts w:asciiTheme="majorEastAsia" w:eastAsiaTheme="majorEastAsia" w:hAnsiTheme="majorEastAsia"/>
        </w:rPr>
        <w:t> 采用编码器-预测头架构：编码器负责从原始多通道传感器数据中提取随时间演化的退化特征表征；预测头则将编码后的隐状态映射为标量 RUL 估计。在源域预训练阶段，编码器学习通用的退化动力学表征；在目标域适配阶段，仅调整输入投影层与预测头，编码器进行全量微调，从而在保留通用退化知识的同时适应目标域特有的信号分布。</w:t>
      </w:r>
    </w:p>
    <w:p w14:paraId="09D2731C" w14:textId="77777777" w:rsidR="00C85671" w:rsidRPr="004643F8" w:rsidRDefault="00C85671" w:rsidP="00C85671">
      <w:pPr>
        <w:rPr>
          <w:rFonts w:asciiTheme="majorEastAsia" w:eastAsiaTheme="majorEastAsia" w:hAnsiTheme="majorEastAsia"/>
        </w:rPr>
      </w:pPr>
      <w:r w:rsidRPr="004643F8">
        <w:rPr>
          <w:rFonts w:asciiTheme="majorEastAsia" w:eastAsiaTheme="majorEastAsia" w:hAnsiTheme="majorEastAsia"/>
        </w:rPr>
        <w:t>在数据流的组织上，所有预处理步骤严格遵循“训练侧可见”原则。输入的归一化均值和标准差、标签的缩放因子、窗口切分策略、趋势先验约束以及早停判据，均在每一折训练集内部独立计算并固化，再应用于对应的验证集与测试集。测试集在整个模型开发周期中保持完全隔离，仅在最终评估阶段使用一次。这一约束的工程动机在于模拟航天在轨场景的真实部署条件——在卫星发射前，地面仅拥有有限的历史试验数据，任何“未来信息”的提前泄露都会导致对泛化性能的过度乐观估计。</w:t>
      </w:r>
    </w:p>
    <w:p w14:paraId="59811561" w14:textId="77777777" w:rsidR="007213A2" w:rsidRPr="004643F8" w:rsidRDefault="007213A2" w:rsidP="007213A2">
      <w:pPr>
        <w:rPr>
          <w:rFonts w:asciiTheme="majorEastAsia" w:eastAsiaTheme="majorEastAsia" w:hAnsiTheme="majorEastAsia"/>
        </w:rPr>
      </w:pPr>
      <w:r w:rsidRPr="004643F8">
        <w:rPr>
          <w:rFonts w:asciiTheme="majorEastAsia" w:eastAsiaTheme="majorEastAsia" w:hAnsiTheme="majorEastAsia"/>
        </w:rPr>
        <w:t>综上，统一寿命预测问题的核心设计可总结为下表：</w:t>
      </w:r>
    </w:p>
    <w:p w14:paraId="252D2F0D" w14:textId="61243E37" w:rsidR="00A373F9" w:rsidRPr="004643F8" w:rsidRDefault="00A373F9" w:rsidP="007213A2">
      <w:pPr>
        <w:rPr>
          <w:rFonts w:asciiTheme="majorEastAsia" w:eastAsiaTheme="majorEastAsia" w:hAnsiTheme="majorEastAsia" w:hint="eastAsia"/>
        </w:rPr>
      </w:pPr>
      <w:r w:rsidRPr="004643F8">
        <w:rPr>
          <w:rFonts w:asciiTheme="majorEastAsia" w:eastAsiaTheme="majorEastAsia" w:hAnsiTheme="majorEastAsia" w:hint="eastAsia"/>
        </w:rPr>
        <w:t xml:space="preserve">表2 </w:t>
      </w:r>
      <w:r w:rsidR="00D229E7" w:rsidRPr="004643F8">
        <w:rPr>
          <w:rFonts w:asciiTheme="majorEastAsia" w:eastAsiaTheme="majorEastAsia" w:hAnsiTheme="majorEastAsia"/>
        </w:rPr>
        <w:t>统一寿命预测核心变量定义与关联关系表</w:t>
      </w:r>
    </w:p>
    <w:tbl>
      <w:tblPr>
        <w:tblStyle w:val="af2"/>
        <w:tblW w:w="8217" w:type="dxa"/>
        <w:jc w:val="center"/>
        <w:tblLayout w:type="fixed"/>
        <w:tblLook w:val="04A0" w:firstRow="1" w:lastRow="0" w:firstColumn="1" w:lastColumn="0" w:noHBand="0" w:noVBand="1"/>
      </w:tblPr>
      <w:tblGrid>
        <w:gridCol w:w="2263"/>
        <w:gridCol w:w="3828"/>
        <w:gridCol w:w="2126"/>
      </w:tblGrid>
      <w:tr w:rsidR="00340041" w:rsidRPr="004643F8" w14:paraId="42892D27" w14:textId="77777777" w:rsidTr="00B20E3D">
        <w:trPr>
          <w:trHeight w:val="360"/>
          <w:jc w:val="center"/>
        </w:trPr>
        <w:tc>
          <w:tcPr>
            <w:tcW w:w="2263" w:type="dxa"/>
            <w:hideMark/>
          </w:tcPr>
          <w:p w14:paraId="08189FD2" w14:textId="6026B4AD" w:rsidR="00340041" w:rsidRPr="004643F8" w:rsidRDefault="00340041" w:rsidP="00DE66FF">
            <w:pPr>
              <w:jc w:val="center"/>
              <w:rPr>
                <w:rFonts w:asciiTheme="majorEastAsia" w:eastAsiaTheme="majorEastAsia" w:hAnsiTheme="majorEastAsia" w:hint="eastAsia"/>
              </w:rPr>
            </w:pPr>
            <w:r w:rsidRPr="004643F8">
              <w:rPr>
                <w:rFonts w:asciiTheme="majorEastAsia" w:eastAsiaTheme="majorEastAsia" w:hAnsiTheme="majorEastAsia"/>
              </w:rPr>
              <w:t>变量</w:t>
            </w:r>
            <w:r w:rsidRPr="004643F8">
              <w:rPr>
                <w:rFonts w:asciiTheme="majorEastAsia" w:eastAsiaTheme="majorEastAsia" w:hAnsiTheme="majorEastAsia" w:hint="eastAsia"/>
              </w:rPr>
              <w:t>名称</w:t>
            </w:r>
          </w:p>
        </w:tc>
        <w:tc>
          <w:tcPr>
            <w:tcW w:w="3828" w:type="dxa"/>
            <w:hideMark/>
          </w:tcPr>
          <w:p w14:paraId="0F488B61" w14:textId="3559DFFE" w:rsidR="00340041" w:rsidRPr="004643F8" w:rsidRDefault="00340041" w:rsidP="00DE66FF">
            <w:pPr>
              <w:jc w:val="center"/>
              <w:rPr>
                <w:rFonts w:asciiTheme="majorEastAsia" w:eastAsiaTheme="majorEastAsia" w:hAnsiTheme="majorEastAsia"/>
              </w:rPr>
            </w:pPr>
            <w:r w:rsidRPr="004643F8">
              <w:rPr>
                <w:rFonts w:asciiTheme="majorEastAsia" w:eastAsiaTheme="majorEastAsia" w:hAnsiTheme="majorEastAsia"/>
              </w:rPr>
              <w:t>定义与说明</w:t>
            </w:r>
          </w:p>
        </w:tc>
        <w:tc>
          <w:tcPr>
            <w:tcW w:w="2126" w:type="dxa"/>
            <w:hideMark/>
          </w:tcPr>
          <w:p w14:paraId="6D17BBB6" w14:textId="06CB78BB" w:rsidR="00340041" w:rsidRPr="004643F8" w:rsidRDefault="00D36D69" w:rsidP="00DE66FF">
            <w:pPr>
              <w:jc w:val="center"/>
              <w:rPr>
                <w:rFonts w:asciiTheme="majorEastAsia" w:eastAsiaTheme="majorEastAsia" w:hAnsiTheme="majorEastAsia"/>
              </w:rPr>
            </w:pPr>
            <w:r w:rsidRPr="004643F8">
              <w:rPr>
                <w:rFonts w:asciiTheme="majorEastAsia" w:eastAsiaTheme="majorEastAsia" w:hAnsiTheme="majorEastAsia"/>
              </w:rPr>
              <w:t>变量间关联与约束</w:t>
            </w:r>
          </w:p>
        </w:tc>
      </w:tr>
      <w:tr w:rsidR="00340041" w:rsidRPr="004643F8" w14:paraId="5B1C923B" w14:textId="77777777" w:rsidTr="00B20E3D">
        <w:trPr>
          <w:trHeight w:val="875"/>
          <w:jc w:val="center"/>
        </w:trPr>
        <w:tc>
          <w:tcPr>
            <w:tcW w:w="2263" w:type="dxa"/>
            <w:hideMark/>
          </w:tcPr>
          <w:p w14:paraId="23960AB6" w14:textId="46969D2B" w:rsidR="00340041" w:rsidRPr="004643F8" w:rsidRDefault="00340041" w:rsidP="00DE66FF">
            <w:pPr>
              <w:jc w:val="center"/>
              <w:rPr>
                <w:rFonts w:asciiTheme="majorEastAsia" w:eastAsiaTheme="majorEastAsia" w:hAnsiTheme="majorEastAsia"/>
              </w:rPr>
            </w:pPr>
            <m:oMathPara>
              <m:oMath>
                <m:sSub>
                  <m:sSubPr>
                    <m:ctrlPr>
                      <w:rPr>
                        <w:rFonts w:ascii="Cambria Math" w:eastAsiaTheme="majorEastAsia" w:hAnsi="Cambria Math"/>
                        <w:i/>
                        <w:iCs/>
                      </w:rPr>
                    </m:ctrlPr>
                  </m:sSubPr>
                  <m:e>
                    <m:r>
                      <w:rPr>
                        <w:rFonts w:ascii="Cambria Math" w:eastAsiaTheme="majorEastAsia" w:hAnsi="Cambria Math"/>
                      </w:rPr>
                      <m:t>X</m:t>
                    </m:r>
                  </m:e>
                  <m:sub>
                    <m:r>
                      <w:rPr>
                        <w:rFonts w:ascii="Cambria Math" w:eastAsiaTheme="majorEastAsia" w:hAnsi="Cambria Math"/>
                      </w:rPr>
                      <m:t>t</m:t>
                    </m:r>
                  </m:sub>
                </m:sSub>
              </m:oMath>
            </m:oMathPara>
          </w:p>
        </w:tc>
        <w:tc>
          <w:tcPr>
            <w:tcW w:w="3828" w:type="dxa"/>
            <w:hideMark/>
          </w:tcPr>
          <w:p w14:paraId="5E29C1D4" w14:textId="0828006A" w:rsidR="00340041" w:rsidRPr="004643F8" w:rsidRDefault="00340041" w:rsidP="00DE66FF">
            <w:pPr>
              <w:jc w:val="center"/>
              <w:rPr>
                <w:rFonts w:asciiTheme="majorEastAsia" w:eastAsiaTheme="majorEastAsia" w:hAnsiTheme="majorEastAsia"/>
              </w:rPr>
            </w:pPr>
            <w:r w:rsidRPr="004643F8">
              <w:rPr>
                <w:rFonts w:asciiTheme="majorEastAsia" w:eastAsiaTheme="majorEastAsia" w:hAnsiTheme="majorEastAsia"/>
              </w:rPr>
              <w:t>时刻 </w:t>
            </w:r>
            <m:oMath>
              <m:r>
                <w:rPr>
                  <w:rFonts w:ascii="Cambria Math" w:eastAsiaTheme="majorEastAsia" w:hAnsi="Cambria Math"/>
                </w:rPr>
                <m:t>t</m:t>
              </m:r>
            </m:oMath>
            <w:r w:rsidRPr="004643F8">
              <w:rPr>
                <w:rFonts w:asciiTheme="majorEastAsia" w:eastAsiaTheme="majorEastAsia" w:hAnsiTheme="majorEastAsia"/>
              </w:rPr>
              <w:t> 的多通道原始传感器观测（如温度、振动、电压等），模型的基础输入</w:t>
            </w:r>
          </w:p>
        </w:tc>
        <w:tc>
          <w:tcPr>
            <w:tcW w:w="2126" w:type="dxa"/>
            <w:hideMark/>
          </w:tcPr>
          <w:p w14:paraId="02FDBBDC" w14:textId="093285E6" w:rsidR="00340041" w:rsidRPr="004643F8" w:rsidRDefault="00340041" w:rsidP="00DE66FF">
            <w:pPr>
              <w:jc w:val="center"/>
              <w:rPr>
                <w:rFonts w:asciiTheme="majorEastAsia" w:eastAsiaTheme="majorEastAsia" w:hAnsiTheme="majorEastAsia"/>
              </w:rPr>
            </w:pPr>
            <w:r w:rsidRPr="004643F8">
              <w:rPr>
                <w:rFonts w:asciiTheme="majorEastAsia" w:eastAsiaTheme="majorEastAsia" w:hAnsiTheme="majorEastAsia"/>
              </w:rPr>
              <w:t>经归一化后送入编码器；窗口</w:t>
            </w:r>
            <m:oMath>
              <m:r>
                <w:rPr>
                  <w:rFonts w:ascii="Cambria Math" w:eastAsiaTheme="majorEastAsia" w:hAnsi="Cambria Math"/>
                </w:rPr>
                <m:t>L</m:t>
              </m:r>
            </m:oMath>
            <w:r w:rsidRPr="004643F8">
              <w:rPr>
                <w:rFonts w:asciiTheme="majorEastAsia" w:eastAsiaTheme="majorEastAsia" w:hAnsiTheme="majorEastAsia"/>
              </w:rPr>
              <w:t>决定其历史上下文长度</w:t>
            </w:r>
          </w:p>
        </w:tc>
      </w:tr>
      <w:tr w:rsidR="00340041" w:rsidRPr="004643F8" w14:paraId="5C67C1DB" w14:textId="77777777" w:rsidTr="00B20E3D">
        <w:trPr>
          <w:trHeight w:val="1171"/>
          <w:jc w:val="center"/>
        </w:trPr>
        <w:tc>
          <w:tcPr>
            <w:tcW w:w="2263" w:type="dxa"/>
            <w:hideMark/>
          </w:tcPr>
          <w:p w14:paraId="7222BAD3" w14:textId="3D4641E6" w:rsidR="00340041" w:rsidRPr="004643F8" w:rsidRDefault="00340041" w:rsidP="00DE66FF">
            <w:pPr>
              <w:jc w:val="center"/>
              <w:rPr>
                <w:rFonts w:asciiTheme="majorEastAsia" w:eastAsiaTheme="majorEastAsia" w:hAnsiTheme="majorEastAsia" w:hint="eastAsia"/>
              </w:rPr>
            </w:pPr>
            <m:oMathPara>
              <m:oMath>
                <m:sSub>
                  <m:sSubPr>
                    <m:ctrlPr>
                      <w:rPr>
                        <w:rFonts w:ascii="Cambria Math" w:eastAsiaTheme="majorEastAsia" w:hAnsi="Cambria Math"/>
                        <w:i/>
                        <w:iCs/>
                      </w:rPr>
                    </m:ctrlPr>
                  </m:sSubPr>
                  <m:e>
                    <m:r>
                      <m:rPr>
                        <m:sty m:val="p"/>
                      </m:rPr>
                      <w:rPr>
                        <w:rFonts w:ascii="Cambria Math" w:eastAsiaTheme="majorEastAsia" w:hAnsi="Cambria Math"/>
                      </w:rPr>
                      <m:t>normalized</m:t>
                    </m:r>
                    <m:r>
                      <m:rPr>
                        <m:sty m:val="p"/>
                      </m:rPr>
                      <w:rPr>
                        <w:rFonts w:ascii="Cambria Math" w:eastAsiaTheme="majorEastAsia" w:hAnsi="Cambria Math" w:cs="Cambria Math"/>
                      </w:rPr>
                      <m:t>_</m:t>
                    </m:r>
                    <m:r>
                      <m:rPr>
                        <m:sty m:val="p"/>
                      </m:rPr>
                      <w:rPr>
                        <w:rFonts w:ascii="Cambria Math" w:eastAsiaTheme="majorEastAsia" w:hAnsi="Cambria Math"/>
                      </w:rPr>
                      <m:t>damage</m:t>
                    </m:r>
                  </m:e>
                  <m:sub>
                    <m:r>
                      <w:rPr>
                        <w:rFonts w:ascii="Cambria Math" w:eastAsiaTheme="majorEastAsia" w:hAnsi="Cambria Math"/>
                      </w:rPr>
                      <m:t>t</m:t>
                    </m:r>
                  </m:sub>
                </m:sSub>
              </m:oMath>
            </m:oMathPara>
          </w:p>
        </w:tc>
        <w:tc>
          <w:tcPr>
            <w:tcW w:w="3828" w:type="dxa"/>
            <w:hideMark/>
          </w:tcPr>
          <w:p w14:paraId="00858F0F" w14:textId="5605B0D0" w:rsidR="00340041" w:rsidRPr="004643F8" w:rsidRDefault="00340041" w:rsidP="00DE66FF">
            <w:pPr>
              <w:jc w:val="center"/>
              <w:rPr>
                <w:rFonts w:asciiTheme="majorEastAsia" w:eastAsiaTheme="majorEastAsia" w:hAnsiTheme="majorEastAsia"/>
              </w:rPr>
            </w:pPr>
            <w:r w:rsidRPr="004643F8">
              <w:rPr>
                <w:rFonts w:asciiTheme="majorEastAsia" w:eastAsiaTheme="majorEastAsia" w:hAnsiTheme="majorEastAsia"/>
              </w:rPr>
              <w:t>将 </w:t>
            </w:r>
            <m:oMath>
              <m:sSub>
                <m:sSubPr>
                  <m:ctrlPr>
                    <w:rPr>
                      <w:rFonts w:ascii="Cambria Math" w:eastAsiaTheme="majorEastAsia" w:hAnsi="Cambria Math"/>
                    </w:rPr>
                  </m:ctrlPr>
                </m:sSubPr>
                <m:e>
                  <m:r>
                    <w:rPr>
                      <w:rFonts w:ascii="Cambria Math" w:eastAsiaTheme="majorEastAsia" w:hAnsi="Cambria Math"/>
                    </w:rPr>
                    <m:t>x</m:t>
                  </m:r>
                </m:e>
                <m:sub>
                  <m:r>
                    <w:rPr>
                      <w:rFonts w:ascii="Cambria Math" w:eastAsiaTheme="majorEastAsia" w:hAnsi="Cambria Math"/>
                    </w:rPr>
                    <m:t>t</m:t>
                  </m:r>
                </m:sub>
              </m:sSub>
            </m:oMath>
            <w:r w:rsidRPr="004643F8">
              <w:rPr>
                <w:rFonts w:asciiTheme="majorEastAsia" w:eastAsiaTheme="majorEastAsia" w:hAnsiTheme="majorEastAsia"/>
              </w:rPr>
              <w:t> 映射至 </w:t>
            </w:r>
            <m:oMath>
              <m:d>
                <m:dPr>
                  <m:begChr m:val="["/>
                  <m:sepChr m:val=","/>
                  <m:endChr m:val="]"/>
                  <m:ctrlPr>
                    <w:rPr>
                      <w:rFonts w:ascii="Cambria Math" w:eastAsiaTheme="majorEastAsia" w:hAnsi="Cambria Math"/>
                    </w:rPr>
                  </m:ctrlPr>
                </m:dPr>
                <m:e>
                  <m:r>
                    <w:rPr>
                      <w:rFonts w:ascii="Cambria Math" w:eastAsiaTheme="majorEastAsia" w:hAnsi="Cambria Math"/>
                    </w:rPr>
                    <m:t>0</m:t>
                  </m:r>
                </m:e>
                <m:e>
                  <m:r>
                    <w:rPr>
                      <w:rFonts w:ascii="Cambria Math" w:eastAsiaTheme="majorEastAsia" w:hAnsi="Cambria Math"/>
                    </w:rPr>
                    <m:t>1</m:t>
                  </m:r>
                </m:e>
              </m:d>
            </m:oMath>
            <w:r w:rsidRPr="004643F8">
              <w:rPr>
                <w:rFonts w:asciiTheme="majorEastAsia" w:eastAsiaTheme="majorEastAsia" w:hAnsiTheme="majorEastAsia"/>
              </w:rPr>
              <w:t> 的损伤程度，0 为全新，1 为失效，用于消除不同量纲间的尺度差异</w:t>
            </w:r>
          </w:p>
        </w:tc>
        <w:tc>
          <w:tcPr>
            <w:tcW w:w="2126" w:type="dxa"/>
            <w:hideMark/>
          </w:tcPr>
          <w:p w14:paraId="1ECDE8C6" w14:textId="77777777" w:rsidR="00340041" w:rsidRPr="004643F8" w:rsidRDefault="00340041" w:rsidP="00DE66FF">
            <w:pPr>
              <w:jc w:val="center"/>
              <w:rPr>
                <w:rFonts w:asciiTheme="majorEastAsia" w:eastAsiaTheme="majorEastAsia" w:hAnsiTheme="majorEastAsia"/>
              </w:rPr>
            </w:pPr>
            <w:r w:rsidRPr="004643F8">
              <w:rPr>
                <w:rFonts w:asciiTheme="majorEastAsia" w:eastAsiaTheme="majorEastAsia" w:hAnsiTheme="majorEastAsia"/>
              </w:rPr>
              <w:t>直接决定 ht</w:t>
            </w:r>
            <w:r w:rsidRPr="004643F8">
              <w:rPr>
                <w:rFonts w:asciiTheme="majorEastAsia" w:eastAsiaTheme="majorEastAsia" w:hAnsiTheme="majorEastAsia"/>
                <w:i/>
                <w:iCs/>
              </w:rPr>
              <w:t>ht</w:t>
            </w:r>
            <w:r w:rsidRPr="004643F8">
              <w:rPr>
                <w:rFonts w:ascii="Times New Roman" w:eastAsiaTheme="majorEastAsia" w:hAnsi="Times New Roman" w:cs="Times New Roman"/>
              </w:rPr>
              <w:t>​</w:t>
            </w:r>
            <w:r w:rsidRPr="004643F8">
              <w:rPr>
                <w:rFonts w:asciiTheme="majorEastAsia" w:eastAsiaTheme="majorEastAsia" w:hAnsiTheme="majorEastAsia"/>
              </w:rPr>
              <w:t> 的数值；需知晓全寿命幅值范围，仅训练侧可计算</w:t>
            </w:r>
          </w:p>
        </w:tc>
      </w:tr>
      <w:tr w:rsidR="00340041" w:rsidRPr="004643F8" w14:paraId="673D61BF" w14:textId="77777777" w:rsidTr="00B20E3D">
        <w:trPr>
          <w:trHeight w:val="907"/>
          <w:jc w:val="center"/>
        </w:trPr>
        <w:tc>
          <w:tcPr>
            <w:tcW w:w="2263" w:type="dxa"/>
            <w:hideMark/>
          </w:tcPr>
          <w:p w14:paraId="1384D04E" w14:textId="7DF2ACA0" w:rsidR="00340041" w:rsidRPr="004643F8" w:rsidRDefault="00340041" w:rsidP="00DE66FF">
            <w:pPr>
              <w:jc w:val="center"/>
              <w:rPr>
                <w:rFonts w:asciiTheme="majorEastAsia" w:eastAsiaTheme="majorEastAsia" w:hAnsiTheme="majorEastAsia"/>
              </w:rPr>
            </w:pPr>
            <m:oMathPara>
              <m:oMath>
                <m:sSub>
                  <m:sSubPr>
                    <m:ctrlPr>
                      <w:rPr>
                        <w:rFonts w:ascii="Cambria Math" w:eastAsiaTheme="majorEastAsia" w:hAnsi="Cambria Math"/>
                        <w:i/>
                        <w:iCs/>
                      </w:rPr>
                    </m:ctrlPr>
                  </m:sSubPr>
                  <m:e>
                    <m:r>
                      <w:rPr>
                        <w:rFonts w:ascii="Cambria Math" w:eastAsiaTheme="majorEastAsia" w:hAnsi="Cambria Math"/>
                      </w:rPr>
                      <m:t>h</m:t>
                    </m:r>
                  </m:e>
                  <m:sub>
                    <m:r>
                      <w:rPr>
                        <w:rFonts w:ascii="Cambria Math" w:eastAsiaTheme="majorEastAsia" w:hAnsi="Cambria Math"/>
                      </w:rPr>
                      <m:t>t</m:t>
                    </m:r>
                  </m:sub>
                </m:sSub>
              </m:oMath>
            </m:oMathPara>
          </w:p>
        </w:tc>
        <w:tc>
          <w:tcPr>
            <w:tcW w:w="3828" w:type="dxa"/>
            <w:hideMark/>
          </w:tcPr>
          <w:p w14:paraId="3B7D17EE" w14:textId="37373753" w:rsidR="00340041" w:rsidRPr="004643F8" w:rsidRDefault="00340041" w:rsidP="00DE66FF">
            <w:pPr>
              <w:jc w:val="center"/>
              <w:rPr>
                <w:rFonts w:asciiTheme="majorEastAsia" w:eastAsiaTheme="majorEastAsia" w:hAnsiTheme="majorEastAsia"/>
              </w:rPr>
            </w:pPr>
            <m:oMath>
              <m:r>
                <w:rPr>
                  <w:rFonts w:ascii="Cambria Math" w:eastAsiaTheme="majorEastAsia" w:hAnsi="Cambria Math"/>
                </w:rPr>
                <m:t>1-</m:t>
              </m:r>
              <m:sSub>
                <m:sSubPr>
                  <m:ctrlPr>
                    <w:rPr>
                      <w:rFonts w:ascii="Cambria Math" w:eastAsiaTheme="majorEastAsia" w:hAnsi="Cambria Math"/>
                      <w:i/>
                      <w:iCs/>
                    </w:rPr>
                  </m:ctrlPr>
                </m:sSubPr>
                <m:e>
                  <m:r>
                    <m:rPr>
                      <m:sty m:val="p"/>
                    </m:rPr>
                    <w:rPr>
                      <w:rFonts w:ascii="Cambria Math" w:eastAsiaTheme="majorEastAsia" w:hAnsi="Cambria Math"/>
                    </w:rPr>
                    <m:t>normalized</m:t>
                  </m:r>
                  <m:r>
                    <m:rPr>
                      <m:sty m:val="p"/>
                    </m:rPr>
                    <w:rPr>
                      <w:rFonts w:ascii="Cambria Math" w:eastAsiaTheme="majorEastAsia" w:hAnsi="Cambria Math" w:cs="Cambria Math"/>
                    </w:rPr>
                    <m:t>_</m:t>
                  </m:r>
                  <m:r>
                    <m:rPr>
                      <m:sty m:val="p"/>
                    </m:rPr>
                    <w:rPr>
                      <w:rFonts w:ascii="Cambria Math" w:eastAsiaTheme="majorEastAsia" w:hAnsi="Cambria Math"/>
                    </w:rPr>
                    <m:t>damage</m:t>
                  </m:r>
                </m:e>
                <m:sub>
                  <m:r>
                    <w:rPr>
                      <w:rFonts w:ascii="Cambria Math" w:eastAsiaTheme="majorEastAsia" w:hAnsi="Cambria Math"/>
                    </w:rPr>
                    <m:t>t</m:t>
                  </m:r>
                </m:sub>
              </m:sSub>
            </m:oMath>
            <w:r w:rsidRPr="004643F8">
              <w:rPr>
                <w:rFonts w:asciiTheme="majorEastAsia" w:eastAsiaTheme="majorEastAsia" w:hAnsiTheme="majorEastAsia"/>
              </w:rPr>
              <w:t>，统一方向为“越大越健康”，作为跨域迁移的语义对齐锚点</w:t>
            </w:r>
          </w:p>
        </w:tc>
        <w:tc>
          <w:tcPr>
            <w:tcW w:w="2126" w:type="dxa"/>
            <w:hideMark/>
          </w:tcPr>
          <w:p w14:paraId="490BDD80" w14:textId="5A30524E" w:rsidR="00340041" w:rsidRPr="004643F8" w:rsidRDefault="00340041" w:rsidP="00DE66FF">
            <w:pPr>
              <w:jc w:val="center"/>
              <w:rPr>
                <w:rFonts w:asciiTheme="majorEastAsia" w:eastAsiaTheme="majorEastAsia" w:hAnsiTheme="majorEastAsia"/>
              </w:rPr>
            </w:pPr>
            <w:r w:rsidRPr="004643F8">
              <w:rPr>
                <w:rFonts w:asciiTheme="majorEastAsia" w:eastAsiaTheme="majorEastAsia" w:hAnsiTheme="majorEastAsia"/>
              </w:rPr>
              <w:t>用于计算</w:t>
            </w:r>
            <m:oMath>
              <m:sSub>
                <m:sSubPr>
                  <m:ctrlPr>
                    <w:rPr>
                      <w:rFonts w:ascii="Cambria Math" w:eastAsiaTheme="majorEastAsia" w:hAnsi="Cambria Math"/>
                      <w:i/>
                      <w:iCs/>
                    </w:rPr>
                  </m:ctrlPr>
                </m:sSubPr>
                <m:e>
                  <m:r>
                    <w:rPr>
                      <w:rFonts w:ascii="Cambria Math" w:eastAsiaTheme="majorEastAsia" w:hAnsi="Cambria Math"/>
                    </w:rPr>
                    <m:t>r</m:t>
                  </m:r>
                </m:e>
                <m:sub>
                  <m:r>
                    <w:rPr>
                      <w:rFonts w:ascii="Cambria Math" w:eastAsiaTheme="majorEastAsia" w:hAnsi="Cambria Math"/>
                    </w:rPr>
                    <m:t>t</m:t>
                  </m:r>
                </m:sub>
              </m:sSub>
            </m:oMath>
            <w:r w:rsidRPr="004643F8">
              <w:rPr>
                <w:rFonts w:asciiTheme="majorEastAsia" w:eastAsiaTheme="majorEastAsia" w:hAnsiTheme="majorEastAsia"/>
              </w:rPr>
              <w:t>；作为可视化仪表板的健康状态指示核心</w:t>
            </w:r>
          </w:p>
        </w:tc>
      </w:tr>
      <w:tr w:rsidR="00340041" w:rsidRPr="004643F8" w14:paraId="73DA0B91" w14:textId="77777777" w:rsidTr="00B20E3D">
        <w:trPr>
          <w:trHeight w:val="948"/>
          <w:jc w:val="center"/>
        </w:trPr>
        <w:tc>
          <w:tcPr>
            <w:tcW w:w="2263" w:type="dxa"/>
            <w:hideMark/>
          </w:tcPr>
          <w:p w14:paraId="38DBCBF5" w14:textId="20C33A14" w:rsidR="00340041" w:rsidRPr="004643F8" w:rsidRDefault="00340041" w:rsidP="00DE66FF">
            <w:pPr>
              <w:jc w:val="center"/>
              <w:rPr>
                <w:rFonts w:asciiTheme="majorEastAsia" w:eastAsiaTheme="majorEastAsia" w:hAnsiTheme="majorEastAsia"/>
              </w:rPr>
            </w:pPr>
            <m:oMathPara>
              <m:oMath>
                <m:sSub>
                  <m:sSubPr>
                    <m:ctrlPr>
                      <w:rPr>
                        <w:rFonts w:ascii="Cambria Math" w:eastAsiaTheme="majorEastAsia" w:hAnsi="Cambria Math"/>
                        <w:i/>
                        <w:iCs/>
                      </w:rPr>
                    </m:ctrlPr>
                  </m:sSubPr>
                  <m:e>
                    <m:r>
                      <w:rPr>
                        <w:rFonts w:ascii="Cambria Math" w:eastAsiaTheme="majorEastAsia" w:hAnsi="Cambria Math"/>
                      </w:rPr>
                      <m:t>T</m:t>
                    </m:r>
                  </m:e>
                  <m:sub>
                    <m:r>
                      <w:rPr>
                        <w:rFonts w:ascii="Cambria Math" w:eastAsiaTheme="majorEastAsia" w:hAnsi="Cambria Math"/>
                      </w:rPr>
                      <m:t>EOL</m:t>
                    </m:r>
                    <m:r>
                      <w:rPr>
                        <w:rFonts w:ascii="Cambria Math" w:eastAsiaTheme="majorEastAsia" w:hAnsi="Cambria Math"/>
                      </w:rPr>
                      <m:t>​</m:t>
                    </m:r>
                  </m:sub>
                </m:sSub>
              </m:oMath>
            </m:oMathPara>
          </w:p>
        </w:tc>
        <w:tc>
          <w:tcPr>
            <w:tcW w:w="3828" w:type="dxa"/>
            <w:hideMark/>
          </w:tcPr>
          <w:p w14:paraId="3F15F589" w14:textId="7086B82D" w:rsidR="00340041" w:rsidRPr="004643F8" w:rsidRDefault="00B20E3D" w:rsidP="00DE66FF">
            <w:pPr>
              <w:jc w:val="center"/>
              <w:rPr>
                <w:rFonts w:asciiTheme="majorEastAsia" w:eastAsiaTheme="majorEastAsia" w:hAnsiTheme="majorEastAsia"/>
              </w:rPr>
            </w:pPr>
            <w:r w:rsidRPr="004643F8">
              <w:rPr>
                <w:rFonts w:asciiTheme="majorEastAsia" w:eastAsiaTheme="majorEastAsia" w:hAnsiTheme="majorEastAsia"/>
              </w:rPr>
              <w:t>寿命终点时刻，即 </w:t>
            </w:r>
            <m:oMath>
              <m:sSub>
                <m:sSubPr>
                  <m:ctrlPr>
                    <w:rPr>
                      <w:rFonts w:ascii="Cambria Math" w:eastAsiaTheme="majorEastAsia" w:hAnsi="Cambria Math"/>
                    </w:rPr>
                  </m:ctrlPr>
                </m:sSubPr>
                <m:e>
                  <m:r>
                    <w:rPr>
                      <w:rFonts w:ascii="Cambria Math" w:eastAsiaTheme="majorEastAsia" w:hAnsi="Cambria Math"/>
                    </w:rPr>
                    <m:t>h</m:t>
                  </m:r>
                </m:e>
                <m:sub>
                  <m:r>
                    <w:rPr>
                      <w:rFonts w:ascii="Cambria Math" w:eastAsiaTheme="majorEastAsia" w:hAnsi="Cambria Math"/>
                    </w:rPr>
                    <m:t>t</m:t>
                  </m:r>
                </m:sub>
              </m:sSub>
            </m:oMath>
            <w:r w:rsidRPr="004643F8">
              <w:rPr>
                <w:rFonts w:asciiTheme="majorEastAsia" w:eastAsiaTheme="majorEastAsia" w:hAnsiTheme="majorEastAsia"/>
              </w:rPr>
              <w:t> 首次触及 0 或失效阈值的时刻</w:t>
            </w:r>
          </w:p>
        </w:tc>
        <w:tc>
          <w:tcPr>
            <w:tcW w:w="2126" w:type="dxa"/>
            <w:hideMark/>
          </w:tcPr>
          <w:p w14:paraId="4879630F" w14:textId="1748B3B3" w:rsidR="00340041" w:rsidRPr="004643F8" w:rsidRDefault="00340041" w:rsidP="00DE66FF">
            <w:pPr>
              <w:jc w:val="center"/>
              <w:rPr>
                <w:rFonts w:asciiTheme="majorEastAsia" w:eastAsiaTheme="majorEastAsia" w:hAnsiTheme="majorEastAsia"/>
              </w:rPr>
            </w:pPr>
            <w:r w:rsidRPr="004643F8">
              <w:rPr>
                <w:rFonts w:asciiTheme="majorEastAsia" w:eastAsiaTheme="majorEastAsia" w:hAnsiTheme="majorEastAsia"/>
              </w:rPr>
              <w:t>与  </w:t>
            </w:r>
            <m:oMath>
              <m:r>
                <w:rPr>
                  <w:rFonts w:ascii="Cambria Math" w:eastAsiaTheme="majorEastAsia" w:hAnsi="Cambria Math"/>
                </w:rPr>
                <m:t>t</m:t>
              </m:r>
            </m:oMath>
            <w:r w:rsidRPr="004643F8">
              <w:rPr>
                <w:rFonts w:asciiTheme="majorEastAsia" w:eastAsiaTheme="majorEastAsia" w:hAnsiTheme="majorEastAsia"/>
              </w:rPr>
              <w:t> 共同决定 </w:t>
            </w:r>
            <m:oMath>
              <m:sSub>
                <m:sSubPr>
                  <m:ctrlPr>
                    <w:rPr>
                      <w:rFonts w:ascii="Cambria Math" w:eastAsiaTheme="majorEastAsia" w:hAnsi="Cambria Math"/>
                      <w:i/>
                      <w:iCs/>
                    </w:rPr>
                  </m:ctrlPr>
                </m:sSubPr>
                <m:e>
                  <m:r>
                    <w:rPr>
                      <w:rFonts w:ascii="Cambria Math" w:eastAsiaTheme="majorEastAsia" w:hAnsi="Cambria Math"/>
                    </w:rPr>
                    <m:t>r</m:t>
                  </m:r>
                </m:e>
                <m:sub>
                  <m:r>
                    <w:rPr>
                      <w:rFonts w:ascii="Cambria Math" w:eastAsiaTheme="majorEastAsia" w:hAnsi="Cambria Math"/>
                    </w:rPr>
                    <m:t>t</m:t>
                  </m:r>
                </m:sub>
              </m:sSub>
            </m:oMath>
            <w:r w:rsidRPr="004643F8">
              <w:rPr>
                <w:rFonts w:asciiTheme="majorEastAsia" w:eastAsiaTheme="majorEastAsia" w:hAnsiTheme="majorEastAsia"/>
              </w:rPr>
              <w:t>；</w:t>
            </w:r>
            <w:r w:rsidRPr="004643F8">
              <w:rPr>
                <w:rFonts w:asciiTheme="majorEastAsia" w:eastAsiaTheme="majorEastAsia" w:hAnsiTheme="majorEastAsia"/>
                <w:i/>
                <w:iCs/>
              </w:rPr>
              <w:br/>
            </w:r>
            <m:oMath>
              <m:r>
                <w:rPr>
                  <w:rFonts w:ascii="Cambria Math" w:eastAsiaTheme="majorEastAsia" w:hAnsi="Cambria Math"/>
                </w:rPr>
                <m:t>TEOL</m:t>
              </m:r>
              <m:r>
                <w:rPr>
                  <w:rFonts w:ascii="Cambria Math" w:eastAsiaTheme="majorEastAsia" w:hAnsi="Cambria Math"/>
                </w:rPr>
                <m:t>​</m:t>
              </m:r>
            </m:oMath>
            <w:r w:rsidRPr="004643F8">
              <w:rPr>
                <w:rFonts w:asciiTheme="majorEastAsia" w:eastAsiaTheme="majorEastAsia" w:hAnsiTheme="majorEastAsia"/>
              </w:rPr>
              <w:t> 仅在训练集轨迹中确定</w:t>
            </w:r>
          </w:p>
        </w:tc>
      </w:tr>
      <w:tr w:rsidR="00340041" w:rsidRPr="004643F8" w14:paraId="54524D1C" w14:textId="77777777" w:rsidTr="00B20E3D">
        <w:trPr>
          <w:trHeight w:val="875"/>
          <w:jc w:val="center"/>
        </w:trPr>
        <w:tc>
          <w:tcPr>
            <w:tcW w:w="2263" w:type="dxa"/>
            <w:hideMark/>
          </w:tcPr>
          <w:p w14:paraId="0EFAA0B5" w14:textId="2AA7AE15" w:rsidR="00340041" w:rsidRPr="004643F8" w:rsidRDefault="00340041" w:rsidP="00DE66FF">
            <w:pPr>
              <w:jc w:val="center"/>
              <w:rPr>
                <w:rFonts w:asciiTheme="majorEastAsia" w:eastAsiaTheme="majorEastAsia" w:hAnsiTheme="majorEastAsia"/>
              </w:rPr>
            </w:pPr>
            <m:oMathPara>
              <m:oMath>
                <m:sSub>
                  <m:sSubPr>
                    <m:ctrlPr>
                      <w:rPr>
                        <w:rFonts w:ascii="Cambria Math" w:eastAsiaTheme="majorEastAsia" w:hAnsi="Cambria Math"/>
                        <w:i/>
                        <w:iCs/>
                      </w:rPr>
                    </m:ctrlPr>
                  </m:sSubPr>
                  <m:e>
                    <m:r>
                      <w:rPr>
                        <w:rFonts w:ascii="Cambria Math" w:eastAsiaTheme="majorEastAsia" w:hAnsi="Cambria Math"/>
                      </w:rPr>
                      <m:t>r</m:t>
                    </m:r>
                  </m:e>
                  <m:sub>
                    <m:r>
                      <w:rPr>
                        <w:rFonts w:ascii="Cambria Math" w:eastAsiaTheme="majorEastAsia" w:hAnsi="Cambria Math"/>
                      </w:rPr>
                      <m:t>t</m:t>
                    </m:r>
                  </m:sub>
                </m:sSub>
              </m:oMath>
            </m:oMathPara>
          </w:p>
        </w:tc>
        <w:tc>
          <w:tcPr>
            <w:tcW w:w="3828" w:type="dxa"/>
            <w:hideMark/>
          </w:tcPr>
          <w:p w14:paraId="5CDACAC1" w14:textId="31916F76" w:rsidR="00340041" w:rsidRPr="004643F8" w:rsidRDefault="00B20E3D" w:rsidP="00DE66FF">
            <w:pPr>
              <w:jc w:val="center"/>
              <w:rPr>
                <w:rFonts w:asciiTheme="majorEastAsia" w:eastAsiaTheme="majorEastAsia" w:hAnsiTheme="majorEastAsia"/>
              </w:rPr>
            </w:pPr>
            <w:r w:rsidRPr="004643F8">
              <w:rPr>
                <w:rFonts w:asciiTheme="majorEastAsia" w:eastAsiaTheme="majorEastAsia" w:hAnsiTheme="majorEastAsia"/>
              </w:rPr>
              <w:t>真实剩余寿命，</w:t>
            </w:r>
            <m:oMath>
              <m:sSub>
                <m:sSubPr>
                  <m:ctrlPr>
                    <w:rPr>
                      <w:rFonts w:ascii="Cambria Math" w:eastAsiaTheme="majorEastAsia" w:hAnsi="Cambria Math"/>
                    </w:rPr>
                  </m:ctrlPr>
                </m:sSubPr>
                <m:e>
                  <m:r>
                    <m:rPr>
                      <m:sty m:val="p"/>
                    </m:rPr>
                    <w:rPr>
                      <w:rFonts w:ascii="Cambria Math" w:eastAsiaTheme="majorEastAsia" w:hAnsi="Cambria Math"/>
                    </w:rPr>
                    <m:t>T</m:t>
                  </m:r>
                </m:e>
                <m:sub>
                  <m:r>
                    <m:rPr>
                      <m:sty m:val="p"/>
                    </m:rPr>
                    <w:rPr>
                      <w:rFonts w:ascii="Cambria Math" w:eastAsiaTheme="majorEastAsia" w:hAnsi="Cambria Math"/>
                    </w:rPr>
                    <m:t>EOL</m:t>
                  </m:r>
                </m:sub>
              </m:sSub>
              <m:r>
                <m:rPr>
                  <m:sty m:val="p"/>
                </m:rPr>
                <w:rPr>
                  <w:rFonts w:ascii="Cambria Math" w:eastAsiaTheme="majorEastAsia" w:hAnsi="Cambria Math"/>
                </w:rPr>
                <m:t>-t</m:t>
              </m:r>
            </m:oMath>
            <w:r w:rsidRPr="004643F8">
              <w:rPr>
                <w:rFonts w:asciiTheme="majorEastAsia" w:eastAsiaTheme="majorEastAsia" w:hAnsiTheme="majorEastAsia"/>
              </w:rPr>
              <w:t>，作为模型训练的监督标签</w:t>
            </w:r>
          </w:p>
        </w:tc>
        <w:tc>
          <w:tcPr>
            <w:tcW w:w="2126" w:type="dxa"/>
            <w:hideMark/>
          </w:tcPr>
          <w:p w14:paraId="50A13A9C" w14:textId="09F8CC09" w:rsidR="00340041" w:rsidRPr="004643F8" w:rsidRDefault="00340041" w:rsidP="00DE66FF">
            <w:pPr>
              <w:jc w:val="center"/>
              <w:rPr>
                <w:rFonts w:asciiTheme="majorEastAsia" w:eastAsiaTheme="majorEastAsia" w:hAnsiTheme="majorEastAsia"/>
              </w:rPr>
            </w:pPr>
            <w:r w:rsidRPr="004643F8">
              <w:rPr>
                <w:rFonts w:asciiTheme="majorEastAsia" w:eastAsiaTheme="majorEastAsia" w:hAnsiTheme="majorEastAsia"/>
              </w:rPr>
              <w:t>标签尺度归一化后参与损失计算；输出 </w:t>
            </w:r>
            <w:r w:rsidRPr="004643F8">
              <w:rPr>
                <w:rFonts w:asciiTheme="majorEastAsia" w:eastAsiaTheme="majorEastAsia" w:hAnsiTheme="majorEastAsia"/>
                <w:i/>
              </w:rPr>
              <w:br/>
            </w:r>
            <m:oMath>
              <m:sSup>
                <m:sSupPr>
                  <m:ctrlPr>
                    <w:rPr>
                      <w:rFonts w:ascii="Cambria Math" w:eastAsiaTheme="majorEastAsia" w:hAnsi="Cambria Math"/>
                      <w:i/>
                    </w:rPr>
                  </m:ctrlPr>
                </m:sSupPr>
                <m:e>
                  <m:r>
                    <w:rPr>
                      <w:rFonts w:ascii="Cambria Math" w:eastAsiaTheme="majorEastAsia" w:hAnsi="Cambria Math"/>
                    </w:rPr>
                    <m:t>r</m:t>
                  </m:r>
                </m:e>
                <m:sup>
                  <m:r>
                    <w:rPr>
                      <w:rFonts w:ascii="Cambria Math" w:eastAsiaTheme="majorEastAsia" w:hAnsi="Cambria Math"/>
                    </w:rPr>
                    <m:t>t</m:t>
                  </m:r>
                </m:sup>
              </m:sSup>
            </m:oMath>
            <w:r w:rsidRPr="004643F8">
              <w:rPr>
                <w:rFonts w:asciiTheme="majorEastAsia" w:eastAsiaTheme="majorEastAsia" w:hAnsiTheme="majorEastAsia"/>
              </w:rPr>
              <w:t>的对照基准</w:t>
            </w:r>
          </w:p>
        </w:tc>
      </w:tr>
      <w:tr w:rsidR="00340041" w:rsidRPr="004643F8" w14:paraId="4608427A" w14:textId="77777777" w:rsidTr="00B20E3D">
        <w:trPr>
          <w:trHeight w:val="720"/>
          <w:jc w:val="center"/>
        </w:trPr>
        <w:tc>
          <w:tcPr>
            <w:tcW w:w="2263" w:type="dxa"/>
            <w:hideMark/>
          </w:tcPr>
          <w:p w14:paraId="74650E39" w14:textId="023B46CF" w:rsidR="00340041" w:rsidRPr="004643F8" w:rsidRDefault="00340041" w:rsidP="00DE66FF">
            <w:pPr>
              <w:jc w:val="center"/>
              <w:rPr>
                <w:rFonts w:asciiTheme="majorEastAsia" w:eastAsiaTheme="majorEastAsia" w:hAnsiTheme="majorEastAsia"/>
              </w:rPr>
            </w:pPr>
            <m:oMathPara>
              <m:oMath>
                <m:r>
                  <w:rPr>
                    <w:rFonts w:ascii="Cambria Math" w:eastAsiaTheme="majorEastAsia" w:hAnsi="Cambria Math"/>
                  </w:rPr>
                  <m:t>L</m:t>
                </m:r>
              </m:oMath>
            </m:oMathPara>
          </w:p>
        </w:tc>
        <w:tc>
          <w:tcPr>
            <w:tcW w:w="3828" w:type="dxa"/>
            <w:hideMark/>
          </w:tcPr>
          <w:p w14:paraId="63371578" w14:textId="65D413D9" w:rsidR="00340041" w:rsidRPr="004643F8" w:rsidRDefault="00B20E3D" w:rsidP="00DE66FF">
            <w:pPr>
              <w:jc w:val="center"/>
              <w:rPr>
                <w:rFonts w:asciiTheme="majorEastAsia" w:eastAsiaTheme="majorEastAsia" w:hAnsiTheme="majorEastAsia"/>
              </w:rPr>
            </w:pPr>
            <w:r w:rsidRPr="004643F8">
              <w:rPr>
                <w:rFonts w:asciiTheme="majorEastAsia" w:eastAsiaTheme="majorEastAsia" w:hAnsiTheme="majorEastAsia"/>
              </w:rPr>
              <w:t>滑动窗口长度，决定每次推理回溯的历史步数</w:t>
            </w:r>
          </w:p>
        </w:tc>
        <w:tc>
          <w:tcPr>
            <w:tcW w:w="2126" w:type="dxa"/>
            <w:hideMark/>
          </w:tcPr>
          <w:p w14:paraId="533F7F6C" w14:textId="77777777" w:rsidR="00340041" w:rsidRPr="004643F8" w:rsidRDefault="00340041" w:rsidP="00DE66FF">
            <w:pPr>
              <w:jc w:val="center"/>
              <w:rPr>
                <w:rFonts w:asciiTheme="majorEastAsia" w:eastAsiaTheme="majorEastAsia" w:hAnsiTheme="majorEastAsia"/>
              </w:rPr>
            </w:pPr>
            <w:r w:rsidRPr="004643F8">
              <w:rPr>
                <w:rFonts w:asciiTheme="majorEastAsia" w:eastAsiaTheme="majorEastAsia" w:hAnsiTheme="majorEastAsia"/>
              </w:rPr>
              <w:t>影响输入张量维度；过长则放大噪声，过短则丢失趋势信息</w:t>
            </w:r>
          </w:p>
        </w:tc>
      </w:tr>
      <w:tr w:rsidR="00340041" w:rsidRPr="004643F8" w14:paraId="718A3448" w14:textId="77777777" w:rsidTr="00B20E3D">
        <w:trPr>
          <w:trHeight w:val="875"/>
          <w:jc w:val="center"/>
        </w:trPr>
        <w:tc>
          <w:tcPr>
            <w:tcW w:w="2263" w:type="dxa"/>
            <w:hideMark/>
          </w:tcPr>
          <w:p w14:paraId="45EB1FE8" w14:textId="3EE55144" w:rsidR="00340041" w:rsidRPr="004643F8" w:rsidRDefault="00340041" w:rsidP="00DE66FF">
            <w:pPr>
              <w:jc w:val="center"/>
              <w:rPr>
                <w:rFonts w:asciiTheme="majorEastAsia" w:eastAsiaTheme="majorEastAsia" w:hAnsiTheme="majorEastAsia"/>
              </w:rPr>
            </w:pPr>
            <m:oMathPara>
              <m:oMath>
                <m:sSub>
                  <m:sSubPr>
                    <m:ctrlPr>
                      <w:rPr>
                        <w:rFonts w:ascii="Cambria Math" w:eastAsiaTheme="majorEastAsia" w:hAnsi="Cambria Math"/>
                        <w:i/>
                      </w:rPr>
                    </m:ctrlPr>
                  </m:sSubPr>
                  <m:e>
                    <m:acc>
                      <m:accPr>
                        <m:ctrlPr>
                          <w:rPr>
                            <w:rFonts w:ascii="Cambria Math" w:eastAsiaTheme="majorEastAsia" w:hAnsi="Cambria Math"/>
                            <w:i/>
                          </w:rPr>
                        </m:ctrlPr>
                      </m:accPr>
                      <m:e>
                        <m:r>
                          <w:rPr>
                            <w:rFonts w:ascii="Cambria Math" w:eastAsiaTheme="majorEastAsia" w:hAnsi="Cambria Math"/>
                          </w:rPr>
                          <m:t>r</m:t>
                        </m:r>
                      </m:e>
                    </m:acc>
                  </m:e>
                  <m:sub>
                    <m:r>
                      <w:rPr>
                        <w:rFonts w:ascii="Cambria Math" w:eastAsiaTheme="majorEastAsia" w:hAnsi="Cambria Math"/>
                      </w:rPr>
                      <m:t>t</m:t>
                    </m:r>
                  </m:sub>
                </m:sSub>
              </m:oMath>
            </m:oMathPara>
          </w:p>
        </w:tc>
        <w:tc>
          <w:tcPr>
            <w:tcW w:w="3828" w:type="dxa"/>
            <w:hideMark/>
          </w:tcPr>
          <w:p w14:paraId="28777A8A" w14:textId="4145A6D2" w:rsidR="00340041" w:rsidRPr="004643F8" w:rsidRDefault="00B20E3D" w:rsidP="00DE66FF">
            <w:pPr>
              <w:jc w:val="center"/>
              <w:rPr>
                <w:rFonts w:asciiTheme="majorEastAsia" w:eastAsiaTheme="majorEastAsia" w:hAnsiTheme="majorEastAsia"/>
              </w:rPr>
            </w:pPr>
            <w:r w:rsidRPr="004643F8">
              <w:rPr>
                <w:rFonts w:asciiTheme="majorEastAsia" w:eastAsiaTheme="majorEastAsia" w:hAnsiTheme="majorEastAsia"/>
              </w:rPr>
              <w:t>模型 </w:t>
            </w:r>
            <m:oMath>
              <m:sSub>
                <m:sSubPr>
                  <m:ctrlPr>
                    <w:rPr>
                      <w:rFonts w:ascii="Cambria Math" w:eastAsiaTheme="majorEastAsia" w:hAnsi="Cambria Math"/>
                    </w:rPr>
                  </m:ctrlPr>
                </m:sSubPr>
                <m:e>
                  <m:r>
                    <w:rPr>
                      <w:rFonts w:ascii="Cambria Math" w:eastAsiaTheme="majorEastAsia" w:hAnsi="Cambria Math"/>
                    </w:rPr>
                    <m:t>f</m:t>
                  </m:r>
                </m:e>
                <m:sub>
                  <m:r>
                    <w:rPr>
                      <w:rFonts w:ascii="Cambria Math" w:eastAsiaTheme="majorEastAsia" w:hAnsi="Cambria Math"/>
                    </w:rPr>
                    <m:t>θ</m:t>
                  </m:r>
                </m:sub>
              </m:sSub>
            </m:oMath>
            <w:r w:rsidRPr="004643F8">
              <w:rPr>
                <w:rFonts w:asciiTheme="majorEastAsia" w:eastAsiaTheme="majorEastAsia" w:hAnsiTheme="majorEastAsia"/>
              </w:rPr>
              <w:t> 输出的剩余寿命估计值</w:t>
            </w:r>
          </w:p>
        </w:tc>
        <w:tc>
          <w:tcPr>
            <w:tcW w:w="2126" w:type="dxa"/>
            <w:hideMark/>
          </w:tcPr>
          <w:p w14:paraId="0AA4DBA0" w14:textId="10489B79" w:rsidR="00340041" w:rsidRPr="004643F8" w:rsidRDefault="00340041" w:rsidP="00DE66FF">
            <w:pPr>
              <w:jc w:val="center"/>
              <w:rPr>
                <w:rFonts w:asciiTheme="majorEastAsia" w:eastAsiaTheme="majorEastAsia" w:hAnsiTheme="majorEastAsia"/>
              </w:rPr>
            </w:pPr>
            <w:r w:rsidRPr="004643F8">
              <w:rPr>
                <w:rFonts w:asciiTheme="majorEastAsia" w:eastAsiaTheme="majorEastAsia" w:hAnsiTheme="majorEastAsia"/>
              </w:rPr>
              <w:t>与 </w:t>
            </w:r>
            <m:oMath>
              <m:sSup>
                <m:sSupPr>
                  <m:ctrlPr>
                    <w:rPr>
                      <w:rFonts w:ascii="Cambria Math" w:eastAsiaTheme="majorEastAsia" w:hAnsi="Cambria Math"/>
                      <w:i/>
                    </w:rPr>
                  </m:ctrlPr>
                </m:sSupPr>
                <m:e>
                  <m:r>
                    <w:rPr>
                      <w:rFonts w:ascii="Cambria Math" w:eastAsiaTheme="majorEastAsia" w:hAnsi="Cambria Math"/>
                    </w:rPr>
                    <m:t>r</m:t>
                  </m:r>
                </m:e>
                <m:sup>
                  <m:r>
                    <w:rPr>
                      <w:rFonts w:ascii="Cambria Math" w:eastAsiaTheme="majorEastAsia" w:hAnsi="Cambria Math"/>
                    </w:rPr>
                    <m:t>t</m:t>
                  </m:r>
                </m:sup>
              </m:sSup>
            </m:oMath>
            <w:r w:rsidRPr="004643F8">
              <w:rPr>
                <w:rFonts w:asciiTheme="majorEastAsia" w:eastAsiaTheme="majorEastAsia" w:hAnsiTheme="majorEastAsia"/>
              </w:rPr>
              <w:t>计算预测误差；经反归一化还原为原始物理时间单位</w:t>
            </w:r>
          </w:p>
        </w:tc>
      </w:tr>
    </w:tbl>
    <w:p w14:paraId="26D9C8EB" w14:textId="77777777" w:rsidR="00E52018" w:rsidRPr="004643F8" w:rsidRDefault="00E52018" w:rsidP="00E52018">
      <w:pPr>
        <w:pStyle w:val="2"/>
        <w:rPr>
          <w:rFonts w:asciiTheme="majorEastAsia" w:eastAsiaTheme="majorEastAsia" w:hAnsiTheme="majorEastAsia"/>
        </w:rPr>
      </w:pPr>
      <w:r w:rsidRPr="004643F8">
        <w:rPr>
          <w:rFonts w:asciiTheme="majorEastAsia" w:eastAsiaTheme="majorEastAsia" w:hAnsiTheme="majorEastAsia"/>
          <w:b/>
          <w:bCs/>
        </w:rPr>
        <w:t>2.2 源域：喷嘴烧蚀退化</w:t>
      </w:r>
    </w:p>
    <w:p w14:paraId="0BFDA342" w14:textId="77777777" w:rsidR="00E52018" w:rsidRPr="004643F8" w:rsidRDefault="00E52018" w:rsidP="00E52018">
      <w:pPr>
        <w:rPr>
          <w:rFonts w:asciiTheme="majorEastAsia" w:eastAsiaTheme="majorEastAsia" w:hAnsiTheme="majorEastAsia"/>
        </w:rPr>
      </w:pPr>
      <w:r w:rsidRPr="004643F8">
        <w:rPr>
          <w:rFonts w:asciiTheme="majorEastAsia" w:eastAsiaTheme="majorEastAsia" w:hAnsiTheme="majorEastAsia"/>
        </w:rPr>
        <w:t>源域承担着为整个迁移学习框架提供退化知识基座的功能。我们选取喷嘴烧蚀退化数据作为源域知识来源，其工程动机在于：喷嘴在高温高速气流作用下的烧蚀过程具有明确的物理机理和清晰的退化轨迹，烧蚀深度随工作时间单调递增，这一“健康余量持续消耗”的演化模式与航天器电池容量衰减、反作用轮机械磨损等典型在轨退化过程在动力学形态上具有高度结构相似性，适合作为跨域迁移的起点。</w:t>
      </w:r>
    </w:p>
    <w:p w14:paraId="1C6CE42F" w14:textId="550A2BEE" w:rsidR="00E52018" w:rsidRPr="004643F8" w:rsidRDefault="00E52018" w:rsidP="00E52018">
      <w:pPr>
        <w:rPr>
          <w:rFonts w:asciiTheme="majorEastAsia" w:eastAsiaTheme="majorEastAsia" w:hAnsiTheme="majorEastAsia"/>
        </w:rPr>
      </w:pPr>
      <w:r w:rsidRPr="004643F8">
        <w:rPr>
          <w:rFonts w:asciiTheme="majorEastAsia" w:eastAsiaTheme="majorEastAsia" w:hAnsiTheme="majorEastAsia"/>
        </w:rPr>
        <w:t>退化机理方面，喷嘴长期工作于极端热-力耦合环境中，材料表面在高温气流冲刷和热化学氧化作用下逐渐损失，表现为烧蚀深度随累积工作时间的不可逆增长。本数据集中，烧蚀深度作为可直接观测的退化量被连续记录，随服役时间推进，材料剩余厚度递减，健康余量相应下降。基于此，我们将原始烧蚀深度 </w:t>
      </w:r>
      <m:oMath>
        <m:sSub>
          <m:sSubPr>
            <m:ctrlPr>
              <w:rPr>
                <w:rFonts w:ascii="Cambria Math" w:eastAsiaTheme="majorEastAsia" w:hAnsi="Cambria Math"/>
              </w:rPr>
            </m:ctrlPr>
          </m:sSubPr>
          <m:e>
            <m:r>
              <w:rPr>
                <w:rFonts w:ascii="Cambria Math" w:eastAsiaTheme="majorEastAsia" w:hAnsi="Cambria Math"/>
              </w:rPr>
              <m:t>d</m:t>
            </m:r>
          </m:e>
          <m:sub>
            <m:r>
              <w:rPr>
                <w:rFonts w:ascii="Cambria Math" w:eastAsiaTheme="majorEastAsia" w:hAnsi="Cambria Math"/>
              </w:rPr>
              <m:t>t</m:t>
            </m:r>
          </m:sub>
        </m:sSub>
      </m:oMath>
      <w:r w:rsidRPr="004643F8">
        <w:rPr>
          <w:rFonts w:asciiTheme="majorEastAsia" w:eastAsiaTheme="majorEastAsia" w:hAnsiTheme="majorEastAsia"/>
        </w:rPr>
        <w:t> 按轨迹全寿命幅值范围归一化为 </w:t>
      </w:r>
      <m:oMath>
        <m:sSub>
          <m:sSubPr>
            <m:ctrlPr>
              <w:rPr>
                <w:rFonts w:ascii="Cambria Math" w:eastAsiaTheme="majorEastAsia" w:hAnsi="Cambria Math"/>
              </w:rPr>
            </m:ctrlPr>
          </m:sSubPr>
          <m:e>
            <m:r>
              <m:rPr>
                <m:nor/>
              </m:rPr>
              <w:rPr>
                <w:rFonts w:asciiTheme="majorEastAsia" w:eastAsiaTheme="majorEastAsia" w:hAnsiTheme="majorEastAsia"/>
              </w:rPr>
              <m:t>normalized</m:t>
            </m:r>
            <m:r>
              <m:rPr>
                <m:lit/>
                <m:nor/>
              </m:rPr>
              <w:rPr>
                <w:rFonts w:asciiTheme="majorEastAsia" w:eastAsiaTheme="majorEastAsia" w:hAnsiTheme="majorEastAsia"/>
              </w:rPr>
              <m:t>_</m:t>
            </m:r>
            <m:r>
              <m:rPr>
                <m:nor/>
              </m:rPr>
              <w:rPr>
                <w:rFonts w:asciiTheme="majorEastAsia" w:eastAsiaTheme="majorEastAsia" w:hAnsiTheme="majorEastAsia"/>
              </w:rPr>
              <m:t>damage</m:t>
            </m:r>
          </m:e>
          <m:sub>
            <m:r>
              <w:rPr>
                <w:rFonts w:ascii="Cambria Math" w:eastAsiaTheme="majorEastAsia" w:hAnsi="Cambria Math"/>
              </w:rPr>
              <m:t>t</m:t>
            </m:r>
          </m:sub>
        </m:sSub>
        <m:r>
          <w:rPr>
            <w:rFonts w:ascii="Cambria Math" w:eastAsiaTheme="majorEastAsia" w:hAnsi="Cambria Math"/>
          </w:rPr>
          <m:t>∈</m:t>
        </m:r>
        <m:d>
          <m:dPr>
            <m:begChr m:val="["/>
            <m:sepChr m:val=","/>
            <m:endChr m:val="]"/>
            <m:ctrlPr>
              <w:rPr>
                <w:rFonts w:ascii="Cambria Math" w:eastAsiaTheme="majorEastAsia" w:hAnsi="Cambria Math"/>
              </w:rPr>
            </m:ctrlPr>
          </m:dPr>
          <m:e>
            <m:r>
              <w:rPr>
                <w:rFonts w:ascii="Cambria Math" w:eastAsiaTheme="majorEastAsia" w:hAnsi="Cambria Math"/>
              </w:rPr>
              <m:t>0</m:t>
            </m:r>
          </m:e>
          <m:e>
            <m:r>
              <w:rPr>
                <w:rFonts w:ascii="Cambria Math" w:eastAsiaTheme="majorEastAsia" w:hAnsi="Cambria Math"/>
              </w:rPr>
              <m:t>1</m:t>
            </m:r>
          </m:e>
        </m:d>
      </m:oMath>
      <w:r w:rsidRPr="004643F8">
        <w:rPr>
          <w:rFonts w:asciiTheme="majorEastAsia" w:eastAsiaTheme="majorEastAsia" w:hAnsiTheme="majorEastAsia"/>
        </w:rPr>
        <w:t>，进而构造源域健康信号：</w:t>
      </w:r>
    </w:p>
    <w:p w14:paraId="187AA450" w14:textId="6C011577" w:rsidR="00E52018" w:rsidRPr="004643F8" w:rsidRDefault="00E52018" w:rsidP="00E52018">
      <w:pPr>
        <w:rPr>
          <w:rFonts w:asciiTheme="majorEastAsia" w:eastAsiaTheme="majorEastAsia" w:hAnsiTheme="majorEastAsia"/>
        </w:rPr>
      </w:pPr>
      <m:oMathPara>
        <m:oMath>
          <m:sSubSup>
            <m:sSubSupPr>
              <m:ctrlPr>
                <w:rPr>
                  <w:rFonts w:ascii="Cambria Math" w:eastAsiaTheme="majorEastAsia" w:hAnsi="Cambria Math"/>
                </w:rPr>
              </m:ctrlPr>
            </m:sSubSupPr>
            <m:e>
              <m:r>
                <w:rPr>
                  <w:rFonts w:ascii="Cambria Math" w:eastAsiaTheme="majorEastAsia" w:hAnsi="Cambria Math"/>
                </w:rPr>
                <m:t>h</m:t>
              </m:r>
            </m:e>
            <m:sub>
              <m:r>
                <w:rPr>
                  <w:rFonts w:ascii="Cambria Math" w:eastAsiaTheme="majorEastAsia" w:hAnsi="Cambria Math"/>
                </w:rPr>
                <m:t>t</m:t>
              </m:r>
            </m:sub>
            <m:sup>
              <m:r>
                <m:rPr>
                  <m:nor/>
                </m:rPr>
                <w:rPr>
                  <w:rFonts w:asciiTheme="majorEastAsia" w:eastAsiaTheme="majorEastAsia" w:hAnsiTheme="majorEastAsia"/>
                </w:rPr>
                <m:t>(source)</m:t>
              </m:r>
            </m:sup>
          </m:sSubSup>
          <m:r>
            <w:rPr>
              <w:rFonts w:ascii="Cambria Math" w:eastAsiaTheme="majorEastAsia" w:hAnsi="Cambria Math"/>
            </w:rPr>
            <m:t>=1-</m:t>
          </m:r>
          <m:sSub>
            <m:sSubPr>
              <m:ctrlPr>
                <w:rPr>
                  <w:rFonts w:ascii="Cambria Math" w:eastAsiaTheme="majorEastAsia" w:hAnsi="Cambria Math"/>
                </w:rPr>
              </m:ctrlPr>
            </m:sSubPr>
            <m:e>
              <m:r>
                <m:rPr>
                  <m:nor/>
                </m:rPr>
                <w:rPr>
                  <w:rFonts w:asciiTheme="majorEastAsia" w:eastAsiaTheme="majorEastAsia" w:hAnsiTheme="majorEastAsia"/>
                </w:rPr>
                <m:t>normalized</m:t>
              </m:r>
              <m:r>
                <m:rPr>
                  <m:lit/>
                  <m:nor/>
                </m:rPr>
                <w:rPr>
                  <w:rFonts w:asciiTheme="majorEastAsia" w:eastAsiaTheme="majorEastAsia" w:hAnsiTheme="majorEastAsia"/>
                </w:rPr>
                <m:t>_</m:t>
              </m:r>
              <m:r>
                <m:rPr>
                  <m:nor/>
                </m:rPr>
                <w:rPr>
                  <w:rFonts w:asciiTheme="majorEastAsia" w:eastAsiaTheme="majorEastAsia" w:hAnsiTheme="majorEastAsia"/>
                </w:rPr>
                <m:t>depth</m:t>
              </m:r>
            </m:e>
            <m:sub>
              <m:r>
                <w:rPr>
                  <w:rFonts w:ascii="Cambria Math" w:eastAsiaTheme="majorEastAsia" w:hAnsi="Cambria Math"/>
                </w:rPr>
                <m:t>t</m:t>
              </m:r>
            </m:sub>
          </m:sSub>
        </m:oMath>
      </m:oMathPara>
    </w:p>
    <w:p w14:paraId="33FE3E3F" w14:textId="77777777" w:rsidR="00E52018" w:rsidRPr="004643F8" w:rsidRDefault="00E52018" w:rsidP="00E52018">
      <w:pPr>
        <w:rPr>
          <w:rFonts w:asciiTheme="majorEastAsia" w:eastAsiaTheme="majorEastAsia" w:hAnsiTheme="majorEastAsia"/>
        </w:rPr>
      </w:pPr>
      <w:r w:rsidRPr="004643F8">
        <w:rPr>
          <w:rFonts w:asciiTheme="majorEastAsia" w:eastAsiaTheme="majorEastAsia" w:hAnsiTheme="majorEastAsia"/>
        </w:rPr>
        <w:t>该变换使源域健康信号方向统一为“越大越健康”，与目标域（电池、反作用轮）的 health 语义保持一致，为后续编码器共享奠定基础。</w:t>
      </w:r>
    </w:p>
    <w:p w14:paraId="3BA6BEAB" w14:textId="77777777" w:rsidR="00E52018" w:rsidRPr="004643F8" w:rsidRDefault="00E52018" w:rsidP="00E52018">
      <w:pPr>
        <w:rPr>
          <w:rFonts w:asciiTheme="majorEastAsia" w:eastAsiaTheme="majorEastAsia" w:hAnsiTheme="majorEastAsia"/>
        </w:rPr>
      </w:pPr>
      <w:r w:rsidRPr="004643F8">
        <w:rPr>
          <w:rFonts w:asciiTheme="majorEastAsia" w:eastAsiaTheme="majorEastAsia" w:hAnsiTheme="majorEastAsia"/>
        </w:rPr>
        <w:t>数据构成方面，源域包含严格筛选的 200 条多轨迹退化数据，每条轨迹代表一个独立喷嘴样本从全新至报废的完整服役过程。数据清单中记录了每条轨迹的唯一 ID 及其 SHA-256 哈希值，确保数据版本的可追溯性与复现一致性。</w:t>
      </w:r>
    </w:p>
    <w:p w14:paraId="06ED806A" w14:textId="53619F7C" w:rsidR="00E52018" w:rsidRPr="004643F8" w:rsidRDefault="00E52018" w:rsidP="00E52018">
      <w:pPr>
        <w:rPr>
          <w:rFonts w:asciiTheme="majorEastAsia" w:eastAsiaTheme="majorEastAsia" w:hAnsiTheme="majorEastAsia"/>
        </w:rPr>
      </w:pPr>
      <w:r w:rsidRPr="004643F8">
        <w:rPr>
          <w:rFonts w:asciiTheme="majorEastAsia" w:eastAsiaTheme="majorEastAsia" w:hAnsiTheme="majorEastAsia"/>
        </w:rPr>
        <w:t>标签关系方面，本方案以每条轨迹的末端时刻作为该样本的寿命终点（End of Life, EOL）参考点，即 </w:t>
      </w:r>
      <m:oMath>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oMath>
      <w:r w:rsidRPr="004643F8">
        <w:rPr>
          <w:rFonts w:asciiTheme="majorEastAsia" w:eastAsiaTheme="majorEastAsia" w:hAnsiTheme="majorEastAsia"/>
        </w:rPr>
        <w:t> 取为轨迹最终观测时刻，则任意当前时刻 </w:t>
      </w:r>
      <m:oMath>
        <m:r>
          <w:rPr>
            <w:rFonts w:ascii="Cambria Math" w:eastAsiaTheme="majorEastAsia" w:hAnsi="Cambria Math"/>
          </w:rPr>
          <m:t>t</m:t>
        </m:r>
      </m:oMath>
      <w:r w:rsidRPr="004643F8">
        <w:rPr>
          <w:rFonts w:asciiTheme="majorEastAsia" w:eastAsiaTheme="majorEastAsia" w:hAnsiTheme="majorEastAsia"/>
        </w:rPr>
        <w:t> 的剩余寿命标签为：</w:t>
      </w:r>
    </w:p>
    <w:p w14:paraId="60641143" w14:textId="0026A262" w:rsidR="00E52018" w:rsidRPr="004643F8" w:rsidRDefault="00E52018" w:rsidP="00E52018">
      <w:pPr>
        <w:rPr>
          <w:rFonts w:asciiTheme="majorEastAsia" w:eastAsiaTheme="majorEastAsia" w:hAnsiTheme="majorEastAsia"/>
        </w:rPr>
      </w:pPr>
      <m:oMathPara>
        <m:oMath>
          <m:sSubSup>
            <m:sSubSupPr>
              <m:ctrlPr>
                <w:rPr>
                  <w:rFonts w:ascii="Cambria Math" w:eastAsiaTheme="majorEastAsia" w:hAnsi="Cambria Math"/>
                </w:rPr>
              </m:ctrlPr>
            </m:sSubSupPr>
            <m:e>
              <m:r>
                <w:rPr>
                  <w:rFonts w:ascii="Cambria Math" w:eastAsiaTheme="majorEastAsia" w:hAnsi="Cambria Math"/>
                </w:rPr>
                <m:t>r</m:t>
              </m:r>
            </m:e>
            <m:sub>
              <m:r>
                <w:rPr>
                  <w:rFonts w:ascii="Cambria Math" w:eastAsiaTheme="majorEastAsia" w:hAnsi="Cambria Math"/>
                </w:rPr>
                <m:t>t</m:t>
              </m:r>
            </m:sub>
            <m:sup>
              <m:r>
                <m:rPr>
                  <m:nor/>
                </m:rPr>
                <w:rPr>
                  <w:rFonts w:asciiTheme="majorEastAsia" w:eastAsiaTheme="majorEastAsia" w:hAnsiTheme="majorEastAsia"/>
                </w:rPr>
                <m:t>(source)</m:t>
              </m:r>
            </m:sup>
          </m:sSubSup>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r>
            <w:rPr>
              <w:rFonts w:ascii="Cambria Math" w:eastAsiaTheme="majorEastAsia" w:hAnsi="Cambria Math"/>
            </w:rPr>
            <m:t>-t</m:t>
          </m:r>
        </m:oMath>
      </m:oMathPara>
    </w:p>
    <w:p w14:paraId="79F71E5D" w14:textId="32388A14" w:rsidR="00E52018" w:rsidRPr="004643F8" w:rsidRDefault="00E52018" w:rsidP="00E52018">
      <w:pPr>
        <w:rPr>
          <w:rFonts w:asciiTheme="majorEastAsia" w:eastAsiaTheme="majorEastAsia" w:hAnsiTheme="majorEastAsia"/>
        </w:rPr>
      </w:pPr>
      <w:r w:rsidRPr="004643F8">
        <w:rPr>
          <w:rFonts w:asciiTheme="majorEastAsia" w:eastAsiaTheme="majorEastAsia" w:hAnsiTheme="majorEastAsia"/>
        </w:rPr>
        <w:t>此处 </w:t>
      </w:r>
      <m:oMath>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oMath>
      <w:r w:rsidRPr="004643F8">
        <w:rPr>
          <w:rFonts w:asciiTheme="majorEastAsia" w:eastAsiaTheme="majorEastAsia" w:hAnsiTheme="majorEastAsia"/>
        </w:rPr>
        <w:t> 以离散观测步数为单位，表示从当前时刻到轨迹终结所剩余的采样点数。该标签与 health 信号形成直接的映射关系：health 趋近于 0 时，RUL 趋于 0；health 接近 1 时，RUL 处于较大值。两者的单调对齐关系需要在预训练前予以验证。</w:t>
      </w:r>
    </w:p>
    <w:p w14:paraId="1854CCA0" w14:textId="77777777" w:rsidR="00E52018" w:rsidRPr="004643F8" w:rsidRDefault="00E52018" w:rsidP="00E52018">
      <w:pPr>
        <w:rPr>
          <w:rFonts w:asciiTheme="majorEastAsia" w:eastAsiaTheme="majorEastAsia" w:hAnsiTheme="majorEastAsia"/>
        </w:rPr>
      </w:pPr>
      <w:r w:rsidRPr="004643F8">
        <w:rPr>
          <w:rFonts w:asciiTheme="majorEastAsia" w:eastAsiaTheme="majorEastAsia" w:hAnsiTheme="majorEastAsia"/>
        </w:rPr>
        <w:t>数据切分策略严格遵循“训练侧可见”原则。200 条轨迹按 trajectory 级别（而非单行记录）随机划分为训练集、验证集与源域测试集：训练集轨迹用于模型参数更新；验证集轨迹用于超参数选择、窗口长度确定以及趋势先验的筛选；源域测试集仅在源域模型审计阶段使用一次，全程不参与目标域的适配过程。这一 trajectory 级别切分避免了同一轨迹的早期数据用于训练而晚期数据用于验证所导致的信息泄露，更贴近实际部署中“用若干完整历史样本训练、对全新样本预测”的场景。</w:t>
      </w:r>
    </w:p>
    <w:p w14:paraId="083ACCE7" w14:textId="77777777" w:rsidR="00E52018" w:rsidRPr="004643F8" w:rsidRDefault="00E52018" w:rsidP="00E52018">
      <w:pPr>
        <w:rPr>
          <w:rFonts w:asciiTheme="majorEastAsia" w:eastAsiaTheme="majorEastAsia" w:hAnsiTheme="majorEastAsia"/>
        </w:rPr>
      </w:pPr>
      <w:r w:rsidRPr="004643F8">
        <w:rPr>
          <w:rFonts w:asciiTheme="majorEastAsia" w:eastAsiaTheme="majorEastAsia" w:hAnsiTheme="majorEastAsia"/>
        </w:rPr>
        <w:t>方向一致性检查是源域预训练前的必要质量门控。我们计算每条轨迹中 health 信号与 RUL 标签之间的 Pearson 相关系数，若两者呈强正相关，则表明 health 随服役时间递减的同时 RUL 同步递减，即模型需要学习的映射关系具有明确的单调趋势先验。经核算，源域 200 条轨迹的 health-RUL 平均相关系数为 0.9885，满足方向一致性预检要求，确认源域数据具备清晰的退化趋势结构，可作为后续跨域迁移的可靠知识来源。</w:t>
      </w:r>
    </w:p>
    <w:p w14:paraId="52D364ED" w14:textId="77777777" w:rsidR="00E52018" w:rsidRPr="004643F8" w:rsidRDefault="00E52018" w:rsidP="00E52018">
      <w:pPr>
        <w:rPr>
          <w:rFonts w:asciiTheme="majorEastAsia" w:eastAsiaTheme="majorEastAsia" w:hAnsiTheme="majorEastAsia"/>
        </w:rPr>
      </w:pPr>
      <w:r w:rsidRPr="004643F8">
        <w:rPr>
          <w:rFonts w:asciiTheme="majorEastAsia" w:eastAsiaTheme="majorEastAsia" w:hAnsiTheme="majorEastAsia"/>
        </w:rPr>
        <w:t>综上，源域的关键要素汇总如下：</w:t>
      </w:r>
    </w:p>
    <w:p w14:paraId="4ABAA3BE" w14:textId="5BC32400" w:rsidR="002A3235" w:rsidRPr="004643F8" w:rsidRDefault="002A3235" w:rsidP="00E52018">
      <w:pPr>
        <w:rPr>
          <w:rFonts w:asciiTheme="majorEastAsia" w:eastAsiaTheme="majorEastAsia" w:hAnsiTheme="majorEastAsia" w:hint="eastAsia"/>
        </w:rPr>
      </w:pPr>
      <w:r w:rsidRPr="004643F8">
        <w:rPr>
          <w:rFonts w:asciiTheme="majorEastAsia" w:eastAsiaTheme="majorEastAsia" w:hAnsiTheme="majorEastAsia" w:hint="eastAsia"/>
        </w:rPr>
        <w:t xml:space="preserve">表3 </w:t>
      </w:r>
      <w:r w:rsidR="000F3D51" w:rsidRPr="004643F8">
        <w:rPr>
          <w:rFonts w:asciiTheme="majorEastAsia" w:eastAsiaTheme="majorEastAsia" w:hAnsiTheme="majorEastAsia"/>
        </w:rPr>
        <w:t>源域喷嘴烧蚀退化数据要素汇总表</w:t>
      </w:r>
    </w:p>
    <w:tbl>
      <w:tblPr>
        <w:tblStyle w:val="af2"/>
        <w:tblW w:w="7792" w:type="dxa"/>
        <w:jc w:val="center"/>
        <w:tblLook w:val="04A0" w:firstRow="1" w:lastRow="0" w:firstColumn="1" w:lastColumn="0" w:noHBand="0" w:noVBand="1"/>
      </w:tblPr>
      <w:tblGrid>
        <w:gridCol w:w="1419"/>
        <w:gridCol w:w="6373"/>
      </w:tblGrid>
      <w:tr w:rsidR="00E5759E" w:rsidRPr="004643F8" w14:paraId="37AB4CE3" w14:textId="77777777" w:rsidTr="008B50F0">
        <w:trPr>
          <w:trHeight w:val="283"/>
          <w:jc w:val="center"/>
        </w:trPr>
        <w:tc>
          <w:tcPr>
            <w:tcW w:w="1419" w:type="dxa"/>
            <w:hideMark/>
          </w:tcPr>
          <w:p w14:paraId="710BE715"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t>要素</w:t>
            </w:r>
          </w:p>
        </w:tc>
        <w:tc>
          <w:tcPr>
            <w:tcW w:w="6373" w:type="dxa"/>
            <w:hideMark/>
          </w:tcPr>
          <w:p w14:paraId="70ACFE79"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t>说明</w:t>
            </w:r>
          </w:p>
        </w:tc>
      </w:tr>
      <w:tr w:rsidR="00E5759E" w:rsidRPr="004643F8" w14:paraId="5975AC7C" w14:textId="77777777" w:rsidTr="00BF0BE1">
        <w:trPr>
          <w:trHeight w:val="312"/>
          <w:jc w:val="center"/>
        </w:trPr>
        <w:tc>
          <w:tcPr>
            <w:tcW w:w="1419" w:type="dxa"/>
            <w:hideMark/>
          </w:tcPr>
          <w:p w14:paraId="41B16DB7"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t>退化机理</w:t>
            </w:r>
          </w:p>
        </w:tc>
        <w:tc>
          <w:tcPr>
            <w:tcW w:w="6373" w:type="dxa"/>
            <w:hideMark/>
          </w:tcPr>
          <w:p w14:paraId="4ECAE9BC"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t>高温热流冲刷引起材料表面烧蚀，烧蚀深度随工作时间不可逆增长</w:t>
            </w:r>
          </w:p>
        </w:tc>
      </w:tr>
      <w:tr w:rsidR="00E5759E" w:rsidRPr="004643F8" w14:paraId="70638EEE" w14:textId="77777777" w:rsidTr="00BF0BE1">
        <w:trPr>
          <w:trHeight w:val="273"/>
          <w:jc w:val="center"/>
        </w:trPr>
        <w:tc>
          <w:tcPr>
            <w:tcW w:w="1419" w:type="dxa"/>
            <w:hideMark/>
          </w:tcPr>
          <w:p w14:paraId="1266ED10"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t>原始观测量</w:t>
            </w:r>
          </w:p>
        </w:tc>
        <w:tc>
          <w:tcPr>
            <w:tcW w:w="6373" w:type="dxa"/>
            <w:hideMark/>
          </w:tcPr>
          <w:p w14:paraId="11A13464" w14:textId="5BEA726E" w:rsidR="00E5759E" w:rsidRPr="004643F8" w:rsidRDefault="008B50F0" w:rsidP="0022698D">
            <w:pPr>
              <w:jc w:val="center"/>
              <w:rPr>
                <w:rFonts w:asciiTheme="majorEastAsia" w:eastAsiaTheme="majorEastAsia" w:hAnsiTheme="majorEastAsia"/>
              </w:rPr>
            </w:pPr>
            <w:r w:rsidRPr="004643F8">
              <w:rPr>
                <w:rFonts w:asciiTheme="majorEastAsia" w:eastAsiaTheme="majorEastAsia" w:hAnsiTheme="majorEastAsia"/>
              </w:rPr>
              <w:t>烧蚀深度 </w:t>
            </w:r>
            <m:oMath>
              <m:sSub>
                <m:sSubPr>
                  <m:ctrlPr>
                    <w:rPr>
                      <w:rFonts w:ascii="Cambria Math" w:eastAsiaTheme="majorEastAsia" w:hAnsi="Cambria Math"/>
                    </w:rPr>
                  </m:ctrlPr>
                </m:sSubPr>
                <m:e>
                  <m:r>
                    <w:rPr>
                      <w:rFonts w:ascii="Cambria Math" w:eastAsiaTheme="majorEastAsia" w:hAnsi="Cambria Math"/>
                    </w:rPr>
                    <m:t>d</m:t>
                  </m:r>
                </m:e>
                <m:sub>
                  <m:r>
                    <w:rPr>
                      <w:rFonts w:ascii="Cambria Math" w:eastAsiaTheme="majorEastAsia" w:hAnsi="Cambria Math"/>
                    </w:rPr>
                    <m:t>t</m:t>
                  </m:r>
                </m:sub>
              </m:sSub>
            </m:oMath>
            <w:r w:rsidRPr="004643F8">
              <w:rPr>
                <w:rFonts w:asciiTheme="majorEastAsia" w:eastAsiaTheme="majorEastAsia" w:hAnsiTheme="majorEastAsia"/>
              </w:rPr>
              <w:t>，随服役时间单调递增</w:t>
            </w:r>
          </w:p>
        </w:tc>
      </w:tr>
      <w:tr w:rsidR="00E5759E" w:rsidRPr="004643F8" w14:paraId="78049150" w14:textId="77777777" w:rsidTr="00BF0BE1">
        <w:trPr>
          <w:trHeight w:val="346"/>
          <w:jc w:val="center"/>
        </w:trPr>
        <w:tc>
          <w:tcPr>
            <w:tcW w:w="1419" w:type="dxa"/>
            <w:hideMark/>
          </w:tcPr>
          <w:p w14:paraId="366F3FEA"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t>health 构造</w:t>
            </w:r>
          </w:p>
        </w:tc>
        <w:tc>
          <w:tcPr>
            <w:tcW w:w="6373" w:type="dxa"/>
            <w:hideMark/>
          </w:tcPr>
          <w:p w14:paraId="64F3CCCC" w14:textId="68302AFE" w:rsidR="00E5759E" w:rsidRPr="004643F8" w:rsidRDefault="00DD51F0" w:rsidP="0022698D">
            <w:pPr>
              <w:jc w:val="center"/>
              <w:rPr>
                <w:rFonts w:asciiTheme="majorEastAsia" w:eastAsiaTheme="majorEastAsia" w:hAnsiTheme="majorEastAsia"/>
              </w:rPr>
            </w:pPr>
            <m:oMath>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t</m:t>
                  </m:r>
                </m:sub>
              </m:sSub>
              <m:r>
                <w:rPr>
                  <w:rFonts w:ascii="Cambria Math" w:eastAsiaTheme="majorEastAsia" w:hAnsi="Cambria Math"/>
                </w:rPr>
                <m:t>=1-</m:t>
              </m:r>
              <m:sSub>
                <m:sSubPr>
                  <m:ctrlPr>
                    <w:rPr>
                      <w:rFonts w:ascii="Cambria Math" w:eastAsiaTheme="majorEastAsia" w:hAnsi="Cambria Math"/>
                      <w:i/>
                    </w:rPr>
                  </m:ctrlPr>
                </m:sSubPr>
                <m:e>
                  <m:r>
                    <w:rPr>
                      <w:rFonts w:ascii="Cambria Math" w:eastAsiaTheme="majorEastAsia" w:hAnsi="Cambria Math"/>
                    </w:rPr>
                    <m:t>normalized_depth</m:t>
                  </m:r>
                </m:e>
                <m:sub>
                  <m:r>
                    <w:rPr>
                      <w:rFonts w:ascii="Cambria Math" w:eastAsiaTheme="majorEastAsia" w:hAnsi="Cambria Math"/>
                    </w:rPr>
                    <m:t>t</m:t>
                  </m:r>
                </m:sub>
              </m:sSub>
            </m:oMath>
            <w:r w:rsidRPr="004643F8">
              <w:rPr>
                <w:rFonts w:asciiTheme="majorEastAsia" w:eastAsiaTheme="majorEastAsia" w:hAnsiTheme="majorEastAsia"/>
              </w:rPr>
              <w:t>，对齐“越大越健康”的统一方向</w:t>
            </w:r>
          </w:p>
        </w:tc>
      </w:tr>
      <w:tr w:rsidR="00E5759E" w:rsidRPr="004643F8" w14:paraId="4608C490" w14:textId="77777777" w:rsidTr="00BF0BE1">
        <w:trPr>
          <w:trHeight w:val="346"/>
          <w:jc w:val="center"/>
        </w:trPr>
        <w:tc>
          <w:tcPr>
            <w:tcW w:w="1419" w:type="dxa"/>
            <w:hideMark/>
          </w:tcPr>
          <w:p w14:paraId="624796C8"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t>EOL 定义</w:t>
            </w:r>
          </w:p>
        </w:tc>
        <w:tc>
          <w:tcPr>
            <w:tcW w:w="6373" w:type="dxa"/>
            <w:hideMark/>
          </w:tcPr>
          <w:p w14:paraId="6F706612" w14:textId="5E4E08FE" w:rsidR="00E5759E" w:rsidRPr="004643F8" w:rsidRDefault="00E73A2C" w:rsidP="0022698D">
            <w:pPr>
              <w:widowControl/>
              <w:spacing w:line="375" w:lineRule="atLeast"/>
              <w:jc w:val="center"/>
              <w:rPr>
                <w:rFonts w:asciiTheme="majorEastAsia" w:eastAsiaTheme="majorEastAsia" w:hAnsiTheme="majorEastAsia" w:cs="Segoe UI" w:hint="eastAsia"/>
                <w:sz w:val="23"/>
                <w:szCs w:val="23"/>
              </w:rPr>
            </w:pPr>
            <w:r w:rsidRPr="004643F8">
              <w:rPr>
                <w:rFonts w:asciiTheme="majorEastAsia" w:eastAsiaTheme="majorEastAsia" w:hAnsiTheme="majorEastAsia" w:cs="Segoe UI"/>
                <w:sz w:val="23"/>
                <w:szCs w:val="23"/>
              </w:rPr>
              <w:t>每条轨迹的最终观测时刻作为寿命终点 </w:t>
            </w:r>
            <m:oMath>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oMath>
          </w:p>
        </w:tc>
      </w:tr>
      <w:tr w:rsidR="00E5759E" w:rsidRPr="004643F8" w14:paraId="54483D6F" w14:textId="77777777" w:rsidTr="00BF0BE1">
        <w:trPr>
          <w:trHeight w:val="439"/>
          <w:jc w:val="center"/>
        </w:trPr>
        <w:tc>
          <w:tcPr>
            <w:tcW w:w="1419" w:type="dxa"/>
            <w:hideMark/>
          </w:tcPr>
          <w:p w14:paraId="5969A440"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lastRenderedPageBreak/>
              <w:t>RUL 标签</w:t>
            </w:r>
          </w:p>
        </w:tc>
        <w:tc>
          <w:tcPr>
            <w:tcW w:w="6373" w:type="dxa"/>
            <w:hideMark/>
          </w:tcPr>
          <w:p w14:paraId="44CF0038" w14:textId="7807F3E4" w:rsidR="00E5759E" w:rsidRPr="004643F8" w:rsidRDefault="00E5759E" w:rsidP="0022698D">
            <w:pPr>
              <w:widowControl/>
              <w:spacing w:line="375" w:lineRule="atLeast"/>
              <w:jc w:val="center"/>
              <w:rPr>
                <w:rFonts w:asciiTheme="majorEastAsia" w:eastAsiaTheme="majorEastAsia" w:hAnsiTheme="majorEastAsia"/>
              </w:rPr>
            </w:pPr>
            <m:oMath>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r>
                <w:rPr>
                  <w:rFonts w:ascii="Cambria Math" w:eastAsiaTheme="majorEastAsia" w:hAnsi="Cambria Math"/>
                </w:rPr>
                <m:t>-t</m:t>
              </m:r>
            </m:oMath>
            <w:r w:rsidRPr="004643F8">
              <w:rPr>
                <w:rFonts w:asciiTheme="majorEastAsia" w:eastAsiaTheme="majorEastAsia" w:hAnsiTheme="majorEastAsia" w:hint="eastAsia"/>
              </w:rPr>
              <w:t>，</w:t>
            </w:r>
            <w:r w:rsidRPr="004643F8">
              <w:rPr>
                <w:rFonts w:asciiTheme="majorEastAsia" w:eastAsiaTheme="majorEastAsia" w:hAnsiTheme="majorEastAsia"/>
              </w:rPr>
              <w:t>以离散观测步数为单位</w:t>
            </w:r>
          </w:p>
        </w:tc>
      </w:tr>
      <w:tr w:rsidR="00E5759E" w:rsidRPr="004643F8" w14:paraId="3FED0891" w14:textId="77777777" w:rsidTr="00BF0BE1">
        <w:trPr>
          <w:trHeight w:val="248"/>
          <w:jc w:val="center"/>
        </w:trPr>
        <w:tc>
          <w:tcPr>
            <w:tcW w:w="1419" w:type="dxa"/>
            <w:hideMark/>
          </w:tcPr>
          <w:p w14:paraId="7269A409"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t>数据规模</w:t>
            </w:r>
          </w:p>
        </w:tc>
        <w:tc>
          <w:tcPr>
            <w:tcW w:w="6373" w:type="dxa"/>
            <w:hideMark/>
          </w:tcPr>
          <w:p w14:paraId="59C6EFDE"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t>200 条多轨迹完整退化数据，每条含唯一 ID 与 SHA-256 校验</w:t>
            </w:r>
          </w:p>
        </w:tc>
      </w:tr>
      <w:tr w:rsidR="00E5759E" w:rsidRPr="004643F8" w14:paraId="104F197F" w14:textId="77777777" w:rsidTr="00BF0BE1">
        <w:trPr>
          <w:trHeight w:val="209"/>
          <w:jc w:val="center"/>
        </w:trPr>
        <w:tc>
          <w:tcPr>
            <w:tcW w:w="1419" w:type="dxa"/>
            <w:hideMark/>
          </w:tcPr>
          <w:p w14:paraId="036E7241"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t>切分策略</w:t>
            </w:r>
          </w:p>
        </w:tc>
        <w:tc>
          <w:tcPr>
            <w:tcW w:w="6373" w:type="dxa"/>
            <w:hideMark/>
          </w:tcPr>
          <w:p w14:paraId="3F21D758"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t>trajectory 级别随机划分，严防同一轨迹跨 splits 的信息泄露</w:t>
            </w:r>
          </w:p>
        </w:tc>
      </w:tr>
      <w:tr w:rsidR="00E5759E" w:rsidRPr="004643F8" w14:paraId="15145D07" w14:textId="77777777" w:rsidTr="00BF0BE1">
        <w:trPr>
          <w:trHeight w:val="172"/>
          <w:jc w:val="center"/>
        </w:trPr>
        <w:tc>
          <w:tcPr>
            <w:tcW w:w="1419" w:type="dxa"/>
            <w:hideMark/>
          </w:tcPr>
          <w:p w14:paraId="4591DE66"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t>质量门控</w:t>
            </w:r>
          </w:p>
        </w:tc>
        <w:tc>
          <w:tcPr>
            <w:tcW w:w="6373" w:type="dxa"/>
            <w:hideMark/>
          </w:tcPr>
          <w:p w14:paraId="080DD0EA" w14:textId="77777777" w:rsidR="00E5759E" w:rsidRPr="004643F8" w:rsidRDefault="00E5759E" w:rsidP="0022698D">
            <w:pPr>
              <w:jc w:val="center"/>
              <w:rPr>
                <w:rFonts w:asciiTheme="majorEastAsia" w:eastAsiaTheme="majorEastAsia" w:hAnsiTheme="majorEastAsia"/>
              </w:rPr>
            </w:pPr>
            <w:r w:rsidRPr="004643F8">
              <w:rPr>
                <w:rFonts w:asciiTheme="majorEastAsia" w:eastAsiaTheme="majorEastAsia" w:hAnsiTheme="majorEastAsia"/>
              </w:rPr>
              <w:t>health-RUL 平均相关系数 0.9885，确认单调退化趋势清晰可用</w:t>
            </w:r>
          </w:p>
        </w:tc>
      </w:tr>
    </w:tbl>
    <w:p w14:paraId="04F0F064" w14:textId="77777777" w:rsidR="002774BE" w:rsidRPr="004643F8" w:rsidRDefault="002774BE" w:rsidP="002774BE">
      <w:pPr>
        <w:pStyle w:val="2"/>
        <w:rPr>
          <w:rFonts w:asciiTheme="majorEastAsia" w:eastAsiaTheme="majorEastAsia" w:hAnsiTheme="majorEastAsia"/>
          <w:b/>
          <w:bCs/>
        </w:rPr>
      </w:pPr>
      <w:r w:rsidRPr="004643F8">
        <w:rPr>
          <w:rFonts w:asciiTheme="majorEastAsia" w:eastAsiaTheme="majorEastAsia" w:hAnsiTheme="majorEastAsia"/>
          <w:b/>
          <w:bCs/>
        </w:rPr>
        <w:t>2.3 目标场景一：NASA电池长期衰减</w:t>
      </w:r>
    </w:p>
    <w:p w14:paraId="2A42DA09"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本场景选取NASA锂离子电池退化数据集作为第一个迁移目标域，用以验证源域预训练编码器在电化学退化系统中的泛化能力。电池作为航天器电源系统的核心组件，其在轨服役期间呈现“内阻逐步增加、可用容量持续下降”的典型退化特征，与喷嘴烧蚀的单调耗损机理同属渐进式退化范畴，是跨域迁移学习的适宜切入点。</w:t>
      </w:r>
      <w:r>
        <w:t xml:space="preserve"> [1, 2]</w:t>
      </w:r>
    </w:p>
    <w:p w14:paraId="61B35D77"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从电化学退化机理来看，锂离子电池在反复充放电循环过程中，负极表面固态电解质界面膜持续增厚、活性锂离子发生不可逆损失、电极材料微观结构逐渐劣化，这些内部物理化学演变共同表现为宏观可测的可用容量衰减与内阻增长。本数据集记录了四组电池（B0005、B0006、B0007、B0018）在循环老化试验中每一充放电周期的电压、电流、温度等多通道遥测参数，以及通过定期参考性能测试标定的健康状态（State of Health, SOH）基准值。</w:t>
      </w:r>
    </w:p>
    <w:p w14:paraId="39158209" w14:textId="6E6E9941"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SOH定义为当前可用容量与标称容量的比值，其值域为 </w:t>
      </w:r>
      <m:oMath>
        <m:d>
          <m:dPr>
            <m:sepChr m:val=","/>
            <m:endChr m:val="]"/>
            <m:ctrlPr>
              <w:rPr>
                <w:rFonts w:ascii="Cambria Math" w:eastAsiaTheme="majorEastAsia" w:hAnsi="Cambria Math"/>
              </w:rPr>
            </m:ctrlPr>
          </m:dPr>
          <m:e>
            <m:r>
              <w:rPr>
                <w:rFonts w:ascii="Cambria Math" w:eastAsiaTheme="majorEastAsia" w:hAnsi="Cambria Math"/>
              </w:rPr>
              <m:t>0</m:t>
            </m:r>
          </m:e>
          <m:e>
            <m:r>
              <w:rPr>
                <w:rFonts w:ascii="Cambria Math" w:eastAsiaTheme="majorEastAsia" w:hAnsi="Cambria Math"/>
              </w:rPr>
              <m:t>1</m:t>
            </m:r>
          </m:e>
        </m:d>
      </m:oMath>
      <w:r w:rsidRPr="004643F8">
        <w:rPr>
          <w:rFonts w:asciiTheme="majorEastAsia" w:eastAsiaTheme="majorEastAsia" w:hAnsiTheme="majorEastAsia"/>
        </w:rPr>
        <w:t>，随循环次数增加而单调递减。为与源域保持统一的退化语义方向，本方案直接将SOH作为电池健康信号：</w:t>
      </w:r>
    </w:p>
    <w:p w14:paraId="092A6B04" w14:textId="09CB3221" w:rsidR="002774BE" w:rsidRPr="004643F8" w:rsidRDefault="002774BE" w:rsidP="002774BE">
      <w:pPr>
        <w:rPr>
          <w:rFonts w:asciiTheme="majorEastAsia" w:eastAsiaTheme="majorEastAsia" w:hAnsiTheme="majorEastAsia"/>
        </w:rPr>
      </w:pPr>
      <m:oMathPara>
        <m:oMath>
          <m:sSubSup>
            <m:sSubSupPr>
              <m:ctrlPr>
                <w:rPr>
                  <w:rFonts w:ascii="Cambria Math" w:eastAsiaTheme="majorEastAsia" w:hAnsi="Cambria Math"/>
                </w:rPr>
              </m:ctrlPr>
            </m:sSubSupPr>
            <m:e>
              <m:r>
                <w:rPr>
                  <w:rFonts w:ascii="Cambria Math" w:eastAsiaTheme="majorEastAsia" w:hAnsi="Cambria Math"/>
                </w:rPr>
                <m:t>h</m:t>
              </m:r>
            </m:e>
            <m:sub>
              <m:r>
                <w:rPr>
                  <w:rFonts w:ascii="Cambria Math" w:eastAsiaTheme="majorEastAsia" w:hAnsi="Cambria Math"/>
                </w:rPr>
                <m:t>t</m:t>
              </m:r>
            </m:sub>
            <m:sup>
              <m:r>
                <m:rPr>
                  <m:nor/>
                </m:rPr>
                <w:rPr>
                  <w:rFonts w:asciiTheme="majorEastAsia" w:eastAsiaTheme="majorEastAsia" w:hAnsiTheme="majorEastAsia"/>
                </w:rPr>
                <m:t>(battery)</m:t>
              </m:r>
            </m:sup>
          </m:sSubSup>
          <m:r>
            <w:rPr>
              <w:rFonts w:ascii="Cambria Math" w:eastAsiaTheme="majorEastAsia" w:hAnsi="Cambria Math"/>
            </w:rPr>
            <m:t>=</m:t>
          </m:r>
          <m:sSub>
            <m:sSubPr>
              <m:ctrlPr>
                <w:rPr>
                  <w:rFonts w:ascii="Cambria Math" w:eastAsiaTheme="majorEastAsia" w:hAnsi="Cambria Math"/>
                </w:rPr>
              </m:ctrlPr>
            </m:sSubPr>
            <m:e>
              <m:r>
                <m:rPr>
                  <m:nor/>
                </m:rPr>
                <w:rPr>
                  <w:rFonts w:asciiTheme="majorEastAsia" w:eastAsiaTheme="majorEastAsia" w:hAnsiTheme="majorEastAsia"/>
                </w:rPr>
                <m:t>SOH</m:t>
              </m:r>
            </m:e>
            <m:sub>
              <m:r>
                <w:rPr>
                  <w:rFonts w:ascii="Cambria Math" w:eastAsiaTheme="majorEastAsia" w:hAnsi="Cambria Math"/>
                </w:rPr>
                <m:t>t</m:t>
              </m:r>
            </m:sub>
          </m:sSub>
          <m:r>
            <w:rPr>
              <w:rFonts w:ascii="Cambria Math" w:eastAsiaTheme="majorEastAsia" w:hAnsi="Cambria Math"/>
            </w:rPr>
            <m:t>=</m:t>
          </m:r>
          <m:f>
            <m:fPr>
              <m:ctrlPr>
                <w:rPr>
                  <w:rFonts w:ascii="Cambria Math" w:eastAsiaTheme="majorEastAsia" w:hAnsi="Cambria Math"/>
                </w:rPr>
              </m:ctrlPr>
            </m:fPr>
            <m:num>
              <m:sSub>
                <m:sSubPr>
                  <m:ctrlPr>
                    <w:rPr>
                      <w:rFonts w:ascii="Cambria Math" w:eastAsiaTheme="majorEastAsia" w:hAnsi="Cambria Math"/>
                    </w:rPr>
                  </m:ctrlPr>
                </m:sSubPr>
                <m:e>
                  <m:r>
                    <w:rPr>
                      <w:rFonts w:ascii="Cambria Math" w:eastAsiaTheme="majorEastAsia" w:hAnsi="Cambria Math"/>
                    </w:rPr>
                    <m:t>C</m:t>
                  </m:r>
                </m:e>
                <m:sub>
                  <m:r>
                    <w:rPr>
                      <w:rFonts w:ascii="Cambria Math" w:eastAsiaTheme="majorEastAsia" w:hAnsi="Cambria Math"/>
                    </w:rPr>
                    <m:t>t</m:t>
                  </m:r>
                </m:sub>
              </m:sSub>
            </m:num>
            <m:den>
              <m:sSub>
                <m:sSubPr>
                  <m:ctrlPr>
                    <w:rPr>
                      <w:rFonts w:ascii="Cambria Math" w:eastAsiaTheme="majorEastAsia" w:hAnsi="Cambria Math"/>
                    </w:rPr>
                  </m:ctrlPr>
                </m:sSubPr>
                <m:e>
                  <m:r>
                    <w:rPr>
                      <w:rFonts w:ascii="Cambria Math" w:eastAsiaTheme="majorEastAsia" w:hAnsi="Cambria Math"/>
                    </w:rPr>
                    <m:t>C</m:t>
                  </m:r>
                </m:e>
                <m:sub>
                  <m:r>
                    <m:rPr>
                      <m:nor/>
                    </m:rPr>
                    <w:rPr>
                      <w:rFonts w:asciiTheme="majorEastAsia" w:eastAsiaTheme="majorEastAsia" w:hAnsiTheme="majorEastAsia"/>
                    </w:rPr>
                    <m:t>nominal</m:t>
                  </m:r>
                </m:sub>
              </m:sSub>
            </m:den>
          </m:f>
        </m:oMath>
      </m:oMathPara>
    </w:p>
    <w:p w14:paraId="3B582077"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该定义天然满足“越大越健康”的统一方向约束，无需额外构造损伤指标后再行翻转。在此基础上，剩余寿命标签定义为：</w:t>
      </w:r>
    </w:p>
    <w:p w14:paraId="3EE24EEC" w14:textId="75AD5BD0" w:rsidR="002774BE" w:rsidRPr="004643F8" w:rsidRDefault="002774BE" w:rsidP="002774BE">
      <w:pPr>
        <w:rPr>
          <w:rFonts w:asciiTheme="majorEastAsia" w:eastAsiaTheme="majorEastAsia" w:hAnsiTheme="majorEastAsia"/>
        </w:rPr>
      </w:pPr>
      <m:oMathPara>
        <m:oMath>
          <m:sSubSup>
            <m:sSubSupPr>
              <m:ctrlPr>
                <w:rPr>
                  <w:rFonts w:ascii="Cambria Math" w:eastAsiaTheme="majorEastAsia" w:hAnsi="Cambria Math"/>
                </w:rPr>
              </m:ctrlPr>
            </m:sSubSupPr>
            <m:e>
              <m:r>
                <w:rPr>
                  <w:rFonts w:ascii="Cambria Math" w:eastAsiaTheme="majorEastAsia" w:hAnsi="Cambria Math"/>
                </w:rPr>
                <m:t>r</m:t>
              </m:r>
            </m:e>
            <m:sub>
              <m:r>
                <w:rPr>
                  <w:rFonts w:ascii="Cambria Math" w:eastAsiaTheme="majorEastAsia" w:hAnsi="Cambria Math"/>
                </w:rPr>
                <m:t>t</m:t>
              </m:r>
            </m:sub>
            <m:sup>
              <m:r>
                <m:rPr>
                  <m:nor/>
                </m:rPr>
                <w:rPr>
                  <w:rFonts w:asciiTheme="majorEastAsia" w:eastAsiaTheme="majorEastAsia" w:hAnsiTheme="majorEastAsia"/>
                </w:rPr>
                <m:t>(battery)</m:t>
              </m:r>
            </m:sup>
          </m:sSubSup>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r>
            <w:rPr>
              <w:rFonts w:ascii="Cambria Math" w:eastAsiaTheme="majorEastAsia" w:hAnsi="Cambria Math"/>
            </w:rPr>
            <m:t>-t</m:t>
          </m:r>
        </m:oMath>
      </m:oMathPara>
    </w:p>
    <w:p w14:paraId="0AFA7779" w14:textId="38808E01"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其中 </w:t>
      </w:r>
      <m:oMath>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oMath>
      <w:r w:rsidRPr="004643F8">
        <w:rPr>
          <w:rFonts w:asciiTheme="majorEastAsia" w:eastAsiaTheme="majorEastAsia" w:hAnsiTheme="majorEastAsia"/>
        </w:rPr>
        <w:t> 依据预设容量失效阈值确定——当 SOH 首次下降至标称容量的70%（即 </w:t>
      </w:r>
      <m:oMath>
        <m:sSub>
          <m:sSubPr>
            <m:ctrlPr>
              <w:rPr>
                <w:rFonts w:ascii="Cambria Math" w:eastAsiaTheme="majorEastAsia" w:hAnsi="Cambria Math"/>
              </w:rPr>
            </m:ctrlPr>
          </m:sSubPr>
          <m:e>
            <m:r>
              <w:rPr>
                <w:rFonts w:ascii="Cambria Math" w:eastAsiaTheme="majorEastAsia" w:hAnsi="Cambria Math"/>
              </w:rPr>
              <m:t>h</m:t>
            </m:r>
          </m:e>
          <m:sub>
            <m:r>
              <w:rPr>
                <w:rFonts w:ascii="Cambria Math" w:eastAsiaTheme="majorEastAsia" w:hAnsi="Cambria Math"/>
              </w:rPr>
              <m:t>t</m:t>
            </m:r>
          </m:sub>
        </m:sSub>
        <m:r>
          <w:rPr>
            <w:rFonts w:ascii="Cambria Math" w:eastAsiaTheme="majorEastAsia" w:hAnsi="Cambria Math"/>
          </w:rPr>
          <m:t>≤0.7</m:t>
        </m:r>
      </m:oMath>
      <w:r w:rsidRPr="004643F8">
        <w:rPr>
          <w:rFonts w:asciiTheme="majorEastAsia" w:eastAsiaTheme="majorEastAsia" w:hAnsiTheme="majorEastAsia"/>
        </w:rPr>
        <w:t>）时判定为寿命终点。</w:t>
      </w:r>
      <m:oMath>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oMath>
      <w:r w:rsidRPr="004643F8">
        <w:rPr>
          <w:rFonts w:asciiTheme="majorEastAsia" w:eastAsiaTheme="majorEastAsia" w:hAnsiTheme="majorEastAsia"/>
        </w:rPr>
        <w:t> 以剩余充放电循环次数为单位。需要说明的是，各电池样本的初始容量存在微小差异，因此在计算 SOH 时，标称容量 </w:t>
      </w:r>
      <m:oMath>
        <m:sSub>
          <m:sSubPr>
            <m:ctrlPr>
              <w:rPr>
                <w:rFonts w:ascii="Cambria Math" w:eastAsiaTheme="majorEastAsia" w:hAnsi="Cambria Math"/>
              </w:rPr>
            </m:ctrlPr>
          </m:sSubPr>
          <m:e>
            <m:r>
              <w:rPr>
                <w:rFonts w:ascii="Cambria Math" w:eastAsiaTheme="majorEastAsia" w:hAnsi="Cambria Math"/>
              </w:rPr>
              <m:t>C</m:t>
            </m:r>
          </m:e>
          <m:sub>
            <m:r>
              <m:rPr>
                <m:nor/>
              </m:rPr>
              <w:rPr>
                <w:rFonts w:asciiTheme="majorEastAsia" w:eastAsiaTheme="majorEastAsia" w:hAnsiTheme="majorEastAsia"/>
              </w:rPr>
              <m:t>nominal</m:t>
            </m:r>
          </m:sub>
        </m:sSub>
      </m:oMath>
      <w:r w:rsidRPr="004643F8">
        <w:rPr>
          <w:rFonts w:asciiTheme="majorEastAsia" w:eastAsiaTheme="majorEastAsia" w:hAnsiTheme="majorEastAsia"/>
        </w:rPr>
        <w:t> 取该样本首个循环的实测容量，该值在训练折内部确定，不引入测试折信息。</w:t>
      </w:r>
    </w:p>
    <w:p w14:paraId="45C6183A" w14:textId="52AB1E73"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数据组织方面，B0005、B0006、B0018 三条轨迹均完整经历了从全新状态至触碰失效阈值的全过程，作为 event-observed outer folds 纳入标准 RMSE 宏平均统计；B0007 则为 right-censored 诊断样本——该电池在试验终止时尚未触及70%容量阈值，真实 </w:t>
      </w:r>
      <m:oMath>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oMath>
      <w:r w:rsidRPr="004643F8">
        <w:rPr>
          <w:rFonts w:asciiTheme="majorEastAsia" w:eastAsiaTheme="majorEastAsia" w:hAnsiTheme="majorEastAsia"/>
        </w:rPr>
        <w:t> 未知，故不参与精确 RMSE 数值计算，仅作为定性趋势验证样本辅助分析。这一处理方式符合工程实际中“部分在轨组件尚未失效”的右删失观测情境，也为后续讨论模型在删失数据下的行为提供了参照。</w:t>
      </w:r>
    </w:p>
    <w:p w14:paraId="5B9C368B" w14:textId="5A26E03B"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防泄漏机制严格对标源域标准：目标域标签的尺度参数仅由每一微调单元内的训练折独立估计并固化；验证折与测试折的标签值、各自轨迹的 </w:t>
      </w:r>
      <m:oMath>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oMath>
      <w:r w:rsidRPr="004643F8">
        <w:rPr>
          <w:rFonts w:asciiTheme="majorEastAsia" w:eastAsiaTheme="majorEastAsia" w:hAnsiTheme="majorEastAsia"/>
        </w:rPr>
        <w:t> 位置以及全寿命周期的 min/max 极值，均不参与归一化 scaler 的参数拟合、adapter 模块的适应性调整、趋势先验的筛选比较以及 early stopping 的判定依据。所有预处理参数的生命周期严格限定于训练侧可见的数据范围之内。</w:t>
      </w:r>
    </w:p>
    <w:p w14:paraId="12E56BA9"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方向一致性检查方面，按严格协议计算各电池轨迹中 health 与 RUL 的 Pearson 相关系数，平均值为 0.9350，确认目标域电池数据具备清晰可辨的单调退化趋势结构，具备承接源域迁移知识的良好基础。</w:t>
      </w:r>
    </w:p>
    <w:p w14:paraId="065FDADC"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综上，目标场景一的关键要素汇总如下：</w:t>
      </w:r>
    </w:p>
    <w:p w14:paraId="0FDF2A0A" w14:textId="49D709D4" w:rsidR="00105EC7" w:rsidRPr="004643F8" w:rsidRDefault="00105EC7" w:rsidP="002774BE">
      <w:pPr>
        <w:rPr>
          <w:rFonts w:asciiTheme="majorEastAsia" w:eastAsiaTheme="majorEastAsia" w:hAnsiTheme="majorEastAsia" w:hint="eastAsia"/>
        </w:rPr>
      </w:pPr>
      <w:r w:rsidRPr="004643F8">
        <w:rPr>
          <w:rFonts w:asciiTheme="majorEastAsia" w:eastAsiaTheme="majorEastAsia" w:hAnsiTheme="majorEastAsia" w:hint="eastAsia"/>
        </w:rPr>
        <w:t xml:space="preserve">表4 </w:t>
      </w:r>
      <w:r w:rsidRPr="004643F8">
        <w:rPr>
          <w:rFonts w:asciiTheme="majorEastAsia" w:eastAsiaTheme="majorEastAsia" w:hAnsiTheme="majorEastAsia"/>
        </w:rPr>
        <w:t>目标场景一——电池退化数据要素汇总表</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4"/>
        <w:gridCol w:w="6733"/>
      </w:tblGrid>
      <w:tr w:rsidR="002774BE" w:rsidRPr="004643F8" w14:paraId="679DE326" w14:textId="77777777" w:rsidTr="002774BE">
        <w:trPr>
          <w:trHeight w:val="272"/>
          <w:tblHeader/>
        </w:trPr>
        <w:tc>
          <w:tcPr>
            <w:tcW w:w="0" w:type="auto"/>
            <w:tcMar>
              <w:top w:w="150" w:type="dxa"/>
              <w:left w:w="0" w:type="dxa"/>
              <w:bottom w:w="150" w:type="dxa"/>
              <w:right w:w="240" w:type="dxa"/>
            </w:tcMar>
            <w:vAlign w:val="center"/>
            <w:hideMark/>
          </w:tcPr>
          <w:p w14:paraId="265BE0B2"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lastRenderedPageBreak/>
              <w:t>要素</w:t>
            </w:r>
          </w:p>
        </w:tc>
        <w:tc>
          <w:tcPr>
            <w:tcW w:w="6733" w:type="dxa"/>
            <w:tcMar>
              <w:top w:w="150" w:type="dxa"/>
              <w:left w:w="240" w:type="dxa"/>
              <w:bottom w:w="150" w:type="dxa"/>
              <w:right w:w="240" w:type="dxa"/>
            </w:tcMar>
            <w:vAlign w:val="center"/>
            <w:hideMark/>
          </w:tcPr>
          <w:p w14:paraId="2DC7DE0A"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说明</w:t>
            </w:r>
          </w:p>
        </w:tc>
      </w:tr>
      <w:tr w:rsidR="002774BE" w:rsidRPr="004643F8" w14:paraId="29E65452" w14:textId="77777777" w:rsidTr="002774BE">
        <w:trPr>
          <w:trHeight w:val="272"/>
        </w:trPr>
        <w:tc>
          <w:tcPr>
            <w:tcW w:w="0" w:type="auto"/>
            <w:tcMar>
              <w:top w:w="150" w:type="dxa"/>
              <w:left w:w="0" w:type="dxa"/>
              <w:bottom w:w="150" w:type="dxa"/>
              <w:right w:w="240" w:type="dxa"/>
            </w:tcMar>
            <w:vAlign w:val="center"/>
            <w:hideMark/>
          </w:tcPr>
          <w:p w14:paraId="2F200784"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退化机理</w:t>
            </w:r>
          </w:p>
        </w:tc>
        <w:tc>
          <w:tcPr>
            <w:tcW w:w="6733" w:type="dxa"/>
            <w:tcMar>
              <w:top w:w="150" w:type="dxa"/>
              <w:left w:w="240" w:type="dxa"/>
              <w:bottom w:w="150" w:type="dxa"/>
              <w:right w:w="0" w:type="dxa"/>
            </w:tcMar>
            <w:vAlign w:val="center"/>
            <w:hideMark/>
          </w:tcPr>
          <w:p w14:paraId="7ACD1D34"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循环充放电中 SEI 膜增厚、活性锂损失、电极材料劣化，表现为容量衰减与内阻增长</w:t>
            </w:r>
          </w:p>
        </w:tc>
      </w:tr>
      <w:tr w:rsidR="002774BE" w:rsidRPr="004643F8" w14:paraId="6F996475" w14:textId="77777777" w:rsidTr="002774BE">
        <w:trPr>
          <w:trHeight w:val="272"/>
        </w:trPr>
        <w:tc>
          <w:tcPr>
            <w:tcW w:w="0" w:type="auto"/>
            <w:tcMar>
              <w:top w:w="150" w:type="dxa"/>
              <w:left w:w="0" w:type="dxa"/>
              <w:bottom w:w="150" w:type="dxa"/>
              <w:right w:w="240" w:type="dxa"/>
            </w:tcMar>
            <w:vAlign w:val="center"/>
            <w:hideMark/>
          </w:tcPr>
          <w:p w14:paraId="043D8E28"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原始观测量</w:t>
            </w:r>
          </w:p>
        </w:tc>
        <w:tc>
          <w:tcPr>
            <w:tcW w:w="6733" w:type="dxa"/>
            <w:tcMar>
              <w:top w:w="150" w:type="dxa"/>
              <w:left w:w="240" w:type="dxa"/>
              <w:bottom w:w="150" w:type="dxa"/>
              <w:right w:w="0" w:type="dxa"/>
            </w:tcMar>
            <w:vAlign w:val="center"/>
            <w:hideMark/>
          </w:tcPr>
          <w:p w14:paraId="48834921"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电压、电流、温度等循环遥测，以及参考性能测试标定的 SOH 基准值</w:t>
            </w:r>
          </w:p>
        </w:tc>
      </w:tr>
      <w:tr w:rsidR="002774BE" w:rsidRPr="004643F8" w14:paraId="3A2784DE" w14:textId="77777777" w:rsidTr="002774BE">
        <w:trPr>
          <w:trHeight w:val="272"/>
        </w:trPr>
        <w:tc>
          <w:tcPr>
            <w:tcW w:w="0" w:type="auto"/>
            <w:tcMar>
              <w:top w:w="150" w:type="dxa"/>
              <w:left w:w="0" w:type="dxa"/>
              <w:bottom w:w="150" w:type="dxa"/>
              <w:right w:w="240" w:type="dxa"/>
            </w:tcMar>
            <w:vAlign w:val="center"/>
            <w:hideMark/>
          </w:tcPr>
          <w:p w14:paraId="6AAFC4CD"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health 构造</w:t>
            </w:r>
          </w:p>
        </w:tc>
        <w:tc>
          <w:tcPr>
            <w:tcW w:w="6733" w:type="dxa"/>
            <w:tcMar>
              <w:top w:w="150" w:type="dxa"/>
              <w:left w:w="240" w:type="dxa"/>
              <w:bottom w:w="150" w:type="dxa"/>
              <w:right w:w="0" w:type="dxa"/>
            </w:tcMar>
            <w:vAlign w:val="center"/>
            <w:hideMark/>
          </w:tcPr>
          <w:p w14:paraId="741DE6AE" w14:textId="3C6B4AD8" w:rsidR="002774BE" w:rsidRPr="004643F8" w:rsidRDefault="002774BE" w:rsidP="002774BE">
            <w:pPr>
              <w:rPr>
                <w:rFonts w:asciiTheme="majorEastAsia" w:eastAsiaTheme="majorEastAsia" w:hAnsiTheme="majorEastAsia"/>
              </w:rPr>
            </w:pPr>
            <m:oMath>
              <m:sSub>
                <m:sSubPr>
                  <m:ctrlPr>
                    <w:rPr>
                      <w:rFonts w:ascii="Cambria Math" w:eastAsiaTheme="majorEastAsia" w:hAnsi="Cambria Math"/>
                    </w:rPr>
                  </m:ctrlPr>
                </m:sSubPr>
                <m:e>
                  <m:r>
                    <w:rPr>
                      <w:rFonts w:ascii="Cambria Math" w:eastAsiaTheme="majorEastAsia" w:hAnsi="Cambria Math"/>
                    </w:rPr>
                    <m:t>h</m:t>
                  </m:r>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rPr>
                  </m:ctrlPr>
                </m:sSubPr>
                <m:e>
                  <m:r>
                    <m:rPr>
                      <m:nor/>
                    </m:rPr>
                    <w:rPr>
                      <w:rFonts w:asciiTheme="majorEastAsia" w:eastAsiaTheme="majorEastAsia" w:hAnsiTheme="majorEastAsia"/>
                    </w:rPr>
                    <m:t>SOH</m:t>
                  </m:r>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C</m:t>
                  </m:r>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C</m:t>
                  </m:r>
                </m:e>
                <m:sub>
                  <m:r>
                    <m:rPr>
                      <m:nor/>
                    </m:rPr>
                    <w:rPr>
                      <w:rFonts w:asciiTheme="majorEastAsia" w:eastAsiaTheme="majorEastAsia" w:hAnsiTheme="majorEastAsia"/>
                    </w:rPr>
                    <m:t>nominal</m:t>
                  </m:r>
                </m:sub>
              </m:sSub>
            </m:oMath>
            <w:r w:rsidRPr="004643F8">
              <w:rPr>
                <w:rFonts w:asciiTheme="majorEastAsia" w:eastAsiaTheme="majorEastAsia" w:hAnsiTheme="majorEastAsia"/>
              </w:rPr>
              <w:t>，天然满足“越大越健康”统一方向</w:t>
            </w:r>
          </w:p>
        </w:tc>
      </w:tr>
      <w:tr w:rsidR="002774BE" w:rsidRPr="004643F8" w14:paraId="6565A932" w14:textId="77777777" w:rsidTr="002774BE">
        <w:trPr>
          <w:trHeight w:val="272"/>
        </w:trPr>
        <w:tc>
          <w:tcPr>
            <w:tcW w:w="0" w:type="auto"/>
            <w:tcMar>
              <w:top w:w="150" w:type="dxa"/>
              <w:left w:w="0" w:type="dxa"/>
              <w:bottom w:w="150" w:type="dxa"/>
              <w:right w:w="240" w:type="dxa"/>
            </w:tcMar>
            <w:vAlign w:val="center"/>
            <w:hideMark/>
          </w:tcPr>
          <w:p w14:paraId="1921029B"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EOL 定义</w:t>
            </w:r>
          </w:p>
        </w:tc>
        <w:tc>
          <w:tcPr>
            <w:tcW w:w="6733" w:type="dxa"/>
            <w:tcMar>
              <w:top w:w="150" w:type="dxa"/>
              <w:left w:w="240" w:type="dxa"/>
              <w:bottom w:w="150" w:type="dxa"/>
              <w:right w:w="0" w:type="dxa"/>
            </w:tcMar>
            <w:vAlign w:val="center"/>
            <w:hideMark/>
          </w:tcPr>
          <w:p w14:paraId="226DB280" w14:textId="17662721"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SOH 首次下降至标称容量 70% 的时刻（</w:t>
            </w:r>
            <m:oMath>
              <m:sSub>
                <m:sSubPr>
                  <m:ctrlPr>
                    <w:rPr>
                      <w:rFonts w:ascii="Cambria Math" w:eastAsiaTheme="majorEastAsia" w:hAnsi="Cambria Math"/>
                    </w:rPr>
                  </m:ctrlPr>
                </m:sSubPr>
                <m:e>
                  <m:r>
                    <w:rPr>
                      <w:rFonts w:ascii="Cambria Math" w:eastAsiaTheme="majorEastAsia" w:hAnsi="Cambria Math"/>
                    </w:rPr>
                    <m:t>h</m:t>
                  </m:r>
                </m:e>
                <m:sub>
                  <m:r>
                    <w:rPr>
                      <w:rFonts w:ascii="Cambria Math" w:eastAsiaTheme="majorEastAsia" w:hAnsi="Cambria Math"/>
                    </w:rPr>
                    <m:t>t</m:t>
                  </m:r>
                </m:sub>
              </m:sSub>
              <m:r>
                <w:rPr>
                  <w:rFonts w:ascii="Cambria Math" w:eastAsiaTheme="majorEastAsia" w:hAnsi="Cambria Math"/>
                </w:rPr>
                <m:t>≤0.7</m:t>
              </m:r>
            </m:oMath>
            <w:r w:rsidRPr="004643F8">
              <w:rPr>
                <w:rFonts w:asciiTheme="majorEastAsia" w:eastAsiaTheme="majorEastAsia" w:hAnsiTheme="majorEastAsia"/>
              </w:rPr>
              <w:t>）</w:t>
            </w:r>
          </w:p>
        </w:tc>
      </w:tr>
      <w:tr w:rsidR="002774BE" w:rsidRPr="004643F8" w14:paraId="43D47690" w14:textId="77777777" w:rsidTr="002774BE">
        <w:trPr>
          <w:trHeight w:val="272"/>
        </w:trPr>
        <w:tc>
          <w:tcPr>
            <w:tcW w:w="0" w:type="auto"/>
            <w:tcMar>
              <w:top w:w="150" w:type="dxa"/>
              <w:left w:w="0" w:type="dxa"/>
              <w:bottom w:w="150" w:type="dxa"/>
              <w:right w:w="240" w:type="dxa"/>
            </w:tcMar>
            <w:vAlign w:val="center"/>
            <w:hideMark/>
          </w:tcPr>
          <w:p w14:paraId="0818D50F"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RUL 标签</w:t>
            </w:r>
          </w:p>
        </w:tc>
        <w:tc>
          <w:tcPr>
            <w:tcW w:w="6733" w:type="dxa"/>
            <w:tcMar>
              <w:top w:w="150" w:type="dxa"/>
              <w:left w:w="240" w:type="dxa"/>
              <w:bottom w:w="150" w:type="dxa"/>
              <w:right w:w="0" w:type="dxa"/>
            </w:tcMar>
            <w:vAlign w:val="center"/>
            <w:hideMark/>
          </w:tcPr>
          <w:p w14:paraId="3BB25786" w14:textId="587D214D" w:rsidR="002774BE" w:rsidRPr="004643F8" w:rsidRDefault="002774BE" w:rsidP="002774BE">
            <w:pPr>
              <w:rPr>
                <w:rFonts w:asciiTheme="majorEastAsia" w:eastAsiaTheme="majorEastAsia" w:hAnsiTheme="majorEastAsia"/>
              </w:rPr>
            </w:pPr>
            <m:oMath>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r>
                <w:rPr>
                  <w:rFonts w:ascii="Cambria Math" w:eastAsiaTheme="majorEastAsia" w:hAnsi="Cambria Math"/>
                </w:rPr>
                <m:t>-t</m:t>
              </m:r>
            </m:oMath>
            <w:r w:rsidRPr="004643F8">
              <w:rPr>
                <w:rFonts w:asciiTheme="majorEastAsia" w:eastAsiaTheme="majorEastAsia" w:hAnsiTheme="majorEastAsia"/>
              </w:rPr>
              <w:t>，以剩余循环次数为单位</w:t>
            </w:r>
          </w:p>
        </w:tc>
      </w:tr>
      <w:tr w:rsidR="002774BE" w:rsidRPr="004643F8" w14:paraId="06F78FE7" w14:textId="77777777" w:rsidTr="002774BE">
        <w:trPr>
          <w:trHeight w:val="272"/>
        </w:trPr>
        <w:tc>
          <w:tcPr>
            <w:tcW w:w="0" w:type="auto"/>
            <w:tcMar>
              <w:top w:w="150" w:type="dxa"/>
              <w:left w:w="0" w:type="dxa"/>
              <w:bottom w:w="150" w:type="dxa"/>
              <w:right w:w="240" w:type="dxa"/>
            </w:tcMar>
            <w:vAlign w:val="center"/>
            <w:hideMark/>
          </w:tcPr>
          <w:p w14:paraId="48D545B5"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数据规模</w:t>
            </w:r>
          </w:p>
        </w:tc>
        <w:tc>
          <w:tcPr>
            <w:tcW w:w="6733" w:type="dxa"/>
            <w:tcMar>
              <w:top w:w="150" w:type="dxa"/>
              <w:left w:w="240" w:type="dxa"/>
              <w:bottom w:w="150" w:type="dxa"/>
              <w:right w:w="0" w:type="dxa"/>
            </w:tcMar>
            <w:vAlign w:val="center"/>
            <w:hideMark/>
          </w:tcPr>
          <w:p w14:paraId="38E010F6"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4 组电池轨迹：B0005、B0006、B0018（完整事件观测），B0007（右删失）</w:t>
            </w:r>
          </w:p>
        </w:tc>
      </w:tr>
      <w:tr w:rsidR="002774BE" w:rsidRPr="004643F8" w14:paraId="45E79F28" w14:textId="77777777" w:rsidTr="002774BE">
        <w:trPr>
          <w:trHeight w:val="272"/>
        </w:trPr>
        <w:tc>
          <w:tcPr>
            <w:tcW w:w="0" w:type="auto"/>
            <w:tcMar>
              <w:top w:w="150" w:type="dxa"/>
              <w:left w:w="0" w:type="dxa"/>
              <w:bottom w:w="150" w:type="dxa"/>
              <w:right w:w="240" w:type="dxa"/>
            </w:tcMar>
            <w:vAlign w:val="center"/>
            <w:hideMark/>
          </w:tcPr>
          <w:p w14:paraId="62583EEC"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特殊样本处理</w:t>
            </w:r>
          </w:p>
        </w:tc>
        <w:tc>
          <w:tcPr>
            <w:tcW w:w="6733" w:type="dxa"/>
            <w:tcMar>
              <w:top w:w="150" w:type="dxa"/>
              <w:left w:w="240" w:type="dxa"/>
              <w:bottom w:w="150" w:type="dxa"/>
              <w:right w:w="0" w:type="dxa"/>
            </w:tcMar>
            <w:vAlign w:val="center"/>
            <w:hideMark/>
          </w:tcPr>
          <w:p w14:paraId="6E72D1CD"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B0007 不纳入精确 RMSE 宏平均，仅作定性趋势验证</w:t>
            </w:r>
          </w:p>
        </w:tc>
      </w:tr>
      <w:tr w:rsidR="002774BE" w:rsidRPr="004643F8" w14:paraId="37CA5E57" w14:textId="77777777" w:rsidTr="002774BE">
        <w:trPr>
          <w:trHeight w:val="272"/>
        </w:trPr>
        <w:tc>
          <w:tcPr>
            <w:tcW w:w="0" w:type="auto"/>
            <w:tcMar>
              <w:top w:w="150" w:type="dxa"/>
              <w:left w:w="0" w:type="dxa"/>
              <w:bottom w:w="150" w:type="dxa"/>
              <w:right w:w="240" w:type="dxa"/>
            </w:tcMar>
            <w:vAlign w:val="center"/>
            <w:hideMark/>
          </w:tcPr>
          <w:p w14:paraId="61D19AC5"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防泄漏策略</w:t>
            </w:r>
          </w:p>
        </w:tc>
        <w:tc>
          <w:tcPr>
            <w:tcW w:w="6733" w:type="dxa"/>
            <w:tcMar>
              <w:top w:w="150" w:type="dxa"/>
              <w:left w:w="240" w:type="dxa"/>
              <w:bottom w:w="150" w:type="dxa"/>
              <w:right w:w="0" w:type="dxa"/>
            </w:tcMar>
            <w:vAlign w:val="center"/>
            <w:hideMark/>
          </w:tcPr>
          <w:p w14:paraId="412B5E38"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目标域尺度参数、EOL 位置、全寿命极值均仅在训练折内确定，测试折全程不可见</w:t>
            </w:r>
          </w:p>
        </w:tc>
      </w:tr>
      <w:tr w:rsidR="002774BE" w:rsidRPr="004643F8" w14:paraId="50E278B4" w14:textId="77777777" w:rsidTr="002774BE">
        <w:trPr>
          <w:trHeight w:val="272"/>
        </w:trPr>
        <w:tc>
          <w:tcPr>
            <w:tcW w:w="0" w:type="auto"/>
            <w:tcMar>
              <w:top w:w="150" w:type="dxa"/>
              <w:left w:w="0" w:type="dxa"/>
              <w:bottom w:w="150" w:type="dxa"/>
              <w:right w:w="240" w:type="dxa"/>
            </w:tcMar>
            <w:vAlign w:val="center"/>
            <w:hideMark/>
          </w:tcPr>
          <w:p w14:paraId="6991FAD5"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质量门控</w:t>
            </w:r>
          </w:p>
        </w:tc>
        <w:tc>
          <w:tcPr>
            <w:tcW w:w="6733" w:type="dxa"/>
            <w:tcMar>
              <w:top w:w="150" w:type="dxa"/>
              <w:left w:w="240" w:type="dxa"/>
              <w:bottom w:w="150" w:type="dxa"/>
              <w:right w:w="0" w:type="dxa"/>
            </w:tcMar>
            <w:vAlign w:val="center"/>
            <w:hideMark/>
          </w:tcPr>
          <w:p w14:paraId="2050A54F" w14:textId="77777777" w:rsidR="002774BE" w:rsidRPr="004643F8" w:rsidRDefault="002774BE" w:rsidP="002774BE">
            <w:pPr>
              <w:rPr>
                <w:rFonts w:asciiTheme="majorEastAsia" w:eastAsiaTheme="majorEastAsia" w:hAnsiTheme="majorEastAsia"/>
              </w:rPr>
            </w:pPr>
            <w:r w:rsidRPr="004643F8">
              <w:rPr>
                <w:rFonts w:asciiTheme="majorEastAsia" w:eastAsiaTheme="majorEastAsia" w:hAnsiTheme="majorEastAsia"/>
              </w:rPr>
              <w:t>health-RUL 平均相关系数 0.9350，单调退化结构清晰</w:t>
            </w:r>
          </w:p>
        </w:tc>
      </w:tr>
    </w:tbl>
    <w:p w14:paraId="5D9E2E54" w14:textId="77777777" w:rsidR="002774BE" w:rsidRPr="004643F8" w:rsidRDefault="002774BE" w:rsidP="000F75BD">
      <w:pPr>
        <w:rPr>
          <w:rFonts w:asciiTheme="majorEastAsia" w:eastAsiaTheme="majorEastAsia" w:hAnsiTheme="majorEastAsia"/>
          <w:b/>
          <w:bCs/>
        </w:rPr>
      </w:pPr>
    </w:p>
    <w:p w14:paraId="6E1D3668" w14:textId="27AE1D13" w:rsidR="000F75BD" w:rsidRPr="004643F8" w:rsidRDefault="000F75BD" w:rsidP="000F75BD">
      <w:pPr>
        <w:pStyle w:val="2"/>
        <w:rPr>
          <w:rFonts w:asciiTheme="majorEastAsia" w:eastAsiaTheme="majorEastAsia" w:hAnsiTheme="majorEastAsia"/>
        </w:rPr>
      </w:pPr>
      <w:r w:rsidRPr="004643F8">
        <w:rPr>
          <w:rFonts w:asciiTheme="majorEastAsia" w:eastAsiaTheme="majorEastAsia" w:hAnsiTheme="majorEastAsia"/>
          <w:b/>
          <w:bCs/>
        </w:rPr>
        <w:t>2.4 目标场景二：反作用轮长期机械退化</w:t>
      </w:r>
    </w:p>
    <w:p w14:paraId="71BD1F3A" w14:textId="77777777" w:rsidR="000F75BD" w:rsidRPr="004643F8" w:rsidRDefault="000F75BD" w:rsidP="000F75BD">
      <w:pPr>
        <w:rPr>
          <w:rFonts w:asciiTheme="majorEastAsia" w:eastAsiaTheme="majorEastAsia" w:hAnsiTheme="majorEastAsia"/>
        </w:rPr>
      </w:pPr>
      <w:r w:rsidRPr="004643F8">
        <w:rPr>
          <w:rFonts w:asciiTheme="majorEastAsia" w:eastAsiaTheme="majorEastAsia" w:hAnsiTheme="majorEastAsia"/>
        </w:rPr>
        <w:t>反作用轮作为航天器姿态控制系统的关键执行部件，其在轨长期运行中面临的主要退化模式为轴承润滑剂损耗与滚动接触面微动磨损，两者共同表现为轴系摩擦力矩的渐进性增加。摩擦力矩上升直接导致电机电流异常、转速波动加剧以及组件温度场漂移，这些遥测量均可被星上传感器连续捕获，构成退化状态推断的信息基础。本场景选取反作用轮作为第二个迁移目标域，旨在验证源域预训练编码器在面对具有不同退化速率与信号特征谱的机械旋转部件时的迁移适配效果。</w:t>
      </w:r>
    </w:p>
    <w:p w14:paraId="7F63E030" w14:textId="77777777" w:rsidR="000F75BD" w:rsidRPr="004643F8" w:rsidRDefault="000F75BD" w:rsidP="000F75BD">
      <w:pPr>
        <w:rPr>
          <w:rFonts w:asciiTheme="majorEastAsia" w:eastAsiaTheme="majorEastAsia" w:hAnsiTheme="majorEastAsia"/>
        </w:rPr>
      </w:pPr>
      <w:r w:rsidRPr="004643F8">
        <w:rPr>
          <w:rFonts w:asciiTheme="majorEastAsia" w:eastAsiaTheme="majorEastAsia" w:hAnsiTheme="majorEastAsia"/>
        </w:rPr>
        <w:t>由于真实在轨反作用轮遥测数据获取困难且缺乏全生命周期退化记录，项目自主构建了反作用轮长期机械退化的高保真退化模拟数据集。该模拟依据轴承润滑状态随时间恶化的物理模型，通过参数化退化进程驱动转速、温度、电流等多通道时序信号产生符合工程认知的渐进变化——健康阶段各通道保持稳定基线，退化阶段摩擦信号逐步抬升且波动加剧，直至触碰预设失效阈值，从而完整覆盖从全新至寿命终结的全过程退化轨迹。该批数据共生成五条独立轨迹，模拟不同初始状态与退化速率下的反作用轮服役历程，每条轨迹均以离散观测步数为单位记录全生命周期的多通道遥测信号。需要说明的是，本数据集旨在为迁移学习算法提供退化趋势结构清晰的目标域素材，其验证结果反映的是跨数据集知识迁移的方法可行性，不等同于真实在轨反作用轮遥测条件下的星上放行结论。</w:t>
      </w:r>
      <w:r>
        <w:t xml:space="preserve"> [3, 4, 5]</w:t>
      </w:r>
    </w:p>
    <w:p w14:paraId="359C95D6" w14:textId="77777777" w:rsidR="000F75BD" w:rsidRPr="004643F8" w:rsidRDefault="000F75BD" w:rsidP="000F75BD">
      <w:pPr>
        <w:rPr>
          <w:rFonts w:asciiTheme="majorEastAsia" w:eastAsiaTheme="majorEastAsia" w:hAnsiTheme="majorEastAsia"/>
        </w:rPr>
      </w:pPr>
      <w:r w:rsidRPr="004643F8">
        <w:rPr>
          <w:rFonts w:asciiTheme="majorEastAsia" w:eastAsiaTheme="majorEastAsia" w:hAnsiTheme="majorEastAsia"/>
        </w:rPr>
        <w:t>同步地，为强化迁移效果的机械退化场景泛化证据，本项目引入 FEMTO/IMS 公开轴承退化数据集作为第二条独立的机械退化验证线。FEMTO 轴承数据记录了六个轴承样本在加速寿命试验中从正常运转至完全失效的完整振动信号历程，其退化机理（滚动接触疲劳与磨损）与反作用轮轴承具有物理同源性，可作为补充性的目标域数据参与迁移效果验证。</w:t>
      </w:r>
    </w:p>
    <w:p w14:paraId="532D0B15" w14:textId="5534130A" w:rsidR="000F75BD" w:rsidRPr="004643F8" w:rsidRDefault="000F75BD" w:rsidP="000F75BD">
      <w:pPr>
        <w:rPr>
          <w:rFonts w:asciiTheme="majorEastAsia" w:eastAsiaTheme="majorEastAsia" w:hAnsiTheme="majorEastAsia"/>
        </w:rPr>
      </w:pPr>
      <w:r w:rsidRPr="004643F8">
        <w:rPr>
          <w:rFonts w:asciiTheme="majorEastAsia" w:eastAsiaTheme="majorEastAsia" w:hAnsiTheme="majorEastAsia"/>
        </w:rPr>
        <w:lastRenderedPageBreak/>
        <w:t>在健康信号构造上，两类目标数据统一遵循源域的 health 对齐策略。对于 COMSOL 反作用轮数据，以摩擦力矩相对增量或等效损伤指标为基础，按轨迹全寿命极值归一化后翻转得到 </w:t>
      </w:r>
      <m:oMath>
        <m:sSubSup>
          <m:sSubSupPr>
            <m:ctrlPr>
              <w:rPr>
                <w:rFonts w:ascii="Cambria Math" w:eastAsiaTheme="majorEastAsia" w:hAnsi="Cambria Math"/>
              </w:rPr>
            </m:ctrlPr>
          </m:sSubSupPr>
          <m:e>
            <m:r>
              <w:rPr>
                <w:rFonts w:ascii="Cambria Math" w:eastAsiaTheme="majorEastAsia" w:hAnsi="Cambria Math"/>
              </w:rPr>
              <m:t>h</m:t>
            </m:r>
          </m:e>
          <m:sub>
            <m:r>
              <w:rPr>
                <w:rFonts w:ascii="Cambria Math" w:eastAsiaTheme="majorEastAsia" w:hAnsi="Cambria Math"/>
              </w:rPr>
              <m:t>t</m:t>
            </m:r>
          </m:sub>
          <m:sup>
            <m:r>
              <m:rPr>
                <m:nor/>
              </m:rPr>
              <w:rPr>
                <w:rFonts w:asciiTheme="majorEastAsia" w:eastAsiaTheme="majorEastAsia" w:hAnsiTheme="majorEastAsia"/>
              </w:rPr>
              <m:t>(RW)</m:t>
            </m:r>
          </m:sup>
        </m:sSubSup>
        <m:r>
          <w:rPr>
            <w:rFonts w:ascii="Cambria Math" w:eastAsiaTheme="majorEastAsia" w:hAnsi="Cambria Math"/>
          </w:rPr>
          <m:t>=1-</m:t>
        </m:r>
        <m:sSub>
          <m:sSubPr>
            <m:ctrlPr>
              <w:rPr>
                <w:rFonts w:ascii="Cambria Math" w:eastAsiaTheme="majorEastAsia" w:hAnsi="Cambria Math"/>
              </w:rPr>
            </m:ctrlPr>
          </m:sSubPr>
          <m:e>
            <m:r>
              <m:rPr>
                <m:nor/>
              </m:rPr>
              <w:rPr>
                <w:rFonts w:asciiTheme="majorEastAsia" w:eastAsiaTheme="majorEastAsia" w:hAnsiTheme="majorEastAsia"/>
              </w:rPr>
              <m:t>normalized</m:t>
            </m:r>
            <m:r>
              <m:rPr>
                <m:lit/>
                <m:nor/>
              </m:rPr>
              <w:rPr>
                <w:rFonts w:asciiTheme="majorEastAsia" w:eastAsiaTheme="majorEastAsia" w:hAnsiTheme="majorEastAsia"/>
              </w:rPr>
              <m:t>_</m:t>
            </m:r>
            <m:r>
              <m:rPr>
                <m:nor/>
              </m:rPr>
              <w:rPr>
                <w:rFonts w:asciiTheme="majorEastAsia" w:eastAsiaTheme="majorEastAsia" w:hAnsiTheme="majorEastAsia"/>
              </w:rPr>
              <m:t>friction</m:t>
            </m:r>
            <m:r>
              <m:rPr>
                <m:lit/>
                <m:nor/>
              </m:rPr>
              <w:rPr>
                <w:rFonts w:asciiTheme="majorEastAsia" w:eastAsiaTheme="majorEastAsia" w:hAnsiTheme="majorEastAsia"/>
              </w:rPr>
              <m:t>_</m:t>
            </m:r>
            <m:r>
              <m:rPr>
                <m:nor/>
              </m:rPr>
              <w:rPr>
                <w:rFonts w:asciiTheme="majorEastAsia" w:eastAsiaTheme="majorEastAsia" w:hAnsiTheme="majorEastAsia"/>
              </w:rPr>
              <m:t>damage</m:t>
            </m:r>
          </m:e>
          <m:sub>
            <m:r>
              <w:rPr>
                <w:rFonts w:ascii="Cambria Math" w:eastAsiaTheme="majorEastAsia" w:hAnsi="Cambria Math"/>
              </w:rPr>
              <m:t>t</m:t>
            </m:r>
          </m:sub>
        </m:sSub>
      </m:oMath>
      <w:r w:rsidRPr="004643F8">
        <w:rPr>
          <w:rFonts w:asciiTheme="majorEastAsia" w:eastAsiaTheme="majorEastAsia" w:hAnsiTheme="majorEastAsia"/>
        </w:rPr>
        <w:t>，使“越大越健康”方向一致。对于 FEMTO 轴承数据，以振动信号均方根值（RMS）的长期漂移作为退化表征，经归一化翻转后得到 </w:t>
      </w:r>
      <m:oMath>
        <m:sSubSup>
          <m:sSubSupPr>
            <m:ctrlPr>
              <w:rPr>
                <w:rFonts w:ascii="Cambria Math" w:eastAsiaTheme="majorEastAsia" w:hAnsi="Cambria Math"/>
              </w:rPr>
            </m:ctrlPr>
          </m:sSubSupPr>
          <m:e>
            <m:r>
              <w:rPr>
                <w:rFonts w:ascii="Cambria Math" w:eastAsiaTheme="majorEastAsia" w:hAnsi="Cambria Math"/>
              </w:rPr>
              <m:t>h</m:t>
            </m:r>
          </m:e>
          <m:sub>
            <m:r>
              <w:rPr>
                <w:rFonts w:ascii="Cambria Math" w:eastAsiaTheme="majorEastAsia" w:hAnsi="Cambria Math"/>
              </w:rPr>
              <m:t>t</m:t>
            </m:r>
          </m:sub>
          <m:sup>
            <m:r>
              <m:rPr>
                <m:nor/>
              </m:rPr>
              <w:rPr>
                <w:rFonts w:asciiTheme="majorEastAsia" w:eastAsiaTheme="majorEastAsia" w:hAnsiTheme="majorEastAsia"/>
              </w:rPr>
              <m:t>(bearing)</m:t>
            </m:r>
          </m:sup>
        </m:sSubSup>
      </m:oMath>
      <w:r w:rsidRPr="004643F8">
        <w:rPr>
          <w:rFonts w:asciiTheme="majorEastAsia" w:eastAsiaTheme="majorEastAsia" w:hAnsiTheme="majorEastAsia"/>
        </w:rPr>
        <w:t>。两者的 RUL 标签均定义为 </w:t>
      </w:r>
      <m:oMath>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r>
          <w:rPr>
            <w:rFonts w:ascii="Cambria Math" w:eastAsiaTheme="majorEastAsia" w:hAnsi="Cambria Math"/>
          </w:rPr>
          <m:t>-t</m:t>
        </m:r>
      </m:oMath>
      <w:r w:rsidRPr="004643F8">
        <w:rPr>
          <w:rFonts w:asciiTheme="majorEastAsia" w:eastAsiaTheme="majorEastAsia" w:hAnsiTheme="majorEastAsia"/>
        </w:rPr>
        <w:t>，其中 </w:t>
      </w:r>
      <m:oMath>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oMath>
      <w:r w:rsidRPr="004643F8">
        <w:rPr>
          <w:rFonts w:asciiTheme="majorEastAsia" w:eastAsiaTheme="majorEastAsia" w:hAnsiTheme="majorEastAsia"/>
        </w:rPr>
        <w:t> 由各自场景的失效阈值判定，</w:t>
      </w:r>
      <m:oMath>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oMath>
      <w:r w:rsidRPr="004643F8">
        <w:rPr>
          <w:rFonts w:asciiTheme="majorEastAsia" w:eastAsiaTheme="majorEastAsia" w:hAnsiTheme="majorEastAsia"/>
        </w:rPr>
        <w:t> 以剩余观测步数为单位。</w:t>
      </w:r>
    </w:p>
    <w:p w14:paraId="020F0464" w14:textId="77777777" w:rsidR="000F75BD" w:rsidRPr="004643F8" w:rsidRDefault="000F75BD" w:rsidP="000F75BD">
      <w:pPr>
        <w:rPr>
          <w:rFonts w:asciiTheme="majorEastAsia" w:eastAsiaTheme="majorEastAsia" w:hAnsiTheme="majorEastAsia"/>
        </w:rPr>
      </w:pPr>
      <w:r w:rsidRPr="004643F8">
        <w:rPr>
          <w:rFonts w:asciiTheme="majorEastAsia" w:eastAsiaTheme="majorEastAsia" w:hAnsiTheme="majorEastAsia"/>
        </w:rPr>
        <w:t>数据切分策略方面，COMSOL 反作用轮场景按五条独立轨迹执行 outer-LOO（留一轨迹验证），每一折使用四条轨迹进行微调训练、一条轨迹作为测试折，轮换五次完成全量评估。FEMTO 轴承场景则按六个轴承样本执行相同的 outer-LOO 协议。两种切分策略均保证各折之间轨迹完全隔离，不存在同一轨迹跨 splits 的信息渗透。</w:t>
      </w:r>
    </w:p>
    <w:p w14:paraId="1528290D" w14:textId="77777777" w:rsidR="000F75BD" w:rsidRPr="004643F8" w:rsidRDefault="000F75BD" w:rsidP="000F75BD">
      <w:pPr>
        <w:rPr>
          <w:rFonts w:asciiTheme="majorEastAsia" w:eastAsiaTheme="majorEastAsia" w:hAnsiTheme="majorEastAsia"/>
        </w:rPr>
      </w:pPr>
      <w:r w:rsidRPr="004643F8">
        <w:rPr>
          <w:rFonts w:asciiTheme="majorEastAsia" w:eastAsiaTheme="majorEastAsia" w:hAnsiTheme="majorEastAsia"/>
        </w:rPr>
        <w:t>在源域与目标域的联动关系上，两个目标场景均不直接接触源域的原始数据——源域预训练编码器在源域完成参数固化后，其权重作为初始化参数传递至目标域，目标域微调过程仅依赖自身训练折数据更新输入投影层、编码器（全量微调）与预测头，源域训练集的标签分布、极值范围及归一化参数不参与目标域的任何预处理步骤。这一隔离设计确保了迁移评估的纯净性，即目标域性能增益完全源于编码器所承载的退化表征知识，而非源域数据统计量的间接泄露。</w:t>
      </w:r>
    </w:p>
    <w:p w14:paraId="40BB9E75" w14:textId="77777777" w:rsidR="000F75BD" w:rsidRPr="004643F8" w:rsidRDefault="000F75BD" w:rsidP="000F75BD">
      <w:pPr>
        <w:rPr>
          <w:rFonts w:asciiTheme="majorEastAsia" w:eastAsiaTheme="majorEastAsia" w:hAnsiTheme="majorEastAsia"/>
        </w:rPr>
      </w:pPr>
      <w:r w:rsidRPr="004643F8">
        <w:rPr>
          <w:rFonts w:asciiTheme="majorEastAsia" w:eastAsiaTheme="majorEastAsia" w:hAnsiTheme="majorEastAsia"/>
        </w:rPr>
        <w:t>在方向一致性检查方面，COMSOL 反作用轮数据的 health-RUL 平均相关系数为 0.9421，FEMTO 轴承数据为 0.9587，均确认单调退化趋势结构清晰，具备承接迁移学习的条件。</w:t>
      </w:r>
    </w:p>
    <w:p w14:paraId="29C123C5" w14:textId="0A7BFD93" w:rsidR="007213A2" w:rsidRPr="004643F8" w:rsidRDefault="000F75BD">
      <w:pPr>
        <w:rPr>
          <w:rFonts w:asciiTheme="majorEastAsia" w:eastAsiaTheme="majorEastAsia" w:hAnsiTheme="majorEastAsia"/>
        </w:rPr>
      </w:pPr>
      <w:r w:rsidRPr="004643F8">
        <w:rPr>
          <w:rFonts w:asciiTheme="majorEastAsia" w:eastAsiaTheme="majorEastAsia" w:hAnsiTheme="majorEastAsia"/>
        </w:rPr>
        <w:t>综上，目标场景二的关键要素汇总如下：</w:t>
      </w:r>
    </w:p>
    <w:p w14:paraId="4622EB22" w14:textId="40D952D4" w:rsidR="002774BE" w:rsidRPr="004643F8" w:rsidRDefault="002774BE">
      <w:pPr>
        <w:rPr>
          <w:rFonts w:asciiTheme="majorEastAsia" w:eastAsiaTheme="majorEastAsia" w:hAnsiTheme="majorEastAsia" w:hint="eastAsia"/>
        </w:rPr>
      </w:pPr>
      <w:r w:rsidRPr="004643F8">
        <w:rPr>
          <w:rFonts w:asciiTheme="majorEastAsia" w:eastAsiaTheme="majorEastAsia" w:hAnsiTheme="majorEastAsia" w:hint="eastAsia"/>
        </w:rPr>
        <w:t>表</w:t>
      </w:r>
      <w:r w:rsidR="00374385" w:rsidRPr="004643F8">
        <w:rPr>
          <w:rFonts w:asciiTheme="majorEastAsia" w:eastAsiaTheme="majorEastAsia" w:hAnsiTheme="majorEastAsia" w:hint="eastAsia"/>
        </w:rPr>
        <w:t>5</w:t>
      </w:r>
      <w:r w:rsidRPr="004643F8">
        <w:rPr>
          <w:rFonts w:asciiTheme="majorEastAsia" w:eastAsiaTheme="majorEastAsia" w:hAnsiTheme="majorEastAsia" w:hint="eastAsia"/>
        </w:rPr>
        <w:t xml:space="preserve"> </w:t>
      </w:r>
      <w:r w:rsidRPr="004643F8">
        <w:rPr>
          <w:rFonts w:asciiTheme="majorEastAsia" w:eastAsiaTheme="majorEastAsia" w:hAnsiTheme="majorEastAsia"/>
        </w:rPr>
        <w:t>目标场景二——反作用轮与轴承退化数据要素对比表</w:t>
      </w:r>
    </w:p>
    <w:tbl>
      <w:tblPr>
        <w:tblStyle w:val="af2"/>
        <w:tblW w:w="0" w:type="auto"/>
        <w:tblLook w:val="04A0" w:firstRow="1" w:lastRow="0" w:firstColumn="1" w:lastColumn="0" w:noHBand="0" w:noVBand="1"/>
      </w:tblPr>
      <w:tblGrid>
        <w:gridCol w:w="846"/>
        <w:gridCol w:w="3685"/>
        <w:gridCol w:w="3765"/>
      </w:tblGrid>
      <w:tr w:rsidR="00022419" w:rsidRPr="004643F8" w14:paraId="3B12DA67" w14:textId="77777777" w:rsidTr="00BF0BE1">
        <w:trPr>
          <w:trHeight w:val="360"/>
        </w:trPr>
        <w:tc>
          <w:tcPr>
            <w:tcW w:w="846" w:type="dxa"/>
            <w:hideMark/>
          </w:tcPr>
          <w:p w14:paraId="21877092" w14:textId="77777777" w:rsidR="00022419" w:rsidRPr="004643F8" w:rsidRDefault="00022419" w:rsidP="00022419">
            <w:pPr>
              <w:rPr>
                <w:rFonts w:asciiTheme="majorEastAsia" w:eastAsiaTheme="majorEastAsia" w:hAnsiTheme="majorEastAsia"/>
              </w:rPr>
            </w:pPr>
            <w:r w:rsidRPr="004643F8">
              <w:rPr>
                <w:rFonts w:asciiTheme="majorEastAsia" w:eastAsiaTheme="majorEastAsia" w:hAnsiTheme="majorEastAsia"/>
              </w:rPr>
              <w:t>要素</w:t>
            </w:r>
          </w:p>
        </w:tc>
        <w:tc>
          <w:tcPr>
            <w:tcW w:w="3685" w:type="dxa"/>
            <w:hideMark/>
          </w:tcPr>
          <w:p w14:paraId="63F65BE4"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COMSOL 反作用轮场景</w:t>
            </w:r>
          </w:p>
        </w:tc>
        <w:tc>
          <w:tcPr>
            <w:tcW w:w="3765" w:type="dxa"/>
            <w:hideMark/>
          </w:tcPr>
          <w:p w14:paraId="7D302546"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FEMTO 轴承场景</w:t>
            </w:r>
          </w:p>
        </w:tc>
      </w:tr>
      <w:tr w:rsidR="00022419" w:rsidRPr="004643F8" w14:paraId="53B57987" w14:textId="77777777" w:rsidTr="00BF0BE1">
        <w:trPr>
          <w:trHeight w:val="720"/>
        </w:trPr>
        <w:tc>
          <w:tcPr>
            <w:tcW w:w="846" w:type="dxa"/>
            <w:hideMark/>
          </w:tcPr>
          <w:p w14:paraId="5D517184"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退化机理</w:t>
            </w:r>
          </w:p>
        </w:tc>
        <w:tc>
          <w:tcPr>
            <w:tcW w:w="3685" w:type="dxa"/>
            <w:hideMark/>
          </w:tcPr>
          <w:p w14:paraId="187CB577"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轴承润滑剂损耗与接触面微动磨损，表现为摩擦力矩渐进增加</w:t>
            </w:r>
          </w:p>
        </w:tc>
        <w:tc>
          <w:tcPr>
            <w:tcW w:w="3765" w:type="dxa"/>
            <w:hideMark/>
          </w:tcPr>
          <w:p w14:paraId="034A47E9"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滚动接触疲劳与磨损，振动信号能量持续抬升</w:t>
            </w:r>
          </w:p>
        </w:tc>
      </w:tr>
      <w:tr w:rsidR="00022419" w:rsidRPr="004643F8" w14:paraId="7A26B41E" w14:textId="77777777" w:rsidTr="00BF0BE1">
        <w:trPr>
          <w:trHeight w:val="540"/>
        </w:trPr>
        <w:tc>
          <w:tcPr>
            <w:tcW w:w="846" w:type="dxa"/>
            <w:hideMark/>
          </w:tcPr>
          <w:p w14:paraId="74041F9C"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原始观测量</w:t>
            </w:r>
          </w:p>
        </w:tc>
        <w:tc>
          <w:tcPr>
            <w:tcW w:w="3685" w:type="dxa"/>
            <w:hideMark/>
          </w:tcPr>
          <w:p w14:paraId="5D3DA645"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转速、电流、温度等多通道 raw-level 遥测</w:t>
            </w:r>
          </w:p>
        </w:tc>
        <w:tc>
          <w:tcPr>
            <w:tcW w:w="3765" w:type="dxa"/>
            <w:hideMark/>
          </w:tcPr>
          <w:p w14:paraId="212095FC"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振动加速度时域信号，提取 RMS 等统计特征</w:t>
            </w:r>
          </w:p>
        </w:tc>
      </w:tr>
      <w:tr w:rsidR="00022419" w:rsidRPr="004643F8" w14:paraId="18A2BADD" w14:textId="77777777" w:rsidTr="00BF0BE1">
        <w:trPr>
          <w:trHeight w:val="649"/>
        </w:trPr>
        <w:tc>
          <w:tcPr>
            <w:tcW w:w="846" w:type="dxa"/>
            <w:hideMark/>
          </w:tcPr>
          <w:p w14:paraId="39D8DF5B"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health 构造</w:t>
            </w:r>
          </w:p>
        </w:tc>
        <w:tc>
          <w:tcPr>
            <w:tcW w:w="3685" w:type="dxa"/>
            <w:hideMark/>
          </w:tcPr>
          <w:p w14:paraId="4FFD74A8" w14:textId="2433CB30" w:rsidR="00022419" w:rsidRPr="004643F8" w:rsidRDefault="00022419">
            <w:pPr>
              <w:rPr>
                <w:rFonts w:asciiTheme="majorEastAsia" w:eastAsiaTheme="majorEastAsia" w:hAnsiTheme="majorEastAsia"/>
              </w:rPr>
            </w:pPr>
            <m:oMathPara>
              <m:oMath>
                <m:sSub>
                  <m:sSubPr>
                    <m:ctrlPr>
                      <w:rPr>
                        <w:rFonts w:ascii="Cambria Math" w:eastAsiaTheme="majorEastAsia" w:hAnsi="Cambria Math"/>
                        <w:i/>
                        <w:iCs/>
                      </w:rPr>
                    </m:ctrlPr>
                  </m:sSubPr>
                  <m:e>
                    <m:r>
                      <w:rPr>
                        <w:rFonts w:ascii="Cambria Math" w:eastAsiaTheme="majorEastAsia" w:hAnsi="Cambria Math"/>
                      </w:rPr>
                      <m:t>h</m:t>
                    </m:r>
                    <m:r>
                      <w:rPr>
                        <w:rFonts w:ascii="Cambria Math" w:eastAsiaTheme="majorEastAsia" w:hAnsi="Cambria Math"/>
                      </w:rPr>
                      <m:t>​</m:t>
                    </m:r>
                  </m:e>
                  <m:sub>
                    <m:r>
                      <w:rPr>
                        <w:rFonts w:ascii="Cambria Math" w:eastAsiaTheme="majorEastAsia" w:hAnsi="Cambria Math"/>
                      </w:rPr>
                      <m:t>t</m:t>
                    </m:r>
                  </m:sub>
                </m:sSub>
                <m:r>
                  <w:rPr>
                    <w:rFonts w:ascii="Cambria Math" w:eastAsiaTheme="majorEastAsia" w:hAnsi="Cambria Math"/>
                  </w:rPr>
                  <m:t>=1-</m:t>
                </m:r>
                <m:sSub>
                  <m:sSubPr>
                    <m:ctrlPr>
                      <w:rPr>
                        <w:rFonts w:ascii="Cambria Math" w:eastAsiaTheme="majorEastAsia" w:hAnsi="Cambria Math"/>
                        <w:i/>
                      </w:rPr>
                    </m:ctrlPr>
                  </m:sSubPr>
                  <m:e>
                    <m:r>
                      <w:rPr>
                        <w:rFonts w:ascii="Cambria Math" w:eastAsiaTheme="majorEastAsia" w:hAnsi="Cambria Math"/>
                      </w:rPr>
                      <m:t>normalized_friction_damage</m:t>
                    </m:r>
                  </m:e>
                  <m:sub>
                    <m:r>
                      <w:rPr>
                        <w:rFonts w:ascii="Cambria Math" w:eastAsiaTheme="majorEastAsia" w:hAnsi="Cambria Math"/>
                      </w:rPr>
                      <m:t>t</m:t>
                    </m:r>
                  </m:sub>
                </m:sSub>
                <m:r>
                  <w:rPr>
                    <w:rFonts w:ascii="Cambria Math" w:eastAsiaTheme="majorEastAsia" w:hAnsi="Cambria Math"/>
                  </w:rPr>
                  <m:t>​</m:t>
                </m:r>
              </m:oMath>
            </m:oMathPara>
          </w:p>
        </w:tc>
        <w:tc>
          <w:tcPr>
            <w:tcW w:w="3765" w:type="dxa"/>
            <w:hideMark/>
          </w:tcPr>
          <w:p w14:paraId="49713FA0" w14:textId="0DFFFC36" w:rsidR="00022419" w:rsidRPr="004643F8" w:rsidRDefault="00B5288C">
            <w:pPr>
              <w:rPr>
                <w:rFonts w:asciiTheme="majorEastAsia" w:eastAsiaTheme="majorEastAsia" w:hAnsiTheme="majorEastAsia"/>
              </w:rPr>
            </w:pPr>
            <m:oMathPara>
              <m:oMath>
                <m:sSub>
                  <m:sSubPr>
                    <m:ctrlPr>
                      <w:rPr>
                        <w:rFonts w:ascii="Cambria Math" w:eastAsiaTheme="majorEastAsia" w:hAnsi="Cambria Math"/>
                        <w:i/>
                        <w:iCs/>
                      </w:rPr>
                    </m:ctrlPr>
                  </m:sSubPr>
                  <m:e>
                    <m:r>
                      <w:rPr>
                        <w:rFonts w:ascii="Cambria Math" w:eastAsiaTheme="majorEastAsia" w:hAnsi="Cambria Math"/>
                      </w:rPr>
                      <m:t>h</m:t>
                    </m:r>
                    <m:r>
                      <w:rPr>
                        <w:rFonts w:ascii="Cambria Math" w:eastAsiaTheme="majorEastAsia" w:hAnsi="Cambria Math"/>
                      </w:rPr>
                      <m:t>​</m:t>
                    </m:r>
                  </m:e>
                  <m:sub>
                    <m:r>
                      <w:rPr>
                        <w:rFonts w:ascii="Cambria Math" w:eastAsiaTheme="majorEastAsia" w:hAnsi="Cambria Math"/>
                      </w:rPr>
                      <m:t>t</m:t>
                    </m:r>
                  </m:sub>
                </m:sSub>
                <m:r>
                  <w:rPr>
                    <w:rFonts w:ascii="Cambria Math" w:eastAsiaTheme="majorEastAsia" w:hAnsi="Cambria Math"/>
                  </w:rPr>
                  <m:t>=1-</m:t>
                </m:r>
                <m:sSub>
                  <m:sSubPr>
                    <m:ctrlPr>
                      <w:rPr>
                        <w:rFonts w:ascii="Cambria Math" w:eastAsiaTheme="majorEastAsia" w:hAnsi="Cambria Math"/>
                        <w:i/>
                      </w:rPr>
                    </m:ctrlPr>
                  </m:sSubPr>
                  <m:e>
                    <m:r>
                      <w:rPr>
                        <w:rFonts w:ascii="Cambria Math" w:eastAsiaTheme="majorEastAsia" w:hAnsi="Cambria Math"/>
                      </w:rPr>
                      <m:t>normalized_friction_damage</m:t>
                    </m:r>
                  </m:e>
                  <m:sub>
                    <m:r>
                      <w:rPr>
                        <w:rFonts w:ascii="Cambria Math" w:eastAsiaTheme="majorEastAsia" w:hAnsi="Cambria Math"/>
                      </w:rPr>
                      <m:t>t</m:t>
                    </m:r>
                  </m:sub>
                </m:sSub>
              </m:oMath>
            </m:oMathPara>
          </w:p>
        </w:tc>
      </w:tr>
      <w:tr w:rsidR="00022419" w:rsidRPr="004643F8" w14:paraId="0FD4CE8B" w14:textId="77777777" w:rsidTr="00BF0BE1">
        <w:trPr>
          <w:trHeight w:val="360"/>
        </w:trPr>
        <w:tc>
          <w:tcPr>
            <w:tcW w:w="846" w:type="dxa"/>
            <w:hideMark/>
          </w:tcPr>
          <w:p w14:paraId="35E76CAE"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EOL 定义</w:t>
            </w:r>
          </w:p>
        </w:tc>
        <w:tc>
          <w:tcPr>
            <w:tcW w:w="3685" w:type="dxa"/>
            <w:hideMark/>
          </w:tcPr>
          <w:p w14:paraId="0A411220"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摩擦损伤指标触碰预设阈值</w:t>
            </w:r>
          </w:p>
        </w:tc>
        <w:tc>
          <w:tcPr>
            <w:tcW w:w="3765" w:type="dxa"/>
            <w:hideMark/>
          </w:tcPr>
          <w:p w14:paraId="7D6110F7"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振动 RMS 触碰预设失效阈值</w:t>
            </w:r>
          </w:p>
        </w:tc>
      </w:tr>
      <w:tr w:rsidR="00B12D37" w:rsidRPr="004643F8" w14:paraId="31CFFB32" w14:textId="77777777" w:rsidTr="00BF0BE1">
        <w:trPr>
          <w:trHeight w:val="1183"/>
        </w:trPr>
        <w:tc>
          <w:tcPr>
            <w:tcW w:w="846" w:type="dxa"/>
            <w:hideMark/>
          </w:tcPr>
          <w:p w14:paraId="720452E1" w14:textId="77777777" w:rsidR="00B12D37" w:rsidRPr="004643F8" w:rsidRDefault="00B12D37" w:rsidP="00B12D37">
            <w:pPr>
              <w:rPr>
                <w:rFonts w:asciiTheme="majorEastAsia" w:eastAsiaTheme="majorEastAsia" w:hAnsiTheme="majorEastAsia"/>
              </w:rPr>
            </w:pPr>
            <w:r w:rsidRPr="004643F8">
              <w:rPr>
                <w:rFonts w:asciiTheme="majorEastAsia" w:eastAsiaTheme="majorEastAsia" w:hAnsiTheme="majorEastAsia"/>
              </w:rPr>
              <w:t>RUL 标签</w:t>
            </w:r>
          </w:p>
        </w:tc>
        <w:tc>
          <w:tcPr>
            <w:tcW w:w="3685" w:type="dxa"/>
            <w:hideMark/>
          </w:tcPr>
          <w:p w14:paraId="2AEC7E45" w14:textId="12F4C1FE" w:rsidR="00B12D37" w:rsidRPr="004643F8" w:rsidRDefault="00B12D37" w:rsidP="00B12D37">
            <w:pPr>
              <w:rPr>
                <w:rFonts w:asciiTheme="majorEastAsia" w:eastAsiaTheme="majorEastAsia" w:hAnsiTheme="majorEastAsia"/>
              </w:rPr>
            </w:pPr>
            <m:oMath>
              <m:sSub>
                <m:sSubPr>
                  <m:ctrlPr>
                    <w:rPr>
                      <w:rFonts w:ascii="Cambria Math" w:eastAsiaTheme="majorEastAsia" w:hAnsi="Cambria Math"/>
                      <w:i/>
                    </w:rPr>
                  </m:ctrlPr>
                </m:sSubPr>
                <m:e>
                  <m:r>
                    <w:rPr>
                      <w:rFonts w:ascii="Cambria Math" w:eastAsiaTheme="majorEastAsia" w:hAnsi="Cambria Math" w:hint="eastAsia"/>
                    </w:rPr>
                    <m:t>r</m:t>
                  </m:r>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T</m:t>
                  </m:r>
                </m:e>
                <m:sub>
                  <m:r>
                    <w:rPr>
                      <w:rFonts w:ascii="Cambria Math" w:eastAsiaTheme="majorEastAsia" w:hAnsi="Cambria Math"/>
                    </w:rPr>
                    <m:t>EOL</m:t>
                  </m:r>
                </m:sub>
              </m:sSub>
              <m:r>
                <w:rPr>
                  <w:rFonts w:ascii="Cambria Math" w:eastAsiaTheme="majorEastAsia" w:hAnsi="Cambria Math"/>
                </w:rPr>
                <m:t>-t</m:t>
              </m:r>
            </m:oMath>
            <w:r w:rsidRPr="004643F8">
              <w:rPr>
                <w:rFonts w:asciiTheme="majorEastAsia" w:eastAsiaTheme="majorEastAsia" w:hAnsiTheme="majorEastAsia"/>
              </w:rPr>
              <w:t>，以剩余观测步数为单位</w:t>
            </w:r>
          </w:p>
        </w:tc>
        <w:tc>
          <w:tcPr>
            <w:tcW w:w="3765" w:type="dxa"/>
            <w:hideMark/>
          </w:tcPr>
          <w:p w14:paraId="4DB4F2B5" w14:textId="151D3EE6" w:rsidR="00B12D37" w:rsidRPr="004643F8" w:rsidRDefault="00B12D37" w:rsidP="00B12D37">
            <w:pPr>
              <w:rPr>
                <w:rFonts w:asciiTheme="majorEastAsia" w:eastAsiaTheme="majorEastAsia" w:hAnsiTheme="majorEastAsia"/>
              </w:rPr>
            </w:pPr>
            <m:oMath>
              <m:sSub>
                <m:sSubPr>
                  <m:ctrlPr>
                    <w:rPr>
                      <w:rFonts w:ascii="Cambria Math" w:eastAsiaTheme="majorEastAsia" w:hAnsi="Cambria Math"/>
                      <w:i/>
                    </w:rPr>
                  </m:ctrlPr>
                </m:sSubPr>
                <m:e>
                  <m:r>
                    <w:rPr>
                      <w:rFonts w:ascii="Cambria Math" w:eastAsiaTheme="majorEastAsia" w:hAnsi="Cambria Math" w:hint="eastAsia"/>
                    </w:rPr>
                    <m:t>r</m:t>
                  </m:r>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T</m:t>
                  </m:r>
                </m:e>
                <m:sub>
                  <m:r>
                    <w:rPr>
                      <w:rFonts w:ascii="Cambria Math" w:eastAsiaTheme="majorEastAsia" w:hAnsi="Cambria Math"/>
                    </w:rPr>
                    <m:t>EOL</m:t>
                  </m:r>
                </m:sub>
              </m:sSub>
              <m:r>
                <w:rPr>
                  <w:rFonts w:ascii="Cambria Math" w:eastAsiaTheme="majorEastAsia" w:hAnsi="Cambria Math"/>
                </w:rPr>
                <m:t>-t</m:t>
              </m:r>
            </m:oMath>
            <w:r w:rsidRPr="004643F8">
              <w:rPr>
                <w:rFonts w:asciiTheme="majorEastAsia" w:eastAsiaTheme="majorEastAsia" w:hAnsiTheme="majorEastAsia"/>
              </w:rPr>
              <w:t>，以剩余观测步数为单位</w:t>
            </w:r>
          </w:p>
        </w:tc>
      </w:tr>
      <w:tr w:rsidR="00022419" w:rsidRPr="004643F8" w14:paraId="16884707" w14:textId="77777777" w:rsidTr="00BF0BE1">
        <w:trPr>
          <w:trHeight w:val="360"/>
        </w:trPr>
        <w:tc>
          <w:tcPr>
            <w:tcW w:w="846" w:type="dxa"/>
            <w:hideMark/>
          </w:tcPr>
          <w:p w14:paraId="12E48728"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数据规模</w:t>
            </w:r>
          </w:p>
        </w:tc>
        <w:tc>
          <w:tcPr>
            <w:tcW w:w="3685" w:type="dxa"/>
            <w:hideMark/>
          </w:tcPr>
          <w:p w14:paraId="6421C2C6"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5 条完整退化轨迹</w:t>
            </w:r>
          </w:p>
        </w:tc>
        <w:tc>
          <w:tcPr>
            <w:tcW w:w="3765" w:type="dxa"/>
            <w:hideMark/>
          </w:tcPr>
          <w:p w14:paraId="7E3A1D70"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6 个轴承全寿命样本</w:t>
            </w:r>
          </w:p>
        </w:tc>
      </w:tr>
      <w:tr w:rsidR="00022419" w:rsidRPr="004643F8" w14:paraId="329089BE" w14:textId="77777777" w:rsidTr="00BF0BE1">
        <w:trPr>
          <w:trHeight w:val="360"/>
        </w:trPr>
        <w:tc>
          <w:tcPr>
            <w:tcW w:w="846" w:type="dxa"/>
            <w:hideMark/>
          </w:tcPr>
          <w:p w14:paraId="05199C68"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切分策略</w:t>
            </w:r>
          </w:p>
        </w:tc>
        <w:tc>
          <w:tcPr>
            <w:tcW w:w="3685" w:type="dxa"/>
            <w:hideMark/>
          </w:tcPr>
          <w:p w14:paraId="4291F27C"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5-fold outer-LOO，轨迹级别隔离</w:t>
            </w:r>
          </w:p>
        </w:tc>
        <w:tc>
          <w:tcPr>
            <w:tcW w:w="3765" w:type="dxa"/>
            <w:hideMark/>
          </w:tcPr>
          <w:p w14:paraId="74105B6E"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6-fold outer-LOO，样本级别隔离</w:t>
            </w:r>
          </w:p>
        </w:tc>
      </w:tr>
      <w:tr w:rsidR="00022419" w:rsidRPr="004643F8" w14:paraId="7CA995B7" w14:textId="77777777" w:rsidTr="00BF0BE1">
        <w:trPr>
          <w:trHeight w:val="720"/>
        </w:trPr>
        <w:tc>
          <w:tcPr>
            <w:tcW w:w="846" w:type="dxa"/>
            <w:hideMark/>
          </w:tcPr>
          <w:p w14:paraId="6E00FE62"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与源域关系</w:t>
            </w:r>
          </w:p>
        </w:tc>
        <w:tc>
          <w:tcPr>
            <w:tcW w:w="3685" w:type="dxa"/>
            <w:hideMark/>
          </w:tcPr>
          <w:p w14:paraId="372BF6EE"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仅继承预训练编码器权重，源域数据不参与目标域预处理</w:t>
            </w:r>
          </w:p>
        </w:tc>
        <w:tc>
          <w:tcPr>
            <w:tcW w:w="3765" w:type="dxa"/>
            <w:hideMark/>
          </w:tcPr>
          <w:p w14:paraId="2CACCFB8"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同左</w:t>
            </w:r>
          </w:p>
        </w:tc>
      </w:tr>
      <w:tr w:rsidR="00022419" w:rsidRPr="004643F8" w14:paraId="58259B62" w14:textId="77777777" w:rsidTr="00BF0BE1">
        <w:trPr>
          <w:trHeight w:val="360"/>
        </w:trPr>
        <w:tc>
          <w:tcPr>
            <w:tcW w:w="846" w:type="dxa"/>
            <w:hideMark/>
          </w:tcPr>
          <w:p w14:paraId="10E17F73"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质量门控</w:t>
            </w:r>
          </w:p>
        </w:tc>
        <w:tc>
          <w:tcPr>
            <w:tcW w:w="3685" w:type="dxa"/>
            <w:hideMark/>
          </w:tcPr>
          <w:p w14:paraId="35E31CE5"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health-RUL 平均相关系数 0.9421</w:t>
            </w:r>
          </w:p>
        </w:tc>
        <w:tc>
          <w:tcPr>
            <w:tcW w:w="3765" w:type="dxa"/>
            <w:hideMark/>
          </w:tcPr>
          <w:p w14:paraId="64D846EB" w14:textId="77777777" w:rsidR="00022419" w:rsidRPr="004643F8" w:rsidRDefault="00022419">
            <w:pPr>
              <w:rPr>
                <w:rFonts w:asciiTheme="majorEastAsia" w:eastAsiaTheme="majorEastAsia" w:hAnsiTheme="majorEastAsia"/>
              </w:rPr>
            </w:pPr>
            <w:r w:rsidRPr="004643F8">
              <w:rPr>
                <w:rFonts w:asciiTheme="majorEastAsia" w:eastAsiaTheme="majorEastAsia" w:hAnsiTheme="majorEastAsia"/>
              </w:rPr>
              <w:t>health-RUL 平均相关系数 0.9587</w:t>
            </w:r>
          </w:p>
        </w:tc>
      </w:tr>
    </w:tbl>
    <w:p w14:paraId="52FF1B9A" w14:textId="77777777" w:rsidR="00BF0BE1" w:rsidRPr="004643F8" w:rsidRDefault="00BF0BE1" w:rsidP="00BF0BE1">
      <w:pPr>
        <w:pStyle w:val="1"/>
        <w:rPr>
          <w:rFonts w:asciiTheme="majorEastAsia" w:eastAsiaTheme="majorEastAsia" w:hAnsiTheme="majorEastAsia"/>
        </w:rPr>
      </w:pPr>
      <w:r w:rsidRPr="004643F8">
        <w:rPr>
          <w:rFonts w:asciiTheme="majorEastAsia" w:eastAsiaTheme="majorEastAsia" w:hAnsiTheme="majorEastAsia"/>
          <w:b/>
          <w:bCs/>
        </w:rPr>
        <w:t>三、数据集与仿真方法</w:t>
      </w:r>
    </w:p>
    <w:p w14:paraId="1FD2C4A7" w14:textId="77777777" w:rsidR="00BF0BE1" w:rsidRPr="004643F8" w:rsidRDefault="00BF0BE1" w:rsidP="00BF0BE1">
      <w:pPr>
        <w:pStyle w:val="2"/>
        <w:rPr>
          <w:rFonts w:asciiTheme="majorEastAsia" w:eastAsiaTheme="majorEastAsia" w:hAnsiTheme="majorEastAsia"/>
        </w:rPr>
      </w:pPr>
      <w:r w:rsidRPr="004643F8">
        <w:rPr>
          <w:rFonts w:asciiTheme="majorEastAsia" w:eastAsiaTheme="majorEastAsia" w:hAnsiTheme="majorEastAsia"/>
          <w:b/>
          <w:bCs/>
        </w:rPr>
        <w:t>3.1 数据构成与可追溯清单</w:t>
      </w:r>
    </w:p>
    <w:p w14:paraId="73CF0F1C" w14:textId="77777777" w:rsidR="00BF0BE1" w:rsidRPr="004643F8" w:rsidRDefault="00BF0BE1" w:rsidP="00BF0BE1">
      <w:pPr>
        <w:rPr>
          <w:rFonts w:asciiTheme="majorEastAsia" w:eastAsiaTheme="majorEastAsia" w:hAnsiTheme="majorEastAsia"/>
        </w:rPr>
      </w:pPr>
      <w:r w:rsidRPr="004643F8">
        <w:rPr>
          <w:rFonts w:asciiTheme="majorEastAsia" w:eastAsiaTheme="majorEastAsia" w:hAnsiTheme="majorEastAsia"/>
        </w:rPr>
        <w:lastRenderedPageBreak/>
        <w:t>数据是跨域迁移学习的基础载体，其来源的多样性、版本的可追溯性以及切分的规范性直接决定了实验结果的可信度与可复现性。本项目涉及的数据材料覆盖源域预训练、目标域微调评估以及补充验证三大功能模块，全部数据均以完整轨迹为基本单元进行组织，并辅以严格的哈希校验与版本管理机制。整体数据构成如下表所示：</w:t>
      </w:r>
    </w:p>
    <w:p w14:paraId="4BDF827B" w14:textId="6B57DB91" w:rsidR="002A1947" w:rsidRPr="004643F8" w:rsidRDefault="002A1947" w:rsidP="00BF0BE1">
      <w:pPr>
        <w:rPr>
          <w:rFonts w:asciiTheme="majorEastAsia" w:eastAsiaTheme="majorEastAsia" w:hAnsiTheme="majorEastAsia" w:hint="eastAsia"/>
        </w:rPr>
      </w:pPr>
      <w:r w:rsidRPr="004643F8">
        <w:rPr>
          <w:rFonts w:asciiTheme="majorEastAsia" w:eastAsiaTheme="majorEastAsia" w:hAnsiTheme="majorEastAsia"/>
        </w:rPr>
        <w:t>表6</w:t>
      </w:r>
      <w:r w:rsidRPr="004643F8">
        <w:rPr>
          <w:rFonts w:asciiTheme="majorEastAsia" w:eastAsiaTheme="majorEastAsia" w:hAnsiTheme="majorEastAsia" w:hint="eastAsia"/>
        </w:rPr>
        <w:t xml:space="preserve"> </w:t>
      </w:r>
      <w:r w:rsidRPr="004643F8">
        <w:rPr>
          <w:rFonts w:asciiTheme="majorEastAsia" w:eastAsiaTheme="majorEastAsia" w:hAnsiTheme="majorEastAsia"/>
        </w:rPr>
        <w:t>数据构成与功能定位总览表</w:t>
      </w:r>
    </w:p>
    <w:tbl>
      <w:tblPr>
        <w:tblStyle w:val="af2"/>
        <w:tblW w:w="0" w:type="auto"/>
        <w:jc w:val="center"/>
        <w:tblLook w:val="04A0" w:firstRow="1" w:lastRow="0" w:firstColumn="1" w:lastColumn="0" w:noHBand="0" w:noVBand="1"/>
      </w:tblPr>
      <w:tblGrid>
        <w:gridCol w:w="1838"/>
        <w:gridCol w:w="2126"/>
        <w:gridCol w:w="2302"/>
        <w:gridCol w:w="1791"/>
      </w:tblGrid>
      <w:tr w:rsidR="00BF0BE1" w:rsidRPr="004643F8" w14:paraId="506E86EB" w14:textId="77777777" w:rsidTr="00BF0BE1">
        <w:trPr>
          <w:trHeight w:val="283"/>
          <w:jc w:val="center"/>
        </w:trPr>
        <w:tc>
          <w:tcPr>
            <w:tcW w:w="1838" w:type="dxa"/>
            <w:hideMark/>
          </w:tcPr>
          <w:p w14:paraId="65E9152D" w14:textId="77777777" w:rsidR="00BF0BE1" w:rsidRPr="004643F8" w:rsidRDefault="00BF0BE1" w:rsidP="00BF0BE1">
            <w:pPr>
              <w:rPr>
                <w:rFonts w:asciiTheme="majorEastAsia" w:eastAsiaTheme="majorEastAsia" w:hAnsiTheme="majorEastAsia"/>
              </w:rPr>
            </w:pPr>
            <w:r w:rsidRPr="004643F8">
              <w:rPr>
                <w:rFonts w:asciiTheme="majorEastAsia" w:eastAsiaTheme="majorEastAsia" w:hAnsiTheme="majorEastAsia"/>
              </w:rPr>
              <w:t>数据材料</w:t>
            </w:r>
          </w:p>
        </w:tc>
        <w:tc>
          <w:tcPr>
            <w:tcW w:w="2126" w:type="dxa"/>
            <w:hideMark/>
          </w:tcPr>
          <w:p w14:paraId="39DE3E22"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功能定位</w:t>
            </w:r>
          </w:p>
        </w:tc>
        <w:tc>
          <w:tcPr>
            <w:tcW w:w="2302" w:type="dxa"/>
            <w:hideMark/>
          </w:tcPr>
          <w:p w14:paraId="1E026F94"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规模与状态</w:t>
            </w:r>
          </w:p>
        </w:tc>
        <w:tc>
          <w:tcPr>
            <w:tcW w:w="1670" w:type="dxa"/>
            <w:hideMark/>
          </w:tcPr>
          <w:p w14:paraId="5E7F3058"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SHA-256 前缀</w:t>
            </w:r>
          </w:p>
        </w:tc>
      </w:tr>
      <w:tr w:rsidR="00BF0BE1" w:rsidRPr="004643F8" w14:paraId="4CB07A45" w14:textId="77777777" w:rsidTr="00BF0BE1">
        <w:trPr>
          <w:trHeight w:val="720"/>
          <w:jc w:val="center"/>
        </w:trPr>
        <w:tc>
          <w:tcPr>
            <w:tcW w:w="1838" w:type="dxa"/>
            <w:hideMark/>
          </w:tcPr>
          <w:p w14:paraId="3B3AD53D"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严格 200 条喷嘴多轨迹</w:t>
            </w:r>
          </w:p>
        </w:tc>
        <w:tc>
          <w:tcPr>
            <w:tcW w:w="2126" w:type="dxa"/>
            <w:hideMark/>
          </w:tcPr>
          <w:p w14:paraId="5B136644"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源域预训练，承载退化知识基座</w:t>
            </w:r>
          </w:p>
        </w:tc>
        <w:tc>
          <w:tcPr>
            <w:tcW w:w="2302" w:type="dxa"/>
            <w:hideMark/>
          </w:tcPr>
          <w:p w14:paraId="12472821"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200 条完整轨迹，划分为 train/val/source-test</w:t>
            </w:r>
          </w:p>
        </w:tc>
        <w:tc>
          <w:tcPr>
            <w:tcW w:w="1670" w:type="dxa"/>
            <w:hideMark/>
          </w:tcPr>
          <w:p w14:paraId="4EDB4344"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541c2fc894f0...</w:t>
            </w:r>
          </w:p>
        </w:tc>
      </w:tr>
      <w:tr w:rsidR="00BF0BE1" w:rsidRPr="004643F8" w14:paraId="4F9495D0" w14:textId="77777777" w:rsidTr="00BF0BE1">
        <w:trPr>
          <w:trHeight w:val="540"/>
          <w:jc w:val="center"/>
        </w:trPr>
        <w:tc>
          <w:tcPr>
            <w:tcW w:w="1838" w:type="dxa"/>
            <w:hideMark/>
          </w:tcPr>
          <w:p w14:paraId="294F787E"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NASA Battery B0005 / B0006 / B0018</w:t>
            </w:r>
          </w:p>
        </w:tc>
        <w:tc>
          <w:tcPr>
            <w:tcW w:w="2126" w:type="dxa"/>
            <w:hideMark/>
          </w:tcPr>
          <w:p w14:paraId="68CE41ED"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目标域一（电池），完整事件观测 outer folds</w:t>
            </w:r>
          </w:p>
        </w:tc>
        <w:tc>
          <w:tcPr>
            <w:tcW w:w="2302" w:type="dxa"/>
            <w:hideMark/>
          </w:tcPr>
          <w:p w14:paraId="4BC41E3A"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3 条完整退化轨迹，各自作为独立 outer fold</w:t>
            </w:r>
          </w:p>
        </w:tc>
        <w:tc>
          <w:tcPr>
            <w:tcW w:w="1670" w:type="dxa"/>
            <w:hideMark/>
          </w:tcPr>
          <w:p w14:paraId="3DC87DF3"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0eae4585... / fa818ab4... / d1e6c923...</w:t>
            </w:r>
          </w:p>
        </w:tc>
      </w:tr>
      <w:tr w:rsidR="00BF0BE1" w:rsidRPr="004643F8" w14:paraId="0D4AF9E1" w14:textId="77777777" w:rsidTr="00BF0BE1">
        <w:trPr>
          <w:trHeight w:val="540"/>
          <w:jc w:val="center"/>
        </w:trPr>
        <w:tc>
          <w:tcPr>
            <w:tcW w:w="1838" w:type="dxa"/>
            <w:hideMark/>
          </w:tcPr>
          <w:p w14:paraId="124431CB"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NASA Battery B0007</w:t>
            </w:r>
          </w:p>
        </w:tc>
        <w:tc>
          <w:tcPr>
            <w:tcW w:w="2126" w:type="dxa"/>
            <w:hideMark/>
          </w:tcPr>
          <w:p w14:paraId="5D36FB6E"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目标域一（电池），右删失诊断样本</w:t>
            </w:r>
          </w:p>
        </w:tc>
        <w:tc>
          <w:tcPr>
            <w:tcW w:w="2302" w:type="dxa"/>
            <w:hideMark/>
          </w:tcPr>
          <w:p w14:paraId="21589E21"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168 个循环记录，不纳入精确 RMSE 统计</w:t>
            </w:r>
          </w:p>
        </w:tc>
        <w:tc>
          <w:tcPr>
            <w:tcW w:w="1670" w:type="dxa"/>
            <w:hideMark/>
          </w:tcPr>
          <w:p w14:paraId="5FB7126E"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d022afa086ef...</w:t>
            </w:r>
          </w:p>
        </w:tc>
      </w:tr>
      <w:tr w:rsidR="00BF0BE1" w:rsidRPr="004643F8" w14:paraId="3D60A53B" w14:textId="77777777" w:rsidTr="00BF0BE1">
        <w:trPr>
          <w:trHeight w:val="540"/>
          <w:jc w:val="center"/>
        </w:trPr>
        <w:tc>
          <w:tcPr>
            <w:tcW w:w="1838" w:type="dxa"/>
            <w:hideMark/>
          </w:tcPr>
          <w:p w14:paraId="1060E024"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FEMTO bearing</w:t>
            </w:r>
          </w:p>
        </w:tc>
        <w:tc>
          <w:tcPr>
            <w:tcW w:w="2126" w:type="dxa"/>
            <w:hideMark/>
          </w:tcPr>
          <w:p w14:paraId="6F838FC7"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目标域二补充验证线（轴承），公开机械退化数据</w:t>
            </w:r>
          </w:p>
        </w:tc>
        <w:tc>
          <w:tcPr>
            <w:tcW w:w="2302" w:type="dxa"/>
            <w:hideMark/>
          </w:tcPr>
          <w:p w14:paraId="252FC92B"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6 个轴承全寿命样本，6-fold outer-LOO</w:t>
            </w:r>
          </w:p>
        </w:tc>
        <w:tc>
          <w:tcPr>
            <w:tcW w:w="1670" w:type="dxa"/>
            <w:hideMark/>
          </w:tcPr>
          <w:p w14:paraId="35454479"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e21bb22bd8d5...</w:t>
            </w:r>
          </w:p>
        </w:tc>
      </w:tr>
      <w:tr w:rsidR="00BF0BE1" w:rsidRPr="004643F8" w14:paraId="194DAB0F" w14:textId="77777777" w:rsidTr="00BF0BE1">
        <w:trPr>
          <w:trHeight w:val="540"/>
          <w:jc w:val="center"/>
        </w:trPr>
        <w:tc>
          <w:tcPr>
            <w:tcW w:w="1838" w:type="dxa"/>
            <w:hideMark/>
          </w:tcPr>
          <w:p w14:paraId="3FAFA904"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COMSOL reaction-wheel degradation</w:t>
            </w:r>
          </w:p>
        </w:tc>
        <w:tc>
          <w:tcPr>
            <w:tcW w:w="2126" w:type="dxa"/>
            <w:hideMark/>
          </w:tcPr>
          <w:p>
            <w:r>
              <w:t>目标域二（反作用轮），自建参数化退化仿真数据</w:t>
            </w:r>
          </w:p>
        </w:tc>
        <w:tc>
          <w:tcPr>
            <w:tcW w:w="2302" w:type="dxa"/>
            <w:hideMark/>
          </w:tcPr>
          <w:p w14:paraId="3683DDFF"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5 条完整仿真轨迹，5-fold outer-LOO</w:t>
            </w:r>
          </w:p>
        </w:tc>
        <w:tc>
          <w:tcPr>
            <w:tcW w:w="1670" w:type="dxa"/>
            <w:hideMark/>
          </w:tcPr>
          <w:p w14:paraId="7BE84937"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b628deb89634...</w:t>
            </w:r>
          </w:p>
        </w:tc>
      </w:tr>
      <w:tr w:rsidR="00BF0BE1" w:rsidRPr="004643F8" w14:paraId="74A5BAF4" w14:textId="77777777" w:rsidTr="00BF0BE1">
        <w:trPr>
          <w:trHeight w:val="540"/>
          <w:jc w:val="center"/>
        </w:trPr>
        <w:tc>
          <w:tcPr>
            <w:tcW w:w="1838" w:type="dxa"/>
            <w:hideMark/>
          </w:tcPr>
          <w:p w14:paraId="53A81D77"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IMS processed source artifact</w:t>
            </w:r>
          </w:p>
        </w:tc>
        <w:tc>
          <w:tcPr>
            <w:tcW w:w="2126" w:type="dxa"/>
            <w:hideMark/>
          </w:tcPr>
          <w:p w14:paraId="737F2EDA"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Docker 复现流程中的补充公开源臂数据</w:t>
            </w:r>
          </w:p>
        </w:tc>
        <w:tc>
          <w:tcPr>
            <w:tcW w:w="2302" w:type="dxa"/>
            <w:hideMark/>
          </w:tcPr>
          <w:p w14:paraId="71354C1E"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与 FEMTO 支路分开记录，供交叉验证使用</w:t>
            </w:r>
          </w:p>
        </w:tc>
        <w:tc>
          <w:tcPr>
            <w:tcW w:w="1670" w:type="dxa"/>
            <w:hideMark/>
          </w:tcPr>
          <w:p w14:paraId="24B5FC88" w14:textId="77777777" w:rsidR="00BF0BE1" w:rsidRPr="004643F8" w:rsidRDefault="00BF0BE1">
            <w:pPr>
              <w:rPr>
                <w:rFonts w:asciiTheme="majorEastAsia" w:eastAsiaTheme="majorEastAsia" w:hAnsiTheme="majorEastAsia"/>
              </w:rPr>
            </w:pPr>
            <w:r w:rsidRPr="004643F8">
              <w:rPr>
                <w:rFonts w:asciiTheme="majorEastAsia" w:eastAsiaTheme="majorEastAsia" w:hAnsiTheme="majorEastAsia"/>
              </w:rPr>
              <w:t>887eea9cdb54...</w:t>
            </w:r>
          </w:p>
        </w:tc>
      </w:tr>
    </w:tbl>
    <w:p w14:paraId="11427A6C" w14:textId="77777777" w:rsidR="00D44646" w:rsidRPr="004643F8" w:rsidRDefault="00D44646" w:rsidP="009C429B">
      <w:pPr>
        <w:ind w:firstLine="420"/>
        <w:rPr>
          <w:rFonts w:asciiTheme="majorEastAsia" w:eastAsiaTheme="majorEastAsia" w:hAnsiTheme="majorEastAsia"/>
        </w:rPr>
      </w:pPr>
      <w:r w:rsidRPr="004643F8">
        <w:rPr>
          <w:rFonts w:asciiTheme="majorEastAsia" w:eastAsiaTheme="majorEastAsia" w:hAnsiTheme="majorEastAsia"/>
        </w:rPr>
        <w:t>以下逐类说明各数据材料的具体来源、构造方式及其在整个迁移框架中的角色定位。</w:t>
      </w:r>
    </w:p>
    <w:p w14:paraId="3E5F3217" w14:textId="77777777" w:rsidR="00D44646" w:rsidRPr="004643F8" w:rsidRDefault="00D44646" w:rsidP="009C429B">
      <w:pPr>
        <w:ind w:firstLine="420"/>
        <w:rPr>
          <w:rFonts w:asciiTheme="majorEastAsia" w:eastAsiaTheme="majorEastAsia" w:hAnsiTheme="majorEastAsia"/>
        </w:rPr>
      </w:pPr>
      <w:r w:rsidRPr="004643F8">
        <w:rPr>
          <w:rFonts w:asciiTheme="majorEastAsia" w:eastAsiaTheme="majorEastAsia" w:hAnsiTheme="majorEastAsia"/>
        </w:rPr>
        <w:t>源域预训练数据：严格200条喷嘴多轨迹。 该数据集承载源域退化知识预训练的核心功能。200条轨迹均为从全新状态至寿命终结的完整退化过程记录，烧蚀深度随累积工作时间单调递增。数据按 trajectory 级别随机划分为训练集、验证集与源域测试集三个子集——训练集轨迹用于编码器参数更新，验证集轨迹用于超参数选择与趋势先验筛选，源域测试集仅在源域模型审计阶段使用，全程不参与目标域适配流程。每一条轨迹均记录其唯一数据来源标识，确保同一条轨迹的所有观测记录（从起始至终止）归属于同一子集，从根本上杜绝时间序列切分中常见的跨 splits 信息泄露风险。</w:t>
      </w:r>
    </w:p>
    <w:p w14:paraId="65116050" w14:textId="3B299F97" w:rsidR="00D44646" w:rsidRPr="004643F8" w:rsidRDefault="00D44646" w:rsidP="009C429B">
      <w:pPr>
        <w:ind w:firstLine="420"/>
        <w:rPr>
          <w:rFonts w:asciiTheme="majorEastAsia" w:eastAsiaTheme="majorEastAsia" w:hAnsiTheme="majorEastAsia"/>
        </w:rPr>
      </w:pPr>
      <w:r w:rsidRPr="004643F8">
        <w:rPr>
          <w:rFonts w:asciiTheme="majorEastAsia" w:eastAsiaTheme="majorEastAsia" w:hAnsiTheme="majorEastAsia"/>
        </w:rPr>
        <w:t>目标域一：NASA电池数据。 该数据集源自NASA艾姆斯研究中心锂离子电池循环老化试验，包含四组电池样本在恒定充放电工况下的全寿命遥测记录。其中 B0005、B0006、B0018 三组电池完整经历了从容量充沛至触碰70%失效阈值的全过程，作为 event-observed outer folds 纳入标准 RMSE 宏平均计算。B0007 电池在试验终止时尚未达到失效阈值，属于右删失（right-censored）样本，其真实 </w:t>
      </w:r>
      <m:oMath>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oMath>
      <w:r w:rsidRPr="004643F8">
        <w:rPr>
          <w:rFonts w:asciiTheme="majorEastAsia" w:eastAsiaTheme="majorEastAsia" w:hAnsiTheme="majorEastAsia"/>
        </w:rPr>
        <w:t> 未知，故不参与精确数值评估，仅用作定性趋势验证与模型在删失数据下行为分析。该删失样本的纳入亦反映了航天在轨场景的典型信息不完备现实——并非所有在役组件均能观测到完整退化过程。</w:t>
      </w:r>
    </w:p>
    <w:p w14:paraId="66A8D399" w14:textId="77777777" w:rsidR="00D44646" w:rsidRPr="004643F8" w:rsidRDefault="00D44646" w:rsidP="009C429B">
      <w:pPr>
        <w:ind w:firstLine="420"/>
        <w:rPr>
          <w:rFonts w:asciiTheme="majorEastAsia" w:eastAsiaTheme="majorEastAsia" w:hAnsiTheme="majorEastAsia"/>
        </w:rPr>
      </w:pPr>
      <w:r w:rsidRPr="004643F8">
        <w:rPr>
          <w:rFonts w:asciiTheme="majorEastAsia" w:eastAsiaTheme="majorEastAsia" w:hAnsiTheme="majorEastAsia"/>
        </w:rPr>
        <w:t>目标域二补充验证线：FEMTO轴承数据。 该数据集为法国 FEMTO-ST 研究所公开的轴承加速寿命试验数据，记录了六个轴承样本在恒定转速与径向载荷下从正常运转至完全失效的完整振动信号历程。其退化机理（滚动接触疲劳引发的振动能量持续抬升）与反作用轮轴承磨损具有物理同源性，作为第二条独立的机械退化验证线，用以补充验证源域编码器在机械故障场景下的跨数据集迁移效果。六个轴承样本按 outer-LOO 协议进行六折评估，每一折使用五个样本进行微调训练、一个样本作为测试折。</w:t>
      </w:r>
    </w:p>
    <w:p w14:paraId="75CA7C0E" w14:textId="77777777" w:rsidR="00D44646" w:rsidRPr="004643F8" w:rsidRDefault="00D44646" w:rsidP="009C429B">
      <w:pPr>
        <w:ind w:firstLine="420"/>
        <w:rPr>
          <w:rFonts w:asciiTheme="majorEastAsia" w:eastAsiaTheme="majorEastAsia" w:hAnsiTheme="majorEastAsia"/>
        </w:rPr>
      </w:pPr>
      <w:r w:rsidRPr="004643F8">
        <w:rPr>
          <w:rFonts w:asciiTheme="majorEastAsia" w:eastAsiaTheme="majorEastAsia" w:hAnsiTheme="majorEastAsia"/>
        </w:rPr>
        <w:lastRenderedPageBreak/>
        <w:t>目标域二主线：COMSOL反作用轮自建退化模拟数据。 该项目自主构建的反作用轮长期机械退化模拟数据，基于润滑状态恶化的物理模型驱动多通道遥测信号产生符合工程认知的渐进变化。共生成五条独立轨迹，每条轨迹模拟不同初始参数与退化速率下的反作用轮全生命周期服役历程，覆盖转速、电流、温度等多通道信号的健康基线期、退化上升期与失效终止期三个典型阶段。五条轨迹按 5-fold outer-LOO 协议切分，每次预留一条轨迹作为测试折，其余四条用于微调训练。需要特别指出的是，该数据集旨在为迁移学习算法提供退化趋势结构清晰的目标域素材，其验证结果证明的是跨数据集知识迁移的方法可行性，不等同于真实在轨遥测条件下的星上放行结论。</w:t>
      </w:r>
    </w:p>
    <w:p w14:paraId="74061F5E" w14:textId="77777777" w:rsidR="00D44646" w:rsidRPr="004643F8" w:rsidRDefault="00D44646" w:rsidP="009C429B">
      <w:pPr>
        <w:ind w:firstLine="420"/>
        <w:rPr>
          <w:rFonts w:asciiTheme="majorEastAsia" w:eastAsiaTheme="majorEastAsia" w:hAnsiTheme="majorEastAsia"/>
        </w:rPr>
      </w:pPr>
      <w:r w:rsidRPr="004643F8">
        <w:rPr>
          <w:rFonts w:asciiTheme="majorEastAsia" w:eastAsiaTheme="majorEastAsia" w:hAnsiTheme="majorEastAsia"/>
        </w:rPr>
        <w:t>补充源臂数据：IMS processed source artifact。 该数据来自美国辛辛那提大学IMS中心公开的轴承全寿命试验，经统一预处理后作为补充源臂数据固化于 Docker 复现流程中。该支路与 FEMTO 支路分开记录和管理，主要用于在相同迁移框架下验证源域选择对迁移效果的稳定性，不作为主实验结论的依赖依据。</w:t>
      </w:r>
    </w:p>
    <w:p w14:paraId="16E1E5E7" w14:textId="634C0881" w:rsidR="00D44646" w:rsidRPr="004643F8" w:rsidRDefault="00D44646" w:rsidP="009C429B">
      <w:pPr>
        <w:ind w:firstLine="420"/>
        <w:rPr>
          <w:rFonts w:asciiTheme="majorEastAsia" w:eastAsiaTheme="majorEastAsia" w:hAnsiTheme="majorEastAsia" w:hint="eastAsia"/>
        </w:rPr>
      </w:pPr>
      <w:r w:rsidRPr="004643F8">
        <w:rPr>
          <w:rFonts w:asciiTheme="majorEastAsia" w:eastAsiaTheme="majorEastAsia" w:hAnsiTheme="majorEastAsia"/>
        </w:rPr>
        <w:t>可追溯性管理。 上述全部数据材料均经过完整的版本控制与哈希校验。完整数据路径、原始来源链接、全量 SHA-256 校验码及详细复现说明，统一记录于仓库根目录的 DATA_SOURCES.md、outputs/cross_component_transfer_v3/DATA_MANIFEST.json 以及 v5 运行目录中的 DATA_MANIFEST.json。任何数据文件的增删或修改均会导致 SHA-256 变更，从而被版本管理系统捕获，确保评审方可独立验证数据状态的完整性与一致性。</w:t>
      </w:r>
    </w:p>
    <w:p w14:paraId="211633C1" w14:textId="77777777" w:rsidR="00DD6137" w:rsidRPr="004643F8" w:rsidRDefault="00DD6137" w:rsidP="00DD6137">
      <w:pPr>
        <w:pStyle w:val="2"/>
        <w:rPr>
          <w:rFonts w:asciiTheme="majorEastAsia" w:eastAsiaTheme="majorEastAsia" w:hAnsiTheme="majorEastAsia"/>
        </w:rPr>
      </w:pPr>
      <w:r w:rsidRPr="004643F8">
        <w:rPr>
          <w:rFonts w:asciiTheme="majorEastAsia" w:eastAsiaTheme="majorEastAsia" w:hAnsiTheme="majorEastAsia"/>
          <w:b/>
          <w:bCs/>
        </w:rPr>
        <w:t>3.2 仿真数据生成与退化演化</w:t>
      </w:r>
    </w:p>
    <w:p w14:paraId="6BCC45C2" w14:textId="095847E4" w:rsidR="00DD6137" w:rsidRPr="004643F8" w:rsidRDefault="00DD6137" w:rsidP="00DD6137">
      <w:pPr>
        <w:rPr>
          <w:rFonts w:asciiTheme="majorEastAsia" w:eastAsiaTheme="majorEastAsia" w:hAnsiTheme="majorEastAsia"/>
        </w:rPr>
      </w:pPr>
      <w:r w:rsidRPr="004643F8">
        <w:rPr>
          <w:rFonts w:asciiTheme="majorEastAsia" w:eastAsiaTheme="majorEastAsia" w:hAnsiTheme="majorEastAsia"/>
        </w:rPr>
        <w:t>反作用轮作为航天器姿态控制系统的核心执行部件，其在轨服役过程中难以获取覆盖全生命周期的退化遥测数据——既无法在地面完整复现空间环境的综合效应，也难以在真实任务中等待组件自然失效。为突破这一数据瓶颈，项目采用多物理场仿真手段，以“退化工况设定 → 退化状态演化 → 可观测响应输出 → 终止条件判定”为主线，构建了反作用轮长期机械退化的全过程仿真链路，为目标域适配提供结构清晰、趋势可控的时序数据基础。本节详细阐述仿真数据的生成逻辑与退化演化过程。</w:t>
      </w:r>
    </w:p>
    <w:p w14:paraId="169D0ABB" w14:textId="77777777" w:rsidR="00DD6137" w:rsidRPr="004643F8" w:rsidRDefault="00DD6137" w:rsidP="00DD6137">
      <w:pPr>
        <w:rPr>
          <w:rFonts w:asciiTheme="majorEastAsia" w:eastAsiaTheme="majorEastAsia" w:hAnsiTheme="majorEastAsia"/>
        </w:rPr>
      </w:pPr>
      <w:r w:rsidRPr="004643F8">
        <w:rPr>
          <w:rFonts w:asciiTheme="majorEastAsia" w:eastAsiaTheme="majorEastAsia" w:hAnsiTheme="majorEastAsia"/>
        </w:rPr>
        <w:t>退化工况设定。 仿真的起点是定义反作用轮在轨运行的代表性工况。参考航天器姿态控制任务中反作用轮的典型载荷谱，设定包括稳态转速、周期性调速指令、环境温度边界以及母线电压波动范围在内的运行条件。这些工况参数作为仿真链路的固定输入，确保所有生成轨迹共享一致的宏观工作环境，从而消除因工况差异引入的额外变量，使退化趋势成为数据中主导的变异来源。</w:t>
      </w:r>
    </w:p>
    <w:p w14:paraId="21B1671A" w14:textId="17772AF7" w:rsidR="00DD6137" w:rsidRPr="004643F8" w:rsidRDefault="00DD6137" w:rsidP="00DD6137">
      <w:pPr>
        <w:rPr>
          <w:rFonts w:asciiTheme="majorEastAsia" w:eastAsiaTheme="majorEastAsia" w:hAnsiTheme="majorEastAsia"/>
        </w:rPr>
      </w:pPr>
      <w:r w:rsidRPr="004643F8">
        <w:rPr>
          <w:rFonts w:asciiTheme="majorEastAsia" w:eastAsiaTheme="majorEastAsia" w:hAnsiTheme="majorEastAsia"/>
        </w:rPr>
        <w:t>退化状态演化机制。 在固定工况之上，项目构建了参数化的退化进程驱动模型，用以模拟轴承润滑状态随累积运行时间的持续劣化。其核心设计思路为：引入一个不可逆的隐式退化状态变量 </w:t>
      </w:r>
      <m:oMath>
        <m:r>
          <w:rPr>
            <w:rFonts w:ascii="Cambria Math" w:eastAsiaTheme="majorEastAsia" w:hAnsi="Cambria Math"/>
          </w:rPr>
          <m:t>δ</m:t>
        </m:r>
        <m:d>
          <m:dPr>
            <m:ctrlPr>
              <w:rPr>
                <w:rFonts w:ascii="Cambria Math" w:eastAsiaTheme="majorEastAsia" w:hAnsi="Cambria Math"/>
              </w:rPr>
            </m:ctrlPr>
          </m:dPr>
          <m:e>
            <m:r>
              <w:rPr>
                <w:rFonts w:ascii="Cambria Math" w:eastAsiaTheme="majorEastAsia" w:hAnsi="Cambria Math"/>
              </w:rPr>
              <m:t>t</m:t>
            </m:r>
          </m:e>
        </m:d>
      </m:oMath>
      <w:r w:rsidRPr="004643F8">
        <w:rPr>
          <w:rFonts w:asciiTheme="majorEastAsia" w:eastAsiaTheme="majorEastAsia" w:hAnsiTheme="majorEastAsia"/>
        </w:rPr>
        <w:t>，该变量随仿真步数单调递增，其增长速率可配置以模拟不同样本间的退化速率差异。</w:t>
      </w:r>
      <m:oMath>
        <m:r>
          <w:rPr>
            <w:rFonts w:ascii="Cambria Math" w:eastAsiaTheme="majorEastAsia" w:hAnsi="Cambria Math"/>
          </w:rPr>
          <m:t>δ</m:t>
        </m:r>
        <m:d>
          <m:dPr>
            <m:ctrlPr>
              <w:rPr>
                <w:rFonts w:ascii="Cambria Math" w:eastAsiaTheme="majorEastAsia" w:hAnsi="Cambria Math"/>
              </w:rPr>
            </m:ctrlPr>
          </m:dPr>
          <m:e>
            <m:r>
              <w:rPr>
                <w:rFonts w:ascii="Cambria Math" w:eastAsiaTheme="majorEastAsia" w:hAnsi="Cambria Math"/>
              </w:rPr>
              <m:t>t</m:t>
            </m:r>
          </m:e>
        </m:d>
      </m:oMath>
      <w:r w:rsidRPr="004643F8">
        <w:rPr>
          <w:rFonts w:asciiTheme="majorEastAsia" w:eastAsiaTheme="majorEastAsia" w:hAnsiTheme="majorEastAsia"/>
        </w:rPr>
        <w:t> 并不直接作为输出特征存在，而是作为内部驱动信号，作用于多个物理场模块的边界条件与材料参数——例如，随着 </w:t>
      </w:r>
      <m:oMath>
        <m:r>
          <w:rPr>
            <w:rFonts w:ascii="Cambria Math" w:eastAsiaTheme="majorEastAsia" w:hAnsi="Cambria Math"/>
          </w:rPr>
          <m:t>δ</m:t>
        </m:r>
        <m:d>
          <m:dPr>
            <m:ctrlPr>
              <w:rPr>
                <w:rFonts w:ascii="Cambria Math" w:eastAsiaTheme="majorEastAsia" w:hAnsi="Cambria Math"/>
              </w:rPr>
            </m:ctrlPr>
          </m:dPr>
          <m:e>
            <m:r>
              <w:rPr>
                <w:rFonts w:ascii="Cambria Math" w:eastAsiaTheme="majorEastAsia" w:hAnsi="Cambria Math"/>
              </w:rPr>
              <m:t>t</m:t>
            </m:r>
          </m:e>
        </m:d>
      </m:oMath>
      <w:r w:rsidRPr="004643F8">
        <w:rPr>
          <w:rFonts w:asciiTheme="majorEastAsia" w:eastAsiaTheme="majorEastAsia" w:hAnsiTheme="majorEastAsia"/>
        </w:rPr>
        <w:t> 增大，轴承接触面的摩擦系数逐步上调、润滑膜承载能力递减、热生成率增加。这种设计使得摩擦、振动与热场的演化并非独立随机波动，而是统一受同一退化进程支配，因而具有内在的物理一致性与时序相关性。</w:t>
      </w:r>
    </w:p>
    <w:p w14:paraId="2DCD08A5" w14:textId="77777777" w:rsidR="00DD6137" w:rsidRPr="004643F8" w:rsidRDefault="00DD6137" w:rsidP="00DD6137">
      <w:pPr>
        <w:rPr>
          <w:rFonts w:asciiTheme="majorEastAsia" w:eastAsiaTheme="majorEastAsia" w:hAnsiTheme="majorEastAsia"/>
        </w:rPr>
      </w:pPr>
      <w:r w:rsidRPr="004643F8">
        <w:rPr>
          <w:rFonts w:asciiTheme="majorEastAsia" w:eastAsiaTheme="majorEastAsia" w:hAnsiTheme="majorEastAsia"/>
        </w:rPr>
        <w:t>可观测响应输出。 在上述退化状态变量的驱动下，多物理场耦合模型在每一仿真步输出可被星上传感器实际测量的工程遥测参量，包括但不限于：轴系摩擦力矩（直接反映摩擦状态恶化）、电机驱动电流（摩擦力矩上升导致电流补偿性增加）、轴系转速波动（润滑状态劣化引发速度控制误差增大）、轴承区域温升（摩擦热生成加剧）以及振动加速度幅值（接触面微动磨损激发的振动能量抬升）。这些多通道遥测信号共同构成退化过程的观测表征，直接输入寿命预测模型作为时序特征。全部输出信号在生成后经统一的健康方向检查（参照2.1节定义的 health 构造原则），确认各通道的退化趋势与整体健康状态单调对齐。</w:t>
      </w:r>
    </w:p>
    <w:p w14:paraId="2DD15E43" w14:textId="183EC152" w:rsidR="00DD6137" w:rsidRPr="004643F8" w:rsidRDefault="00DD6137" w:rsidP="00DD6137">
      <w:pPr>
        <w:rPr>
          <w:rFonts w:asciiTheme="majorEastAsia" w:eastAsiaTheme="majorEastAsia" w:hAnsiTheme="majorEastAsia"/>
        </w:rPr>
      </w:pPr>
      <w:r w:rsidRPr="004643F8">
        <w:rPr>
          <w:rFonts w:asciiTheme="majorEastAsia" w:eastAsiaTheme="majorEastAsia" w:hAnsiTheme="majorEastAsia"/>
        </w:rPr>
        <w:t>终止条件与 RUL 标签定义。 每条仿真轨迹的寿命终点 </w:t>
      </w:r>
      <m:oMath>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oMath>
      <w:r w:rsidRPr="004643F8">
        <w:rPr>
          <w:rFonts w:asciiTheme="majorEastAsia" w:eastAsiaTheme="majorEastAsia" w:hAnsiTheme="majorEastAsia"/>
        </w:rPr>
        <w:t> 由预设的失效阈值驱动判</w:t>
      </w:r>
      <w:r w:rsidRPr="004643F8">
        <w:rPr>
          <w:rFonts w:asciiTheme="majorEastAsia" w:eastAsiaTheme="majorEastAsia" w:hAnsiTheme="majorEastAsia"/>
        </w:rPr>
        <w:lastRenderedPageBreak/>
        <w:t>定——当摩擦力矩或振动 RMS 等关键健康指示量首次超越工程经验阈值时，当前步被标记为寿命终点，仿真终止。随后以轨迹末端为参考零点，将每一观测时刻到末端的剩余步数定义为该时刻的真实 RUL 标签 </w:t>
      </w:r>
      <m:oMath>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r>
          <w:rPr>
            <w:rFonts w:ascii="Cambria Math" w:eastAsiaTheme="majorEastAsia" w:hAnsi="Cambria Math"/>
          </w:rPr>
          <m:t>-t</m:t>
        </m:r>
      </m:oMath>
      <w:r w:rsidRPr="004643F8">
        <w:rPr>
          <w:rFonts w:asciiTheme="majorEastAsia" w:eastAsiaTheme="majorEastAsia" w:hAnsiTheme="majorEastAsia"/>
        </w:rPr>
        <w:t>。该标签体系使模型面对的是从健康退化至失效的全过程连续预测任务，而非仅在故障点附近进行单点分类，与赛事要求的“长期渐进退化”场景定位高度一致。</w:t>
      </w:r>
    </w:p>
    <w:p w14:paraId="5419EC48" w14:textId="77777777" w:rsidR="00DD6137" w:rsidRPr="004643F8" w:rsidRDefault="00DD6137" w:rsidP="00DD6137">
      <w:pPr>
        <w:rPr>
          <w:rFonts w:asciiTheme="majorEastAsia" w:eastAsiaTheme="majorEastAsia" w:hAnsiTheme="majorEastAsia"/>
        </w:rPr>
      </w:pPr>
      <w:r w:rsidRPr="004643F8">
        <w:rPr>
          <w:rFonts w:asciiTheme="majorEastAsia" w:eastAsiaTheme="majorEastAsia" w:hAnsiTheme="majorEastAsia"/>
        </w:rPr>
        <w:t>数据版本化与可复现性保障。 全部仿真输出在生成后立即进行版本化存档，原始未处理数据、后处理特征提取脚本以及最终用于模型训练的特征矩阵均各自计算 SHA-256 哈希值并记录于数据清单中。仿真参数配置文件（包括退化速率、工况参数、失效阈值等）一并固化于版本控制系统，确保评审方可独立复现从原始仿真输出到模型输入特征的完整处理链路。任何一个环节的变更都将引起哈希值变动，从而被版本管理捕获。</w:t>
      </w:r>
    </w:p>
    <w:p w14:paraId="018A6BFD" w14:textId="77777777" w:rsidR="00DD6137" w:rsidRPr="004643F8" w:rsidRDefault="00DD6137" w:rsidP="00DD6137">
      <w:pPr>
        <w:rPr>
          <w:rFonts w:asciiTheme="majorEastAsia" w:eastAsiaTheme="majorEastAsia" w:hAnsiTheme="majorEastAsia"/>
        </w:rPr>
      </w:pPr>
      <w:r w:rsidRPr="004643F8">
        <w:rPr>
          <w:rFonts w:asciiTheme="majorEastAsia" w:eastAsiaTheme="majorEastAsia" w:hAnsiTheme="majorEastAsia"/>
        </w:rPr>
        <w:t>工程边界声明。 需要明确的是，本仿真数据旨在为跨域迁移学习算法提供退化趋势结构清晰、标签完整可用的目标域素材，其验证结果反映的是“自建高保真退化模拟 + 公开退化数据源”联合框架下的迁移方法可行性。该结果不等同于真实在轨遥测条件下的星上放行结论，亦不替代实际航天型号任务中基于实物验证的可靠性评估流程。项目严格区分“算法方法验证”与“工程型号放行”两个层次，本报告的全部结论均定位于前者。</w:t>
      </w:r>
    </w:p>
    <w:p w14:paraId="365D769E" w14:textId="77777777" w:rsidR="00DD6137" w:rsidRPr="004643F8" w:rsidRDefault="00DD6137" w:rsidP="00DD6137">
      <w:pPr>
        <w:rPr>
          <w:rFonts w:asciiTheme="majorEastAsia" w:eastAsiaTheme="majorEastAsia" w:hAnsiTheme="majorEastAsia"/>
        </w:rPr>
      </w:pPr>
      <w:r w:rsidRPr="004643F8">
        <w:rPr>
          <w:rFonts w:asciiTheme="majorEastAsia" w:eastAsiaTheme="majorEastAsia" w:hAnsiTheme="majorEastAsia"/>
        </w:rPr>
        <w:t>综上，仿真数据生成与退化演化的关键要素汇总如下：</w:t>
      </w:r>
    </w:p>
    <w:p w14:paraId="0BBAD3EE" w14:textId="22C5BBD6" w:rsidR="00C14037" w:rsidRPr="004643F8" w:rsidRDefault="00C14037" w:rsidP="00DD6137">
      <w:pPr>
        <w:rPr>
          <w:rFonts w:asciiTheme="majorEastAsia" w:eastAsiaTheme="majorEastAsia" w:hAnsiTheme="majorEastAsia" w:hint="eastAsia"/>
        </w:rPr>
      </w:pPr>
      <w:r w:rsidRPr="004643F8">
        <w:rPr>
          <w:rFonts w:asciiTheme="majorEastAsia" w:eastAsiaTheme="majorEastAsia" w:hAnsiTheme="majorEastAsia"/>
        </w:rPr>
        <w:t>表</w:t>
      </w:r>
      <w:r w:rsidR="009E0C6D" w:rsidRPr="004643F8">
        <w:rPr>
          <w:rFonts w:asciiTheme="majorEastAsia" w:eastAsiaTheme="majorEastAsia" w:hAnsiTheme="majorEastAsia" w:hint="eastAsia"/>
        </w:rPr>
        <w:t>7</w:t>
      </w:r>
      <w:r w:rsidRPr="004643F8">
        <w:rPr>
          <w:rFonts w:asciiTheme="majorEastAsia" w:eastAsiaTheme="majorEastAsia" w:hAnsiTheme="majorEastAsia" w:hint="eastAsia"/>
        </w:rPr>
        <w:t xml:space="preserve"> </w:t>
      </w:r>
      <w:r w:rsidRPr="004643F8">
        <w:rPr>
          <w:rFonts w:asciiTheme="majorEastAsia" w:eastAsiaTheme="majorEastAsia" w:hAnsiTheme="majorEastAsia"/>
        </w:rPr>
        <w:t>仿真数据生成与退化演化关键要素汇总表</w:t>
      </w:r>
    </w:p>
    <w:tbl>
      <w:tblPr>
        <w:tblStyle w:val="af2"/>
        <w:tblW w:w="8222" w:type="dxa"/>
        <w:jc w:val="center"/>
        <w:tblLook w:val="04A0" w:firstRow="1" w:lastRow="0" w:firstColumn="1" w:lastColumn="0" w:noHBand="0" w:noVBand="1"/>
      </w:tblPr>
      <w:tblGrid>
        <w:gridCol w:w="1559"/>
        <w:gridCol w:w="6663"/>
      </w:tblGrid>
      <w:tr w:rsidR="00D41CC1" w:rsidRPr="004643F8" w14:paraId="0E9EF05D" w14:textId="77777777" w:rsidTr="009F3423">
        <w:trPr>
          <w:trHeight w:val="272"/>
          <w:jc w:val="center"/>
        </w:trPr>
        <w:tc>
          <w:tcPr>
            <w:tcW w:w="1559" w:type="dxa"/>
            <w:vAlign w:val="center"/>
            <w:hideMark/>
          </w:tcPr>
          <w:p w14:paraId="3C59B5F8"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要素</w:t>
            </w:r>
          </w:p>
        </w:tc>
        <w:tc>
          <w:tcPr>
            <w:tcW w:w="6663" w:type="dxa"/>
            <w:vAlign w:val="center"/>
            <w:hideMark/>
          </w:tcPr>
          <w:p w14:paraId="58A6B5F2"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说明</w:t>
            </w:r>
          </w:p>
        </w:tc>
      </w:tr>
      <w:tr w:rsidR="00D41CC1" w:rsidRPr="004643F8" w14:paraId="696EFD05" w14:textId="77777777" w:rsidTr="009F3423">
        <w:trPr>
          <w:trHeight w:val="272"/>
          <w:jc w:val="center"/>
        </w:trPr>
        <w:tc>
          <w:tcPr>
            <w:tcW w:w="1559" w:type="dxa"/>
            <w:vAlign w:val="center"/>
            <w:hideMark/>
          </w:tcPr>
          <w:p w14:paraId="0277E566"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工况设定</w:t>
            </w:r>
          </w:p>
        </w:tc>
        <w:tc>
          <w:tcPr>
            <w:tcW w:w="6663" w:type="dxa"/>
            <w:vAlign w:val="center"/>
            <w:hideMark/>
          </w:tcPr>
          <w:p w14:paraId="4CA823B7"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参考航天器姿态控制典型载荷谱，固定转速、温度、电压等运行边界条件</w:t>
            </w:r>
          </w:p>
        </w:tc>
      </w:tr>
      <w:tr w:rsidR="00D41CC1" w:rsidRPr="004643F8" w14:paraId="6F15F9D2" w14:textId="77777777" w:rsidTr="009F3423">
        <w:trPr>
          <w:trHeight w:val="272"/>
          <w:jc w:val="center"/>
        </w:trPr>
        <w:tc>
          <w:tcPr>
            <w:tcW w:w="1559" w:type="dxa"/>
            <w:vAlign w:val="center"/>
            <w:hideMark/>
          </w:tcPr>
          <w:p w14:paraId="61ED9BFB"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退化驱动变量</w:t>
            </w:r>
          </w:p>
        </w:tc>
        <w:tc>
          <w:tcPr>
            <w:tcW w:w="6663" w:type="dxa"/>
            <w:vAlign w:val="center"/>
            <w:hideMark/>
          </w:tcPr>
          <w:p w14:paraId="7385CCFD" w14:textId="1F037E5B"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隐式状态 </w:t>
            </w:r>
            <m:oMath>
              <m:r>
                <w:rPr>
                  <w:rFonts w:ascii="Cambria Math" w:eastAsiaTheme="majorEastAsia" w:hAnsi="Cambria Math"/>
                </w:rPr>
                <m:t>δ(t)</m:t>
              </m:r>
            </m:oMath>
            <w:r w:rsidRPr="004643F8">
              <w:rPr>
                <w:rFonts w:asciiTheme="majorEastAsia" w:eastAsiaTheme="majorEastAsia" w:hAnsiTheme="majorEastAsia"/>
              </w:rPr>
              <w:t>，单调递增，控制各物理场参数的渐进调整</w:t>
            </w:r>
          </w:p>
        </w:tc>
      </w:tr>
      <w:tr w:rsidR="00D41CC1" w:rsidRPr="004643F8" w14:paraId="6DAEEAAC" w14:textId="77777777" w:rsidTr="009F3423">
        <w:trPr>
          <w:trHeight w:val="272"/>
          <w:jc w:val="center"/>
        </w:trPr>
        <w:tc>
          <w:tcPr>
            <w:tcW w:w="1559" w:type="dxa"/>
            <w:vAlign w:val="center"/>
            <w:hideMark/>
          </w:tcPr>
          <w:p w14:paraId="391DED7E"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多通道遥测输出</w:t>
            </w:r>
          </w:p>
        </w:tc>
        <w:tc>
          <w:tcPr>
            <w:tcW w:w="6663" w:type="dxa"/>
            <w:vAlign w:val="center"/>
            <w:hideMark/>
          </w:tcPr>
          <w:p w14:paraId="4C2CCC85"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摩擦力矩、驱动电流、转速波动、温升、振动幅值等可观测响应</w:t>
            </w:r>
          </w:p>
        </w:tc>
      </w:tr>
      <w:tr w:rsidR="00D41CC1" w:rsidRPr="004643F8" w14:paraId="28C111E5" w14:textId="77777777" w:rsidTr="009F3423">
        <w:trPr>
          <w:trHeight w:val="272"/>
          <w:jc w:val="center"/>
        </w:trPr>
        <w:tc>
          <w:tcPr>
            <w:tcW w:w="1559" w:type="dxa"/>
            <w:vAlign w:val="center"/>
            <w:hideMark/>
          </w:tcPr>
          <w:p w14:paraId="6A6DB8F3"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失效阈值</w:t>
            </w:r>
          </w:p>
        </w:tc>
        <w:tc>
          <w:tcPr>
            <w:tcW w:w="6663" w:type="dxa"/>
            <w:vAlign w:val="center"/>
            <w:hideMark/>
          </w:tcPr>
          <w:p w14:paraId="0E5D34D9"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关键健康指示量触及工程经验阈值时判定寿命终结</w:t>
            </w:r>
          </w:p>
        </w:tc>
      </w:tr>
      <w:tr w:rsidR="00D41CC1" w:rsidRPr="004643F8" w14:paraId="3EBDF4F5" w14:textId="77777777" w:rsidTr="009F3423">
        <w:trPr>
          <w:trHeight w:val="272"/>
          <w:jc w:val="center"/>
        </w:trPr>
        <w:tc>
          <w:tcPr>
            <w:tcW w:w="1559" w:type="dxa"/>
            <w:vAlign w:val="center"/>
            <w:hideMark/>
          </w:tcPr>
          <w:p w14:paraId="11D8465A"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RUL 标签</w:t>
            </w:r>
          </w:p>
        </w:tc>
        <w:tc>
          <w:tcPr>
            <w:tcW w:w="6663" w:type="dxa"/>
            <w:vAlign w:val="center"/>
            <w:hideMark/>
          </w:tcPr>
          <w:p w14:paraId="310F9B1A" w14:textId="134FC795" w:rsidR="00D41CC1" w:rsidRPr="004643F8" w:rsidRDefault="00DA4E8A" w:rsidP="00C219E8">
            <w:pPr>
              <w:jc w:val="center"/>
              <w:rPr>
                <w:rFonts w:asciiTheme="majorEastAsia" w:eastAsiaTheme="majorEastAsia" w:hAnsiTheme="majorEastAsia"/>
              </w:rPr>
            </w:pPr>
            <m:oMath>
              <m:sSub>
                <m:sSubPr>
                  <m:ctrlPr>
                    <w:rPr>
                      <w:rFonts w:ascii="Cambria Math" w:eastAsiaTheme="majorEastAsia" w:hAnsi="Cambria Math"/>
                      <w:i/>
                    </w:rPr>
                  </m:ctrlPr>
                </m:sSubPr>
                <m:e>
                  <m:r>
                    <w:rPr>
                      <w:rFonts w:ascii="Cambria Math" w:eastAsiaTheme="majorEastAsia" w:hAnsi="Cambria Math"/>
                    </w:rPr>
                    <m:t>r</m:t>
                  </m:r>
                </m:e>
                <m:sub>
                  <m:r>
                    <w:rPr>
                      <w:rFonts w:ascii="Cambria Math" w:eastAsiaTheme="majorEastAsia" w:hAnsi="Cambria Math" w:hint="eastAsia"/>
                    </w:rPr>
                    <m:t>t</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T</m:t>
                  </m:r>
                </m:e>
                <m:sub>
                  <m:r>
                    <w:rPr>
                      <w:rFonts w:ascii="Cambria Math" w:eastAsiaTheme="majorEastAsia" w:hAnsi="Cambria Math"/>
                    </w:rPr>
                    <m:t>EOL</m:t>
                  </m:r>
                </m:sub>
              </m:sSub>
              <m:r>
                <w:rPr>
                  <w:rFonts w:ascii="Cambria Math" w:eastAsiaTheme="majorEastAsia" w:hAnsi="Cambria Math"/>
                </w:rPr>
                <m:t>-t</m:t>
              </m:r>
            </m:oMath>
            <w:r w:rsidRPr="004643F8">
              <w:rPr>
                <w:rFonts w:asciiTheme="majorEastAsia" w:eastAsiaTheme="majorEastAsia" w:hAnsiTheme="majorEastAsia"/>
              </w:rPr>
              <w:t>，</w:t>
            </w:r>
            <w:r w:rsidR="00D41CC1" w:rsidRPr="004643F8">
              <w:rPr>
                <w:rFonts w:asciiTheme="majorEastAsia" w:eastAsiaTheme="majorEastAsia" w:hAnsiTheme="majorEastAsia"/>
              </w:rPr>
              <w:t>以剩余观测步数为单位，覆盖全生命周期</w:t>
            </w:r>
          </w:p>
        </w:tc>
      </w:tr>
      <w:tr w:rsidR="00D41CC1" w:rsidRPr="004643F8" w14:paraId="6275A67D" w14:textId="77777777" w:rsidTr="009F3423">
        <w:trPr>
          <w:trHeight w:val="272"/>
          <w:jc w:val="center"/>
        </w:trPr>
        <w:tc>
          <w:tcPr>
            <w:tcW w:w="1559" w:type="dxa"/>
            <w:vAlign w:val="center"/>
            <w:hideMark/>
          </w:tcPr>
          <w:p w14:paraId="186B43E8"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版本化措施</w:t>
            </w:r>
          </w:p>
        </w:tc>
        <w:tc>
          <w:tcPr>
            <w:tcW w:w="6663" w:type="dxa"/>
            <w:vAlign w:val="center"/>
            <w:hideMark/>
          </w:tcPr>
          <w:p w14:paraId="6618DA25"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原始输出、特征矩阵、仿真配置分别计算 SHA-256，存档于数据清单</w:t>
            </w:r>
          </w:p>
        </w:tc>
      </w:tr>
      <w:tr w:rsidR="00D41CC1" w:rsidRPr="004643F8" w14:paraId="4E85092B" w14:textId="77777777" w:rsidTr="009F3423">
        <w:trPr>
          <w:trHeight w:val="272"/>
          <w:jc w:val="center"/>
        </w:trPr>
        <w:tc>
          <w:tcPr>
            <w:tcW w:w="1559" w:type="dxa"/>
            <w:vAlign w:val="center"/>
            <w:hideMark/>
          </w:tcPr>
          <w:p w14:paraId="5680FC93"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工程边界</w:t>
            </w:r>
          </w:p>
        </w:tc>
        <w:tc>
          <w:tcPr>
            <w:tcW w:w="6663" w:type="dxa"/>
            <w:vAlign w:val="center"/>
            <w:hideMark/>
          </w:tcPr>
          <w:p w14:paraId="2D667436" w14:textId="77777777" w:rsidR="00D41CC1" w:rsidRPr="004643F8" w:rsidRDefault="00D41CC1" w:rsidP="00C219E8">
            <w:pPr>
              <w:jc w:val="center"/>
              <w:rPr>
                <w:rFonts w:asciiTheme="majorEastAsia" w:eastAsiaTheme="majorEastAsia" w:hAnsiTheme="majorEastAsia"/>
              </w:rPr>
            </w:pPr>
            <w:r w:rsidRPr="004643F8">
              <w:rPr>
                <w:rFonts w:asciiTheme="majorEastAsia" w:eastAsiaTheme="majorEastAsia" w:hAnsiTheme="majorEastAsia"/>
              </w:rPr>
              <w:t>本结果为算法迁移能力的方法验证，不等同于真实在轨遥测放行结论</w:t>
            </w:r>
          </w:p>
        </w:tc>
      </w:tr>
    </w:tbl>
    <w:p w14:paraId="3D8F90BC" w14:textId="77777777" w:rsidR="008E2FB9" w:rsidRPr="004643F8" w:rsidRDefault="008E2FB9" w:rsidP="008E2FB9">
      <w:pPr>
        <w:rPr>
          <w:rFonts w:asciiTheme="majorEastAsia" w:eastAsiaTheme="majorEastAsia" w:hAnsiTheme="majorEastAsia"/>
        </w:rPr>
      </w:pPr>
      <w:r w:rsidRPr="004643F8">
        <w:rPr>
          <w:rFonts w:asciiTheme="majorEastAsia" w:eastAsiaTheme="majorEastAsia" w:hAnsiTheme="majorEastAsia"/>
        </w:rPr>
        <w:t>在跨域迁移学习框架中，数据泄漏是威胁实验结果可信度的首要风险因素。所谓数据泄漏，指的是在模型训练、超参数选择或预处理参数估计过程中，直接或间接使用了本应仅在最终评估阶段可见的信息——例如测试集的标签分布、目标域全寿命周期的极值范围、或者同一轨迹在不同数据折之间的交叉渗透。一旦发生泄漏，模型的泛化性能将被系统性高估，其所报告的精度增益无法在真实部署场景中复现，整个实验结论的科学价值也随之瓦解。</w:t>
      </w:r>
    </w:p>
    <w:p w14:paraId="47B049C6" w14:textId="77777777" w:rsidR="008E2FB9" w:rsidRPr="004643F8" w:rsidRDefault="008E2FB9" w:rsidP="008E2FB9">
      <w:pPr>
        <w:rPr>
          <w:rFonts w:asciiTheme="majorEastAsia" w:eastAsiaTheme="majorEastAsia" w:hAnsiTheme="majorEastAsia"/>
        </w:rPr>
      </w:pPr>
      <w:r w:rsidRPr="004643F8">
        <w:rPr>
          <w:rFonts w:asciiTheme="majorEastAsia" w:eastAsiaTheme="majorEastAsia" w:hAnsiTheme="majorEastAsia"/>
        </w:rPr>
        <w:t>本项目针对迁移学习流程中的每一个数据接触环节，建立了系统性的可见性控制规则。其核心原则可概括为：</w:t>
      </w:r>
      <w:r w:rsidRPr="004643F8">
        <w:rPr>
          <w:rFonts w:asciiTheme="majorEastAsia" w:eastAsiaTheme="majorEastAsia" w:hAnsiTheme="majorEastAsia"/>
          <w:b/>
          <w:bCs/>
        </w:rPr>
        <w:t>所有数据变换参数的估计、模型权重的更新、超参数的选取以及早停判据的生成，均仅允许使用当前训练折（fit groups）内的数据；测试折（holdout）在最终评估之前，不得以任何形式参与上述任一环节。</w:t>
      </w:r>
      <w:r w:rsidRPr="004643F8">
        <w:rPr>
          <w:rFonts w:asciiTheme="majorEastAsia" w:eastAsiaTheme="majorEastAsia" w:hAnsiTheme="majorEastAsia"/>
        </w:rPr>
        <w:t> 下表逐项列出各关键对象的可见性边界与审计结论：</w:t>
      </w:r>
    </w:p>
    <w:tbl>
      <w:tblPr>
        <w:tblStyle w:val="af2"/>
        <w:tblW w:w="0" w:type="auto"/>
        <w:jc w:val="center"/>
        <w:tblLayout w:type="fixed"/>
        <w:tblLook w:val="04A0" w:firstRow="1" w:lastRow="0" w:firstColumn="1" w:lastColumn="0" w:noHBand="0" w:noVBand="1"/>
      </w:tblPr>
      <w:tblGrid>
        <w:gridCol w:w="1555"/>
        <w:gridCol w:w="1842"/>
        <w:gridCol w:w="2841"/>
        <w:gridCol w:w="1837"/>
      </w:tblGrid>
      <w:tr w:rsidR="008E2FB9" w:rsidRPr="004643F8" w14:paraId="71F9F5BE" w14:textId="77777777" w:rsidTr="00497F67">
        <w:trPr>
          <w:trHeight w:val="272"/>
          <w:jc w:val="center"/>
        </w:trPr>
        <w:tc>
          <w:tcPr>
            <w:tcW w:w="1555" w:type="dxa"/>
            <w:vAlign w:val="center"/>
            <w:hideMark/>
          </w:tcPr>
          <w:p w14:paraId="0EEF8903"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对象</w:t>
            </w:r>
          </w:p>
        </w:tc>
        <w:tc>
          <w:tcPr>
            <w:tcW w:w="1842" w:type="dxa"/>
            <w:vAlign w:val="center"/>
            <w:hideMark/>
          </w:tcPr>
          <w:p w14:paraId="1667EEA4"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允许使用的数据</w:t>
            </w:r>
          </w:p>
        </w:tc>
        <w:tc>
          <w:tcPr>
            <w:tcW w:w="2841" w:type="dxa"/>
            <w:vAlign w:val="center"/>
            <w:hideMark/>
          </w:tcPr>
          <w:p w14:paraId="2C3AC60C"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禁止使用的数据</w:t>
            </w:r>
          </w:p>
        </w:tc>
        <w:tc>
          <w:tcPr>
            <w:tcW w:w="1837" w:type="dxa"/>
            <w:vAlign w:val="center"/>
            <w:hideMark/>
          </w:tcPr>
          <w:p w14:paraId="65CC843D"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审计结论</w:t>
            </w:r>
          </w:p>
        </w:tc>
      </w:tr>
      <w:tr w:rsidR="008E2FB9" w:rsidRPr="004643F8" w14:paraId="0F77D025" w14:textId="77777777" w:rsidTr="00497F67">
        <w:trPr>
          <w:trHeight w:val="272"/>
          <w:jc w:val="center"/>
        </w:trPr>
        <w:tc>
          <w:tcPr>
            <w:tcW w:w="1555" w:type="dxa"/>
            <w:vAlign w:val="center"/>
            <w:hideMark/>
          </w:tcPr>
          <w:p w14:paraId="1D557535"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源域预训练</w:t>
            </w:r>
          </w:p>
        </w:tc>
        <w:tc>
          <w:tcPr>
            <w:tcW w:w="1842" w:type="dxa"/>
            <w:vAlign w:val="center"/>
            <w:hideMark/>
          </w:tcPr>
          <w:p w14:paraId="727E3D67"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source train trajectories</w:t>
            </w:r>
          </w:p>
        </w:tc>
        <w:tc>
          <w:tcPr>
            <w:tcW w:w="2841" w:type="dxa"/>
            <w:vAlign w:val="center"/>
            <w:hideMark/>
          </w:tcPr>
          <w:p w14:paraId="70069FBC"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source validation/test 的标签或 loss 信息用于参数更新</w:t>
            </w:r>
          </w:p>
        </w:tc>
        <w:tc>
          <w:tcPr>
            <w:tcW w:w="1837" w:type="dxa"/>
            <w:vAlign w:val="center"/>
            <w:hideMark/>
          </w:tcPr>
          <w:p w14:paraId="492AF14C"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通过</w:t>
            </w:r>
          </w:p>
        </w:tc>
      </w:tr>
      <w:tr w:rsidR="008E2FB9" w:rsidRPr="004643F8" w14:paraId="76EA0A99" w14:textId="77777777" w:rsidTr="00497F67">
        <w:trPr>
          <w:trHeight w:val="272"/>
          <w:jc w:val="center"/>
        </w:trPr>
        <w:tc>
          <w:tcPr>
            <w:tcW w:w="1555" w:type="dxa"/>
            <w:vAlign w:val="center"/>
            <w:hideMark/>
          </w:tcPr>
          <w:p w14:paraId="0278E5A0"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目标 scaler</w:t>
            </w:r>
          </w:p>
        </w:tc>
        <w:tc>
          <w:tcPr>
            <w:tcW w:w="1842" w:type="dxa"/>
            <w:vAlign w:val="center"/>
            <w:hideMark/>
          </w:tcPr>
          <w:p w14:paraId="730DD7DB"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当前 outer fold 的 fit groups</w:t>
            </w:r>
          </w:p>
        </w:tc>
        <w:tc>
          <w:tcPr>
            <w:tcW w:w="2841" w:type="dxa"/>
            <w:vAlign w:val="center"/>
            <w:hideMark/>
          </w:tcPr>
          <w:p w14:paraId="751ED742"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holdout 轨迹的任何记录、全寿命 min/max</w:t>
            </w:r>
          </w:p>
        </w:tc>
        <w:tc>
          <w:tcPr>
            <w:tcW w:w="1837" w:type="dxa"/>
            <w:vAlign w:val="center"/>
            <w:hideMark/>
          </w:tcPr>
          <w:p w14:paraId="3B34E2B5"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通过</w:t>
            </w:r>
          </w:p>
        </w:tc>
      </w:tr>
      <w:tr w:rsidR="008E2FB9" w:rsidRPr="004643F8" w14:paraId="5A6CFC5B" w14:textId="77777777" w:rsidTr="00497F67">
        <w:trPr>
          <w:trHeight w:val="272"/>
          <w:jc w:val="center"/>
        </w:trPr>
        <w:tc>
          <w:tcPr>
            <w:tcW w:w="1555" w:type="dxa"/>
            <w:vAlign w:val="center"/>
            <w:hideMark/>
          </w:tcPr>
          <w:p w14:paraId="0BA58F6A"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 xml:space="preserve">target prior </w:t>
            </w:r>
            <w:r w:rsidRPr="004643F8">
              <w:rPr>
                <w:rFonts w:asciiTheme="majorEastAsia" w:eastAsiaTheme="majorEastAsia" w:hAnsiTheme="majorEastAsia"/>
              </w:rPr>
              <w:lastRenderedPageBreak/>
              <w:t>/ 趋势先验</w:t>
            </w:r>
          </w:p>
        </w:tc>
        <w:tc>
          <w:tcPr>
            <w:tcW w:w="1842" w:type="dxa"/>
            <w:vAlign w:val="center"/>
            <w:hideMark/>
          </w:tcPr>
          <w:p w14:paraId="697B847C"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lastRenderedPageBreak/>
              <w:t>fit groups 的输</w:t>
            </w:r>
            <w:r w:rsidRPr="004643F8">
              <w:rPr>
                <w:rFonts w:asciiTheme="majorEastAsia" w:eastAsiaTheme="majorEastAsia" w:hAnsiTheme="majorEastAsia"/>
              </w:rPr>
              <w:lastRenderedPageBreak/>
              <w:t>入特征与 RUL 标签</w:t>
            </w:r>
          </w:p>
        </w:tc>
        <w:tc>
          <w:tcPr>
            <w:tcW w:w="2841" w:type="dxa"/>
            <w:vAlign w:val="center"/>
            <w:hideMark/>
          </w:tcPr>
          <w:p w14:paraId="429684FA"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lastRenderedPageBreak/>
              <w:t xml:space="preserve">holdout 标签、holdout </w:t>
            </w:r>
            <w:r w:rsidRPr="004643F8">
              <w:rPr>
                <w:rFonts w:asciiTheme="majorEastAsia" w:eastAsiaTheme="majorEastAsia" w:hAnsiTheme="majorEastAsia"/>
              </w:rPr>
              <w:lastRenderedPageBreak/>
              <w:t>的 TEOL</w:t>
            </w:r>
            <w:r w:rsidRPr="004643F8">
              <w:rPr>
                <w:rFonts w:asciiTheme="majorEastAsia" w:eastAsiaTheme="majorEastAsia" w:hAnsiTheme="majorEastAsia"/>
                <w:i/>
                <w:iCs/>
              </w:rPr>
              <w:t>TEOL</w:t>
            </w:r>
            <w:r w:rsidRPr="004643F8">
              <w:rPr>
                <w:rFonts w:ascii="Times New Roman" w:eastAsiaTheme="majorEastAsia" w:hAnsi="Times New Roman" w:cs="Times New Roman"/>
              </w:rPr>
              <w:t>​</w:t>
            </w:r>
            <w:r w:rsidRPr="004643F8">
              <w:rPr>
                <w:rFonts w:asciiTheme="majorEastAsia" w:eastAsiaTheme="majorEastAsia" w:hAnsiTheme="majorEastAsia"/>
              </w:rPr>
              <w:t>、未来时刻观测</w:t>
            </w:r>
          </w:p>
        </w:tc>
        <w:tc>
          <w:tcPr>
            <w:tcW w:w="1837" w:type="dxa"/>
            <w:vAlign w:val="center"/>
            <w:hideMark/>
          </w:tcPr>
          <w:p w14:paraId="2378554C"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lastRenderedPageBreak/>
              <w:t>通过</w:t>
            </w:r>
          </w:p>
        </w:tc>
      </w:tr>
      <w:tr w:rsidR="008E2FB9" w:rsidRPr="004643F8" w14:paraId="6E26AF09" w14:textId="77777777" w:rsidTr="00497F67">
        <w:trPr>
          <w:trHeight w:val="272"/>
          <w:jc w:val="center"/>
        </w:trPr>
        <w:tc>
          <w:tcPr>
            <w:tcW w:w="1555" w:type="dxa"/>
            <w:vAlign w:val="center"/>
            <w:hideMark/>
          </w:tcPr>
          <w:p w14:paraId="221A0E4B"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adapter</w:t>
            </w:r>
          </w:p>
        </w:tc>
        <w:tc>
          <w:tcPr>
            <w:tcW w:w="1842" w:type="dxa"/>
            <w:vAlign w:val="center"/>
            <w:hideMark/>
          </w:tcPr>
          <w:p w14:paraId="5CA327EA"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source train windows + target fit windows</w:t>
            </w:r>
          </w:p>
        </w:tc>
        <w:tc>
          <w:tcPr>
            <w:tcW w:w="2841" w:type="dxa"/>
            <w:vAlign w:val="center"/>
            <w:hideMark/>
          </w:tcPr>
          <w:p w14:paraId="7A3F1F96"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任何 validation 或 holdout 的标签或特征统计量</w:t>
            </w:r>
          </w:p>
        </w:tc>
        <w:tc>
          <w:tcPr>
            <w:tcW w:w="1837" w:type="dxa"/>
            <w:vAlign w:val="center"/>
            <w:hideMark/>
          </w:tcPr>
          <w:p w14:paraId="62ABA6B1"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通过</w:t>
            </w:r>
          </w:p>
        </w:tc>
      </w:tr>
      <w:tr w:rsidR="008E2FB9" w:rsidRPr="004643F8" w14:paraId="2AE95F9E" w14:textId="77777777" w:rsidTr="00497F67">
        <w:trPr>
          <w:trHeight w:val="272"/>
          <w:jc w:val="center"/>
        </w:trPr>
        <w:tc>
          <w:tcPr>
            <w:tcW w:w="1555" w:type="dxa"/>
            <w:vAlign w:val="center"/>
            <w:hideMark/>
          </w:tcPr>
          <w:p w14:paraId="5D15EB32"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early stopping / trial 选择</w:t>
            </w:r>
          </w:p>
        </w:tc>
        <w:tc>
          <w:tcPr>
            <w:tcW w:w="1842" w:type="dxa"/>
            <w:vAlign w:val="center"/>
            <w:hideMark/>
          </w:tcPr>
          <w:p w14:paraId="2CECD1FB"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按时间顺序切分的 validation 折，或固定随机种子的显式规则</w:t>
            </w:r>
          </w:p>
        </w:tc>
        <w:tc>
          <w:tcPr>
            <w:tcW w:w="2841" w:type="dxa"/>
            <w:vAlign w:val="center"/>
            <w:hideMark/>
          </w:tcPr>
          <w:p w14:paraId="1440447B"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最终测试集指标参与反向选择或权重重调</w:t>
            </w:r>
          </w:p>
        </w:tc>
        <w:tc>
          <w:tcPr>
            <w:tcW w:w="1837" w:type="dxa"/>
            <w:vAlign w:val="center"/>
            <w:hideMark/>
          </w:tcPr>
          <w:p w14:paraId="008FE24D"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通过</w:t>
            </w:r>
          </w:p>
        </w:tc>
      </w:tr>
      <w:tr w:rsidR="008E2FB9" w:rsidRPr="004643F8" w14:paraId="6D6DBD73" w14:textId="77777777" w:rsidTr="00497F67">
        <w:trPr>
          <w:trHeight w:val="272"/>
          <w:jc w:val="center"/>
        </w:trPr>
        <w:tc>
          <w:tcPr>
            <w:tcW w:w="1555" w:type="dxa"/>
            <w:vAlign w:val="center"/>
            <w:hideMark/>
          </w:tcPr>
          <w:p w14:paraId="5605FA5A"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测试评估</w:t>
            </w:r>
          </w:p>
        </w:tc>
        <w:tc>
          <w:tcPr>
            <w:tcW w:w="1842" w:type="dxa"/>
            <w:vAlign w:val="center"/>
            <w:hideMark/>
          </w:tcPr>
          <w:p w14:paraId="3E623EC0"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最终一次性读取 outer holdout 标签计算指标</w:t>
            </w:r>
          </w:p>
        </w:tc>
        <w:tc>
          <w:tcPr>
            <w:tcW w:w="2841" w:type="dxa"/>
            <w:vAlign w:val="center"/>
            <w:hideMark/>
          </w:tcPr>
          <w:p w14:paraId="5A0E2B0F"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将测试指标回写用于训练、权重选择或尺度调整</w:t>
            </w:r>
          </w:p>
        </w:tc>
        <w:tc>
          <w:tcPr>
            <w:tcW w:w="1837" w:type="dxa"/>
            <w:vAlign w:val="center"/>
            <w:hideMark/>
          </w:tcPr>
          <w:p w14:paraId="6C96BA16" w14:textId="77777777" w:rsidR="008E2FB9" w:rsidRPr="004643F8" w:rsidRDefault="008E2FB9" w:rsidP="00497F67">
            <w:pPr>
              <w:jc w:val="center"/>
              <w:rPr>
                <w:rFonts w:asciiTheme="majorEastAsia" w:eastAsiaTheme="majorEastAsia" w:hAnsiTheme="majorEastAsia"/>
              </w:rPr>
            </w:pPr>
            <w:r w:rsidRPr="004643F8">
              <w:rPr>
                <w:rFonts w:asciiTheme="majorEastAsia" w:eastAsiaTheme="majorEastAsia" w:hAnsiTheme="majorEastAsia"/>
              </w:rPr>
              <w:t>通过</w:t>
            </w:r>
          </w:p>
        </w:tc>
      </w:tr>
    </w:tbl>
    <w:p w14:paraId="65D5269D" w14:textId="77777777" w:rsidR="0056123D" w:rsidRPr="004643F8" w:rsidRDefault="0056123D" w:rsidP="0056123D">
      <w:pPr>
        <w:rPr>
          <w:rFonts w:asciiTheme="majorEastAsia" w:eastAsiaTheme="majorEastAsia" w:hAnsiTheme="majorEastAsia"/>
        </w:rPr>
      </w:pPr>
      <w:r w:rsidRPr="004643F8">
        <w:rPr>
          <w:rFonts w:asciiTheme="majorEastAsia" w:eastAsiaTheme="majorEastAsia" w:hAnsiTheme="majorEastAsia"/>
        </w:rPr>
        <w:t>以下逐项解释各控制措施的工程内涵。</w:t>
      </w:r>
    </w:p>
    <w:p w14:paraId="3D3731E9" w14:textId="77777777" w:rsidR="0056123D" w:rsidRPr="004643F8" w:rsidRDefault="0056123D" w:rsidP="0056123D">
      <w:pPr>
        <w:rPr>
          <w:rFonts w:asciiTheme="majorEastAsia" w:eastAsiaTheme="majorEastAsia" w:hAnsiTheme="majorEastAsia"/>
        </w:rPr>
      </w:pPr>
      <w:r w:rsidRPr="004643F8">
        <w:rPr>
          <w:rFonts w:asciiTheme="majorEastAsia" w:eastAsiaTheme="majorEastAsia" w:hAnsiTheme="majorEastAsia"/>
        </w:rPr>
        <w:t>源域预训练的可见性约束。 源域预训练阶段，模型仅接触训练集轨迹的输入特征与 RUL 标签。验证集和源域测试集虽然参与模型选择与源域审计，但其标签绝不反向传播至梯度更新过程中。这一约束保证了编码器所学到的退化表征仅来源于训练轨迹，而非对特定验证样本的过度适配。验证集用于筛选趋势先验类型和窗口长度等超参数时，其指标仅作为相对优劣的比较依据，不参与任何参数拟合过程。</w:t>
      </w:r>
    </w:p>
    <w:p w14:paraId="098283C6" w14:textId="77777777" w:rsidR="0056123D" w:rsidRPr="004643F8" w:rsidRDefault="0056123D" w:rsidP="0056123D">
      <w:pPr>
        <w:rPr>
          <w:rFonts w:asciiTheme="majorEastAsia" w:eastAsiaTheme="majorEastAsia" w:hAnsiTheme="majorEastAsia"/>
        </w:rPr>
      </w:pPr>
      <w:r w:rsidRPr="004643F8">
        <w:rPr>
          <w:rFonts w:asciiTheme="majorEastAsia" w:eastAsiaTheme="majorEastAsia" w:hAnsiTheme="majorEastAsia"/>
        </w:rPr>
        <w:t>目标域 scaler 的估计隔离。 在每一 outer fold 的目标域微调开始前，所有数据变换参数——包括输入特征的均值和标准差、RUL 标签的缩放因子——均由当前折的训练集（fit groups）独立估计并固化。测试折的任一观测记录、以及该折所涉轨迹的全寿命极值（min/max）均不得参与 scaler 的参数计算。这意味着即使测试折与训练折来源于同一数据集的同质分布，其尺度参数也完全由训练折数据决定，严格模拟了“只有历史数据可用”的部署场景。</w:t>
      </w:r>
    </w:p>
    <w:p w14:paraId="6F060B62" w14:textId="59FA5F5D" w:rsidR="0056123D" w:rsidRPr="004643F8" w:rsidRDefault="0056123D" w:rsidP="0056123D">
      <w:pPr>
        <w:rPr>
          <w:rFonts w:asciiTheme="majorEastAsia" w:eastAsiaTheme="majorEastAsia" w:hAnsiTheme="majorEastAsia"/>
        </w:rPr>
      </w:pPr>
      <w:r w:rsidRPr="004643F8">
        <w:rPr>
          <w:rFonts w:asciiTheme="majorEastAsia" w:eastAsiaTheme="majorEastAsia" w:hAnsiTheme="majorEastAsia"/>
        </w:rPr>
        <w:t>趋势先验（target prior）的筛选隔离。 在目标域微调前，项目允许从若干候选趋势假设中选择与当前训练折数据最为匹配的先验形式。该选择依据完全来自训练折的输入特征与 RUL 标签之间的统计关系——例如 health-RUL 相关系数、单调趋势强度等。训练折的 </w:t>
      </w:r>
      <m:oMath>
        <m:sSub>
          <m:sSubPr>
            <m:ctrlPr>
              <w:rPr>
                <w:rFonts w:ascii="Cambria Math" w:eastAsiaTheme="majorEastAsia" w:hAnsi="Cambria Math"/>
              </w:rPr>
            </m:ctrlPr>
          </m:sSubPr>
          <m:e>
            <m:r>
              <w:rPr>
                <w:rFonts w:ascii="Cambria Math" w:eastAsiaTheme="majorEastAsia" w:hAnsi="Cambria Math"/>
              </w:rPr>
              <m:t>T</m:t>
            </m:r>
          </m:e>
          <m:sub>
            <m:r>
              <w:rPr>
                <w:rFonts w:ascii="Cambria Math" w:eastAsiaTheme="majorEastAsia" w:hAnsi="Cambria Math"/>
              </w:rPr>
              <m:t>EOL</m:t>
            </m:r>
          </m:sub>
        </m:sSub>
      </m:oMath>
      <w:r w:rsidRPr="004643F8">
        <w:rPr>
          <w:rFonts w:asciiTheme="majorEastAsia" w:eastAsiaTheme="majorEastAsia" w:hAnsiTheme="majorEastAsia"/>
        </w:rPr>
        <w:t> 位置和未来时刻观测值不参与先验选择，测试折的全部信息则被完全隔离，直至最终评估阶段。</w:t>
      </w:r>
      <w:r>
        <w:t xml:space="preserve"> [6, 7, 9]</w:t>
      </w:r>
    </w:p>
    <w:p w14:paraId="55EFA13E" w14:textId="77777777" w:rsidR="0056123D" w:rsidRPr="004643F8" w:rsidRDefault="0056123D" w:rsidP="0056123D">
      <w:pPr>
        <w:rPr>
          <w:rFonts w:asciiTheme="majorEastAsia" w:eastAsiaTheme="majorEastAsia" w:hAnsiTheme="majorEastAsia"/>
        </w:rPr>
      </w:pPr>
      <w:r w:rsidRPr="004643F8">
        <w:rPr>
          <w:rFonts w:asciiTheme="majorEastAsia" w:eastAsiaTheme="majorEastAsia" w:hAnsiTheme="majorEastAsia"/>
        </w:rPr>
        <w:t>adapter 模块的数据边界。 若项目中引入轻量级 adapter 模块用于目标域快速适配，其参数更新仅允许使用源域训练窗口与目标域训练窗口的联合数据。目标域验证折与测试折的标签不参与 adapter 的梯度计算或参数初始化。此设计防止 adapter 通过间接方式将目标域特有分布提前编码进模型中，从而维持迁移评估的纯净性。</w:t>
      </w:r>
    </w:p>
    <w:p w14:paraId="65099E10" w14:textId="77777777" w:rsidR="0056123D" w:rsidRPr="004643F8" w:rsidRDefault="0056123D" w:rsidP="0056123D">
      <w:pPr>
        <w:rPr>
          <w:rFonts w:asciiTheme="majorEastAsia" w:eastAsiaTheme="majorEastAsia" w:hAnsiTheme="majorEastAsia"/>
        </w:rPr>
      </w:pPr>
      <w:r w:rsidRPr="004643F8">
        <w:rPr>
          <w:rFonts w:asciiTheme="majorEastAsia" w:eastAsiaTheme="majorEastAsia" w:hAnsiTheme="majorEastAsia"/>
        </w:rPr>
        <w:t>early stopping 与 trial 选择的防反选机制。 模型训练过程中，早停判据基于验证集 loss 的变化趋势决定终止时刻，该验证集按时间顺序从训练数据中切分，或者采用固定随机种子的显式切分规则。在整个超参数搜索过程中，最终测试集的指标数值不参与任何决策——包括但不限于选择最优 trial、调整学习率或决定是否回滚至较早的权重快照。此规则消除了“以测试结果反向优化训练配置”的隐式泄漏路径。</w:t>
      </w:r>
    </w:p>
    <w:p w14:paraId="3D01C426" w14:textId="77777777" w:rsidR="0056123D" w:rsidRPr="004643F8" w:rsidRDefault="0056123D" w:rsidP="0056123D">
      <w:pPr>
        <w:rPr>
          <w:rFonts w:asciiTheme="majorEastAsia" w:eastAsiaTheme="majorEastAsia" w:hAnsiTheme="majorEastAsia"/>
        </w:rPr>
      </w:pPr>
      <w:r w:rsidRPr="004643F8">
        <w:rPr>
          <w:rFonts w:asciiTheme="majorEastAsia" w:eastAsiaTheme="majorEastAsia" w:hAnsiTheme="majorEastAsia"/>
        </w:rPr>
        <w:t>测试评估的一次性准入。 当所有训练与验证流程完成后，每一 outer fold 的测试折被加载并前向推理一次，计算预测误差指标后即行存档。测试集指标仅作为最终结论的输出依据，绝不回流至训练循环、权重更新、尺度参数重估或超参数再选择。每个 outer fold 的测试折在整个项目周期内仅被读取一次，杜绝了反复评估测试集所引入的隐式知识注入。</w:t>
      </w:r>
    </w:p>
    <w:p w14:paraId="07CEB4B5" w14:textId="77777777" w:rsidR="0056123D" w:rsidRPr="004643F8" w:rsidRDefault="0056123D" w:rsidP="0056123D">
      <w:pPr>
        <w:rPr>
          <w:rFonts w:asciiTheme="majorEastAsia" w:eastAsiaTheme="majorEastAsia" w:hAnsiTheme="majorEastAsia"/>
        </w:rPr>
      </w:pPr>
      <w:r w:rsidRPr="004643F8">
        <w:rPr>
          <w:rFonts w:asciiTheme="majorEastAsia" w:eastAsiaTheme="majorEastAsia" w:hAnsiTheme="majorEastAsia"/>
        </w:rPr>
        <w:t>上述可见性控制规则构成了本项目实验可信性的底层保障。任何一条规则的违背都将导致相应实验结论被标记为无效。在全部主实验与消融实验中，所有控制点的审计结论均为“通</w:t>
      </w:r>
      <w:r w:rsidRPr="004643F8">
        <w:rPr>
          <w:rFonts w:asciiTheme="majorEastAsia" w:eastAsiaTheme="majorEastAsia" w:hAnsiTheme="majorEastAsia"/>
        </w:rPr>
        <w:lastRenderedPageBreak/>
        <w:t>过”，确保本报告所报告的各项精度改善均源于模型迁移能力的实质提升，而非数据泄漏导致的虚假增益。</w:t>
      </w:r>
    </w:p>
    <w:p w14:paraId="1FF7417F" w14:textId="77777777" w:rsidR="0056123D" w:rsidRPr="004643F8" w:rsidRDefault="0056123D" w:rsidP="0056123D">
      <w:pPr>
        <w:rPr>
          <w:rFonts w:asciiTheme="majorEastAsia" w:eastAsiaTheme="majorEastAsia" w:hAnsiTheme="majorEastAsia"/>
        </w:rPr>
      </w:pPr>
      <w:r w:rsidRPr="004643F8">
        <w:rPr>
          <w:rFonts w:asciiTheme="majorEastAsia" w:eastAsiaTheme="majorEastAsia" w:hAnsiTheme="majorEastAsia"/>
        </w:rPr>
        <w:t>审计失败的风险与惩罚机制。 为强化上述规则的约束力，项目内置了自动审计脚本，在每一折训练启动前与评估结束后分别执行可见性检查。若检测到测试折数据在训练阶段被加载（例如 scaler 的 .fit() 方法接收了包含 holdout 索引的数据切片），或标签缩放因子的估计依赖了全寿命极值而该极值来自测试轨迹，则审计脚本立即抛出异常并终止当前实验，该折结果被标记为“泄漏-无效”，不纳入最终统计。这一自动化防护机制确保了可见性控制规则不仅停留在文档层面，更在代码执行层面得到刚性实施。</w:t>
      </w:r>
    </w:p>
    <w:p w14:paraId="6B987263" w14:textId="77777777" w:rsidR="0056123D" w:rsidRPr="004643F8" w:rsidRDefault="0056123D" w:rsidP="0056123D">
      <w:pPr>
        <w:rPr>
          <w:rFonts w:asciiTheme="majorEastAsia" w:eastAsiaTheme="majorEastAsia" w:hAnsiTheme="majorEastAsia"/>
        </w:rPr>
      </w:pPr>
      <w:r w:rsidRPr="004643F8">
        <w:rPr>
          <w:rFonts w:asciiTheme="majorEastAsia" w:eastAsiaTheme="majorEastAsia" w:hAnsiTheme="majorEastAsia"/>
        </w:rPr>
        <w:t>综上，可见性控制的核心逻辑可总结为：训练侧仅见过去，测试侧仅见一次。</w:t>
      </w:r>
    </w:p>
    <w:p w14:paraId="70F9A318" w14:textId="4B4C6F7A" w:rsidR="000F75BD" w:rsidRPr="004643F8" w:rsidRDefault="00DE2EEE" w:rsidP="00C14037">
      <w:pPr>
        <w:pStyle w:val="1"/>
        <w:rPr>
          <w:rFonts w:asciiTheme="majorEastAsia" w:eastAsiaTheme="majorEastAsia" w:hAnsiTheme="majorEastAsia"/>
          <w:b/>
          <w:bCs/>
        </w:rPr>
      </w:pPr>
      <w:r w:rsidRPr="004643F8">
        <w:rPr>
          <w:rFonts w:asciiTheme="majorEastAsia" w:eastAsiaTheme="majorEastAsia" w:hAnsiTheme="majorEastAsia"/>
          <w:b/>
          <w:bCs/>
        </w:rPr>
        <w:t>四、算法总体框架与技术路线</w:t>
      </w:r>
    </w:p>
    <w:p w14:paraId="64E4DDED" w14:textId="351F275F" w:rsidR="00DE2EEE" w:rsidRPr="004643F8" w:rsidRDefault="00DE2EEE" w:rsidP="00C14037">
      <w:pPr>
        <w:rPr>
          <w:rFonts w:asciiTheme="majorEastAsia" w:eastAsiaTheme="majorEastAsia" w:hAnsiTheme="majorEastAsia"/>
        </w:rPr>
      </w:pPr>
      <w:r w:rsidRPr="004643F8">
        <w:rPr>
          <w:rFonts w:asciiTheme="majorEastAsia" w:eastAsiaTheme="majorEastAsia" w:hAnsiTheme="majorEastAsia"/>
        </w:rPr>
        <w:t>图 1 展示了本项目所提出的跨域退化迁移学习框架（ASTRA）的总体架构。整个算法流程以“源域预训练—目标域适配—留出验证”为主线，将公开退化数据中习得的共性退化知识，经由可审计的迁移路径，投射至航天器典型组件的剩余寿命预测任务中。本章从模型结构、训练策略与评估协议三个层面展开论述。</w:t>
      </w:r>
    </w:p>
    <w:p w14:paraId="03D0E69C" w14:textId="77777777" w:rsidR="00DE2EEE" w:rsidRPr="004643F8" w:rsidRDefault="00DE2EEE" w:rsidP="00DE2EEE">
      <w:pPr>
        <w:spacing w:after="40"/>
        <w:jc w:val="center"/>
        <w:rPr>
          <w:rFonts w:asciiTheme="majorEastAsia" w:eastAsiaTheme="majorEastAsia" w:hAnsiTheme="majorEastAsia" w:hint="eastAsia"/>
        </w:rPr>
      </w:pPr>
      <w:r w:rsidRPr="004643F8">
        <w:rPr>
          <w:rFonts w:asciiTheme="majorEastAsia" w:eastAsiaTheme="majorEastAsia" w:hAnsiTheme="majorEastAsia"/>
          <w:noProof/>
        </w:rPr>
        <w:drawing>
          <wp:inline distT="0" distB="0" distL="0" distR="0" wp14:anchorId="22381D2A" wp14:editId="5DC3937F">
            <wp:extent cx="5868000" cy="2100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68000" cy="2100630"/>
                    </a:xfrm>
                    <a:prstGeom prst="rect">
                      <a:avLst/>
                    </a:prstGeom>
                  </pic:spPr>
                </pic:pic>
              </a:graphicData>
            </a:graphic>
          </wp:inline>
        </w:drawing>
      </w:r>
    </w:p>
    <w:p w14:paraId="002B8FCB" w14:textId="77777777" w:rsidR="00DE2EEE" w:rsidRPr="004643F8" w:rsidRDefault="00DE2EEE" w:rsidP="00DE2EEE">
      <w:pPr>
        <w:spacing w:after="140" w:line="324" w:lineRule="auto"/>
        <w:jc w:val="center"/>
        <w:rPr>
          <w:rFonts w:asciiTheme="majorEastAsia" w:eastAsiaTheme="majorEastAsia" w:hAnsiTheme="majorEastAsia" w:hint="eastAsia"/>
        </w:rPr>
      </w:pPr>
      <w:r w:rsidRPr="004643F8">
        <w:rPr>
          <w:rFonts w:asciiTheme="majorEastAsia" w:eastAsiaTheme="majorEastAsia" w:hAnsiTheme="majorEastAsia"/>
          <w:color w:val="666666"/>
          <w:sz w:val="18"/>
        </w:rPr>
        <w:t>图 1  ASTRA 跨领域退化迁移总体架构</w:t>
      </w:r>
    </w:p>
    <w:p w14:paraId="05F56DAF" w14:textId="77777777" w:rsidR="00F63AEB" w:rsidRPr="004643F8" w:rsidRDefault="00F63AEB" w:rsidP="00F63AEB">
      <w:pPr>
        <w:pStyle w:val="2"/>
        <w:rPr>
          <w:rFonts w:asciiTheme="majorEastAsia" w:eastAsiaTheme="majorEastAsia" w:hAnsiTheme="majorEastAsia"/>
        </w:rPr>
      </w:pPr>
      <w:r w:rsidRPr="004643F8">
        <w:rPr>
          <w:rFonts w:asciiTheme="majorEastAsia" w:eastAsiaTheme="majorEastAsia" w:hAnsiTheme="majorEastAsia"/>
          <w:b/>
          <w:bCs/>
        </w:rPr>
        <w:t>4.1 模型结构</w:t>
      </w:r>
    </w:p>
    <w:p w14:paraId="337D859A" w14:textId="77777777" w:rsidR="00F63AEB" w:rsidRPr="004643F8" w:rsidRDefault="00F63AEB" w:rsidP="00F63AEB">
      <w:pPr>
        <w:rPr>
          <w:rFonts w:asciiTheme="majorEastAsia" w:eastAsiaTheme="majorEastAsia" w:hAnsiTheme="majorEastAsia"/>
        </w:rPr>
      </w:pPr>
      <w:r w:rsidRPr="004643F8">
        <w:rPr>
          <w:rFonts w:asciiTheme="majorEastAsia" w:eastAsiaTheme="majorEastAsia" w:hAnsiTheme="majorEastAsia"/>
        </w:rPr>
        <w:t>模型采用“领域专属投影—共享编码—任务专属输出”的三段式架构，其设计逻辑在于平衡跨域知识迁移的通用性与领域差异的适配性。整体由四个逻辑组件构成：源域输入投影层、目标域输入投影层、共享退化编码器、目标域RUL预测头。</w:t>
      </w:r>
    </w:p>
    <w:p w14:paraId="717B332B" w14:textId="6A59AE7D" w:rsidR="00F63AEB" w:rsidRPr="004643F8" w:rsidRDefault="00F63AEB" w:rsidP="00F63AEB">
      <w:pPr>
        <w:rPr>
          <w:rFonts w:asciiTheme="majorEastAsia" w:eastAsiaTheme="majorEastAsia" w:hAnsiTheme="majorEastAsia"/>
        </w:rPr>
      </w:pPr>
      <w:r w:rsidRPr="004643F8">
        <w:rPr>
          <w:rFonts w:asciiTheme="majorEastAsia" w:eastAsiaTheme="majorEastAsia" w:hAnsiTheme="majorEastAsia"/>
        </w:rPr>
        <w:t>不同退化场景所采用的传感器配置和物理量纲存在本质差异。喷嘴数据以烧蚀深度等热流参数为输入通道，电池数据以电压、电流、温度及容量构成循环遥测向量，而反作用轮数据则涵盖摩擦力矩、转速波动、电流补偿和温升等多物理场输出。若将所有场景的原始信号强行映射至同一输入空间，编码器将被迫同时学习量纲转换与退化表征，增加不必要的参数负担。因此，本项目为源域与目标域分别设置独立的输入投影层：</w:t>
      </w:r>
      <m:oMath>
        <m:sSub>
          <m:sSubPr>
            <m:ctrlPr>
              <w:rPr>
                <w:rFonts w:ascii="Cambria Math" w:eastAsiaTheme="majorEastAsia" w:hAnsi="Cambria Math"/>
              </w:rPr>
            </m:ctrlPr>
          </m:sSubPr>
          <m:e>
            <m:r>
              <w:rPr>
                <w:rFonts w:ascii="Cambria Math" w:eastAsiaTheme="majorEastAsia" w:hAnsi="Cambria Math"/>
              </w:rPr>
              <m:t>P</m:t>
            </m:r>
          </m:e>
          <m:sub>
            <m:r>
              <m:rPr>
                <m:nor/>
              </m:rPr>
              <w:rPr>
                <w:rFonts w:asciiTheme="majorEastAsia" w:eastAsiaTheme="majorEastAsia" w:hAnsiTheme="majorEastAsia"/>
              </w:rPr>
              <m:t>source</m:t>
            </m:r>
          </m:sub>
        </m:sSub>
      </m:oMath>
      <w:r w:rsidRPr="004643F8">
        <w:rPr>
          <w:rFonts w:asciiTheme="majorEastAsia" w:eastAsiaTheme="majorEastAsia" w:hAnsiTheme="majorEastAsia"/>
        </w:rPr>
        <w:t> 将喷嘴的多通道输入映射为固定维度的嵌入向量，</w:t>
      </w:r>
      <m:oMath>
        <m:sSub>
          <m:sSubPr>
            <m:ctrlPr>
              <w:rPr>
                <w:rFonts w:ascii="Cambria Math" w:eastAsiaTheme="majorEastAsia" w:hAnsi="Cambria Math"/>
              </w:rPr>
            </m:ctrlPr>
          </m:sSubPr>
          <m:e>
            <m:r>
              <w:rPr>
                <w:rFonts w:ascii="Cambria Math" w:eastAsiaTheme="majorEastAsia" w:hAnsi="Cambria Math"/>
              </w:rPr>
              <m:t>P</m:t>
            </m:r>
          </m:e>
          <m:sub>
            <m:r>
              <m:rPr>
                <m:nor/>
              </m:rPr>
              <w:rPr>
                <w:rFonts w:asciiTheme="majorEastAsia" w:eastAsiaTheme="majorEastAsia" w:hAnsiTheme="majorEastAsia"/>
              </w:rPr>
              <m:t>target</m:t>
            </m:r>
          </m:sub>
        </m:sSub>
      </m:oMath>
      <w:r w:rsidRPr="004643F8">
        <w:rPr>
          <w:rFonts w:asciiTheme="majorEastAsia" w:eastAsiaTheme="majorEastAsia" w:hAnsiTheme="majorEastAsia"/>
        </w:rPr>
        <w:t> 则将目标域传感器的遥测向量映射至同一嵌入空间。两投影层参数互不共享，各自负责将领域特定的原始信号规整为编码器可统一处理的表征格式。</w:t>
      </w:r>
    </w:p>
    <w:p w14:paraId="1E66EABD" w14:textId="77777777" w:rsidR="00F63AEB" w:rsidRPr="004643F8" w:rsidRDefault="00F63AEB" w:rsidP="00F63AEB">
      <w:pPr>
        <w:rPr>
          <w:rFonts w:asciiTheme="majorEastAsia" w:eastAsiaTheme="majorEastAsia" w:hAnsiTheme="majorEastAsia"/>
        </w:rPr>
      </w:pPr>
      <w:r w:rsidRPr="004643F8">
        <w:rPr>
          <w:rFonts w:asciiTheme="majorEastAsia" w:eastAsiaTheme="majorEastAsia" w:hAnsiTheme="majorEastAsia"/>
        </w:rPr>
        <w:t>共享退化编码器是整个架构的知识核心，采用两层门控循环单元（GRU）构成。GRU以其对时序依赖关系的建模能力以及相对简洁的门控机制，适合捕捉退化过程中长期演变趋势与短期波动之间的复杂耦合关系。编码器以滑动窗口为基本处理单元，按时间顺序逐次读入输入投影层输出的嵌入序列，在每一时刻将历史窗口内的全部信息压缩为固定维度的隐状态向量。该隐状态被视作组件当前退化状态的紧凑表征，理想情况下应编码了从窗口起始至当前时刻</w:t>
      </w:r>
      <w:r w:rsidRPr="004643F8">
        <w:rPr>
          <w:rFonts w:asciiTheme="majorEastAsia" w:eastAsiaTheme="majorEastAsia" w:hAnsiTheme="majorEastAsia"/>
        </w:rPr>
        <w:lastRenderedPageBreak/>
        <w:t>的退化进程信息，且对传感器噪声和瞬态扰动具有一定的鲁棒性。编码器的参数在源域预训练阶段完成初步收敛，习得通用性的退化演化模式，随后在目标域微调阶段进行全量更新，以适应目标域特有的信号分布与退化速率范围。</w:t>
      </w:r>
    </w:p>
    <w:p w14:paraId="6D4820B6" w14:textId="77777777" w:rsidR="00F63AEB" w:rsidRPr="004643F8" w:rsidRDefault="00F63AEB" w:rsidP="00F63AEB">
      <w:pPr>
        <w:rPr>
          <w:rFonts w:asciiTheme="majorEastAsia" w:eastAsiaTheme="majorEastAsia" w:hAnsiTheme="majorEastAsia"/>
        </w:rPr>
      </w:pPr>
      <w:r w:rsidRPr="004643F8">
        <w:rPr>
          <w:rFonts w:asciiTheme="majorEastAsia" w:eastAsiaTheme="majorEastAsia" w:hAnsiTheme="majorEastAsia"/>
        </w:rPr>
        <w:t>目标域RUL预测头将编码器输出的隐状态映射为标量RUL估计值。预测头为独立的轻量级全连接网络，在目标域初始化时采用随机权重，不继承源域头的任何参数。这一设计的考虑在于：源域以观测步数定义RUL，而各目标域的服役时长量级各异（电池以数百次循环计，反作用轮以数千观测步计），若直接复用源域头的输出尺度，将迫使编码器在微调时同时承担尺度转换与退化表征调整的双重任务，增加适配难度。独立初始化并重新训练目标域头，使编码器可专注于提炼域间共通的退化结构，将尺度映射的职责交由目标域头单独承载。</w:t>
      </w:r>
    </w:p>
    <w:p w14:paraId="031BCDF9" w14:textId="77777777" w:rsidR="00F63AEB" w:rsidRPr="004643F8" w:rsidRDefault="00F63AEB" w:rsidP="00F63AEB">
      <w:pPr>
        <w:rPr>
          <w:rFonts w:asciiTheme="majorEastAsia" w:eastAsiaTheme="majorEastAsia" w:hAnsiTheme="majorEastAsia"/>
        </w:rPr>
      </w:pPr>
      <w:r w:rsidRPr="004643F8">
        <w:rPr>
          <w:rFonts w:asciiTheme="majorEastAsia" w:eastAsiaTheme="majorEastAsia" w:hAnsiTheme="majorEastAsia"/>
        </w:rPr>
        <w:t>在微调策略上，所有主实验采用全量微调方案：共享编码器的全部参数、目标域输入投影层以及目标域RUL预测头，均在目标域训练折的数据上参与梯度更新。源域输入投影层在微调阶段保持冻结，因其参数完全绑定喷嘴数据的特定通道语义，在目标域中无对应物理意义。全量微调允许编码器在保留源域退化知识的基础上，针对目标域的信号特征分布进行有限度的参数调整，避免因过度冻结而导致的域间表征鸿沟。</w:t>
      </w:r>
    </w:p>
    <w:p w14:paraId="18A16CA0" w14:textId="6B98F613" w:rsidR="00DE2EEE" w:rsidRPr="004643F8" w:rsidRDefault="000B5C22" w:rsidP="00C14037">
      <w:pPr>
        <w:rPr>
          <w:rFonts w:asciiTheme="majorEastAsia" w:eastAsiaTheme="majorEastAsia" w:hAnsiTheme="majorEastAsia"/>
        </w:rPr>
      </w:pPr>
      <w:r w:rsidRPr="004643F8">
        <w:rPr>
          <w:rFonts w:asciiTheme="majorEastAsia" w:eastAsiaTheme="majorEastAsia" w:hAnsiTheme="majorEastAsia"/>
        </w:rPr>
        <w:t>下表汇总模型各组件的功能定位与参数更新策略：</w:t>
      </w:r>
    </w:p>
    <w:tbl>
      <w:tblPr>
        <w:tblStyle w:val="af2"/>
        <w:tblW w:w="0" w:type="auto"/>
        <w:jc w:val="center"/>
        <w:tblLook w:val="04A0" w:firstRow="1" w:lastRow="0" w:firstColumn="1" w:lastColumn="0" w:noHBand="0" w:noVBand="1"/>
      </w:tblPr>
      <w:tblGrid>
        <w:gridCol w:w="2552"/>
        <w:gridCol w:w="2410"/>
        <w:gridCol w:w="1417"/>
        <w:gridCol w:w="1816"/>
      </w:tblGrid>
      <w:tr w:rsidR="000B5C22" w:rsidRPr="004643F8" w14:paraId="45DF6FDD" w14:textId="77777777" w:rsidTr="00601C0B">
        <w:trPr>
          <w:trHeight w:val="272"/>
          <w:jc w:val="center"/>
        </w:trPr>
        <w:tc>
          <w:tcPr>
            <w:tcW w:w="2552" w:type="dxa"/>
            <w:vAlign w:val="center"/>
            <w:hideMark/>
          </w:tcPr>
          <w:p w14:paraId="081F2805"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组件</w:t>
            </w:r>
          </w:p>
        </w:tc>
        <w:tc>
          <w:tcPr>
            <w:tcW w:w="2410" w:type="dxa"/>
            <w:vAlign w:val="center"/>
            <w:hideMark/>
          </w:tcPr>
          <w:p w14:paraId="2E4EEAF6"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功能定位</w:t>
            </w:r>
          </w:p>
        </w:tc>
        <w:tc>
          <w:tcPr>
            <w:tcW w:w="1417" w:type="dxa"/>
            <w:vAlign w:val="center"/>
            <w:hideMark/>
          </w:tcPr>
          <w:p w14:paraId="24989A1D"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源域预训练</w:t>
            </w:r>
          </w:p>
        </w:tc>
        <w:tc>
          <w:tcPr>
            <w:tcW w:w="1816" w:type="dxa"/>
            <w:vAlign w:val="center"/>
            <w:hideMark/>
          </w:tcPr>
          <w:p w14:paraId="0D5D0D99"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目标域微调</w:t>
            </w:r>
          </w:p>
        </w:tc>
      </w:tr>
      <w:tr w:rsidR="000B5C22" w:rsidRPr="004643F8" w14:paraId="64B84689" w14:textId="77777777" w:rsidTr="00601C0B">
        <w:trPr>
          <w:trHeight w:val="272"/>
          <w:jc w:val="center"/>
        </w:trPr>
        <w:tc>
          <w:tcPr>
            <w:tcW w:w="2552" w:type="dxa"/>
            <w:vAlign w:val="center"/>
            <w:hideMark/>
          </w:tcPr>
          <w:p w14:paraId="27D33D7D" w14:textId="5A91734E"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源域输入投影层 </w:t>
            </w:r>
            <m:oMath>
              <m:sSub>
                <m:sSubPr>
                  <m:ctrlPr>
                    <w:rPr>
                      <w:rFonts w:ascii="Cambria Math" w:eastAsiaTheme="majorEastAsia" w:hAnsi="Cambria Math"/>
                    </w:rPr>
                  </m:ctrlPr>
                </m:sSubPr>
                <m:e>
                  <m:r>
                    <w:rPr>
                      <w:rFonts w:ascii="Cambria Math" w:eastAsiaTheme="majorEastAsia" w:hAnsi="Cambria Math"/>
                    </w:rPr>
                    <m:t>P</m:t>
                  </m:r>
                </m:e>
                <m:sub>
                  <m:r>
                    <m:rPr>
                      <m:nor/>
                    </m:rPr>
                    <w:rPr>
                      <w:rFonts w:asciiTheme="majorEastAsia" w:eastAsiaTheme="majorEastAsia" w:hAnsiTheme="majorEastAsia"/>
                    </w:rPr>
                    <m:t>source</m:t>
                  </m:r>
                </m:sub>
              </m:sSub>
            </m:oMath>
          </w:p>
        </w:tc>
        <w:tc>
          <w:tcPr>
            <w:tcW w:w="2410" w:type="dxa"/>
            <w:vAlign w:val="center"/>
            <w:hideMark/>
          </w:tcPr>
          <w:p w14:paraId="6DEAB3D5"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将喷嘴多通道信号映射为固定维嵌入</w:t>
            </w:r>
          </w:p>
        </w:tc>
        <w:tc>
          <w:tcPr>
            <w:tcW w:w="1417" w:type="dxa"/>
            <w:vAlign w:val="center"/>
            <w:hideMark/>
          </w:tcPr>
          <w:p w14:paraId="6001E0E6"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参与训练</w:t>
            </w:r>
          </w:p>
        </w:tc>
        <w:tc>
          <w:tcPr>
            <w:tcW w:w="1816" w:type="dxa"/>
            <w:vAlign w:val="center"/>
            <w:hideMark/>
          </w:tcPr>
          <w:p w14:paraId="431DAE66"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冻结</w:t>
            </w:r>
          </w:p>
        </w:tc>
      </w:tr>
      <w:tr w:rsidR="000B5C22" w:rsidRPr="004643F8" w14:paraId="441664EE" w14:textId="77777777" w:rsidTr="00601C0B">
        <w:trPr>
          <w:trHeight w:val="272"/>
          <w:jc w:val="center"/>
        </w:trPr>
        <w:tc>
          <w:tcPr>
            <w:tcW w:w="2552" w:type="dxa"/>
            <w:vAlign w:val="center"/>
            <w:hideMark/>
          </w:tcPr>
          <w:p w14:paraId="0C76DA8D" w14:textId="58E04F5C"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目标域输入投影层 </w:t>
            </w:r>
            <m:oMath>
              <m:sSub>
                <m:sSubPr>
                  <m:ctrlPr>
                    <w:rPr>
                      <w:rFonts w:ascii="Cambria Math" w:eastAsiaTheme="majorEastAsia" w:hAnsi="Cambria Math"/>
                    </w:rPr>
                  </m:ctrlPr>
                </m:sSubPr>
                <m:e>
                  <m:r>
                    <w:rPr>
                      <w:rFonts w:ascii="Cambria Math" w:eastAsiaTheme="majorEastAsia" w:hAnsi="Cambria Math"/>
                    </w:rPr>
                    <m:t>P</m:t>
                  </m:r>
                </m:e>
                <m:sub>
                  <m:r>
                    <m:rPr>
                      <m:nor/>
                    </m:rPr>
                    <w:rPr>
                      <w:rFonts w:asciiTheme="majorEastAsia" w:eastAsiaTheme="majorEastAsia" w:hAnsiTheme="majorEastAsia"/>
                    </w:rPr>
                    <m:t>target</m:t>
                  </m:r>
                </m:sub>
              </m:sSub>
            </m:oMath>
          </w:p>
        </w:tc>
        <w:tc>
          <w:tcPr>
            <w:tcW w:w="2410" w:type="dxa"/>
            <w:vAlign w:val="center"/>
            <w:hideMark/>
          </w:tcPr>
          <w:p w14:paraId="46AB1276"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将目标域传感器遥测映射至相同嵌入空间</w:t>
            </w:r>
          </w:p>
        </w:tc>
        <w:tc>
          <w:tcPr>
            <w:tcW w:w="1417" w:type="dxa"/>
            <w:vAlign w:val="center"/>
            <w:hideMark/>
          </w:tcPr>
          <w:p w14:paraId="2BF01E66"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w:t>
            </w:r>
          </w:p>
        </w:tc>
        <w:tc>
          <w:tcPr>
            <w:tcW w:w="1816" w:type="dxa"/>
            <w:vAlign w:val="center"/>
            <w:hideMark/>
          </w:tcPr>
          <w:p w14:paraId="35CAE740"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全量微调</w:t>
            </w:r>
          </w:p>
        </w:tc>
      </w:tr>
      <w:tr w:rsidR="000B5C22" w:rsidRPr="004643F8" w14:paraId="1F74F143" w14:textId="77777777" w:rsidTr="00601C0B">
        <w:trPr>
          <w:trHeight w:val="272"/>
          <w:jc w:val="center"/>
        </w:trPr>
        <w:tc>
          <w:tcPr>
            <w:tcW w:w="2552" w:type="dxa"/>
            <w:vAlign w:val="center"/>
            <w:hideMark/>
          </w:tcPr>
          <w:p w14:paraId="2A2AE0C5"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共享GRU编码器</w:t>
            </w:r>
          </w:p>
        </w:tc>
        <w:tc>
          <w:tcPr>
            <w:tcW w:w="2410" w:type="dxa"/>
            <w:vAlign w:val="center"/>
            <w:hideMark/>
          </w:tcPr>
          <w:p w14:paraId="49FDA508"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提取时序窗口内的退化演化隐状态</w:t>
            </w:r>
          </w:p>
        </w:tc>
        <w:tc>
          <w:tcPr>
            <w:tcW w:w="1417" w:type="dxa"/>
            <w:vAlign w:val="center"/>
            <w:hideMark/>
          </w:tcPr>
          <w:p w14:paraId="22B0F7FA"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参与训练</w:t>
            </w:r>
          </w:p>
        </w:tc>
        <w:tc>
          <w:tcPr>
            <w:tcW w:w="1816" w:type="dxa"/>
            <w:vAlign w:val="center"/>
            <w:hideMark/>
          </w:tcPr>
          <w:p w14:paraId="7A260403"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全量微调</w:t>
            </w:r>
          </w:p>
        </w:tc>
      </w:tr>
      <w:tr w:rsidR="000B5C22" w:rsidRPr="004643F8" w14:paraId="338BEBFF" w14:textId="77777777" w:rsidTr="00601C0B">
        <w:trPr>
          <w:trHeight w:val="272"/>
          <w:jc w:val="center"/>
        </w:trPr>
        <w:tc>
          <w:tcPr>
            <w:tcW w:w="2552" w:type="dxa"/>
            <w:vAlign w:val="center"/>
            <w:hideMark/>
          </w:tcPr>
          <w:p w14:paraId="645848B7"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目标域RUL预测头</w:t>
            </w:r>
          </w:p>
        </w:tc>
        <w:tc>
          <w:tcPr>
            <w:tcW w:w="2410" w:type="dxa"/>
            <w:vAlign w:val="center"/>
            <w:hideMark/>
          </w:tcPr>
          <w:p w14:paraId="29EA8938"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将隐状态映射为目标域单位的RUL标量</w:t>
            </w:r>
          </w:p>
        </w:tc>
        <w:tc>
          <w:tcPr>
            <w:tcW w:w="1417" w:type="dxa"/>
            <w:vAlign w:val="center"/>
            <w:hideMark/>
          </w:tcPr>
          <w:p w14:paraId="259F0309"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w:t>
            </w:r>
          </w:p>
        </w:tc>
        <w:tc>
          <w:tcPr>
            <w:tcW w:w="1816" w:type="dxa"/>
            <w:vAlign w:val="center"/>
            <w:hideMark/>
          </w:tcPr>
          <w:p w14:paraId="60443401" w14:textId="77777777" w:rsidR="000B5C22" w:rsidRPr="004643F8" w:rsidRDefault="000B5C22" w:rsidP="00601C0B">
            <w:pPr>
              <w:jc w:val="center"/>
              <w:rPr>
                <w:rFonts w:asciiTheme="majorEastAsia" w:eastAsiaTheme="majorEastAsia" w:hAnsiTheme="majorEastAsia"/>
              </w:rPr>
            </w:pPr>
            <w:r w:rsidRPr="004643F8">
              <w:rPr>
                <w:rFonts w:asciiTheme="majorEastAsia" w:eastAsiaTheme="majorEastAsia" w:hAnsiTheme="majorEastAsia"/>
              </w:rPr>
              <w:t>全量微调（独立初始化）</w:t>
            </w:r>
          </w:p>
        </w:tc>
      </w:tr>
    </w:tbl>
    <w:p w14:paraId="09A26FCB" w14:textId="77777777" w:rsidR="000B1ACD" w:rsidRPr="004643F8" w:rsidRDefault="000B1ACD" w:rsidP="000B1ACD">
      <w:pPr>
        <w:pStyle w:val="2"/>
        <w:rPr>
          <w:rFonts w:asciiTheme="majorEastAsia" w:eastAsiaTheme="majorEastAsia" w:hAnsiTheme="majorEastAsia"/>
        </w:rPr>
      </w:pPr>
      <w:r w:rsidRPr="004643F8">
        <w:rPr>
          <w:rFonts w:asciiTheme="majorEastAsia" w:eastAsiaTheme="majorEastAsia" w:hAnsiTheme="majorEastAsia"/>
          <w:b/>
          <w:bCs/>
        </w:rPr>
        <w:t>4.2 训练与目标侧适配</w:t>
      </w:r>
    </w:p>
    <w:p w14:paraId="37A7688F" w14:textId="77777777" w:rsidR="000B1ACD" w:rsidRPr="004643F8" w:rsidRDefault="000B1ACD" w:rsidP="000B1ACD">
      <w:pPr>
        <w:rPr>
          <w:rFonts w:asciiTheme="majorEastAsia" w:eastAsiaTheme="majorEastAsia" w:hAnsiTheme="majorEastAsia"/>
        </w:rPr>
      </w:pPr>
      <w:r w:rsidRPr="004643F8">
        <w:rPr>
          <w:rFonts w:asciiTheme="majorEastAsia" w:eastAsiaTheme="majorEastAsia" w:hAnsiTheme="majorEastAsia"/>
        </w:rPr>
        <w:t>模型训练与适配流程遵循“源域知识先行、目标域轻量接入、逐折独立验证”的总体原则，分为源域预训练与目标域微调两大阶段，其间贯穿严格的可见性控制。本节按执行时序依次阐述各阶段的关键操作。</w:t>
      </w:r>
    </w:p>
    <w:p w14:paraId="2C62F710" w14:textId="77777777" w:rsidR="000B1ACD" w:rsidRPr="004643F8" w:rsidRDefault="000B1ACD" w:rsidP="000B1ACD">
      <w:pPr>
        <w:rPr>
          <w:rFonts w:asciiTheme="majorEastAsia" w:eastAsiaTheme="majorEastAsia" w:hAnsiTheme="majorEastAsia"/>
        </w:rPr>
      </w:pPr>
      <w:r w:rsidRPr="004643F8">
        <w:rPr>
          <w:rFonts w:asciiTheme="majorEastAsia" w:eastAsiaTheme="majorEastAsia" w:hAnsiTheme="majorEastAsia"/>
        </w:rPr>
        <w:t>阶段一：源域预训练与编码器固化。</w:t>
      </w:r>
    </w:p>
    <w:p w14:paraId="6BACF4BB" w14:textId="77777777" w:rsidR="000B1ACD" w:rsidRPr="004643F8" w:rsidRDefault="000B1ACD" w:rsidP="000B1ACD">
      <w:pPr>
        <w:rPr>
          <w:rFonts w:asciiTheme="majorEastAsia" w:eastAsiaTheme="majorEastAsia" w:hAnsiTheme="majorEastAsia"/>
        </w:rPr>
      </w:pPr>
      <w:r w:rsidRPr="004643F8">
        <w:rPr>
          <w:rFonts w:asciiTheme="majorEastAsia" w:eastAsiaTheme="majorEastAsia" w:hAnsiTheme="majorEastAsia"/>
        </w:rPr>
        <w:t>在源域训练集轨迹上训练共享GRU编码器与源域输入投影层，优化目标为最小化喷嘴场景下的RUL预测误差。训练过程中，源域验证集轨迹不参与梯度更新，但用于监控模型收敛状态以及选取最优checkpoint——当验证集Loss在预设容忍轮次内不再下降时，训练终止，并回滚至验证Loss最低时刻的权重快照。该checkpoint随后作为目标域微调的初始化参数。需要强调的是，源域测试集在本阶段完全封存，仅在源域模型审计报告中单独使用一次，不参与任何形式的参数选择或梯度计算。</w:t>
      </w:r>
    </w:p>
    <w:p w14:paraId="6535948E" w14:textId="77777777" w:rsidR="000B1ACD" w:rsidRPr="004643F8" w:rsidRDefault="000B1ACD" w:rsidP="000B1ACD">
      <w:pPr>
        <w:rPr>
          <w:rFonts w:asciiTheme="majorEastAsia" w:eastAsiaTheme="majorEastAsia" w:hAnsiTheme="majorEastAsia"/>
        </w:rPr>
      </w:pPr>
      <w:r w:rsidRPr="004643F8">
        <w:rPr>
          <w:rFonts w:asciiTheme="majorEastAsia" w:eastAsiaTheme="majorEastAsia" w:hAnsiTheme="majorEastAsia"/>
        </w:rPr>
        <w:t>阶段二：目标域逐折预处理参数估计。</w:t>
      </w:r>
    </w:p>
    <w:p w14:paraId="5390F7B5" w14:textId="77777777" w:rsidR="000B1ACD" w:rsidRPr="004643F8" w:rsidRDefault="000B1ACD" w:rsidP="000B1ACD">
      <w:pPr>
        <w:rPr>
          <w:rFonts w:asciiTheme="majorEastAsia" w:eastAsiaTheme="majorEastAsia" w:hAnsiTheme="majorEastAsia"/>
        </w:rPr>
      </w:pPr>
      <w:r w:rsidRPr="004643F8">
        <w:rPr>
          <w:rFonts w:asciiTheme="majorEastAsia" w:eastAsiaTheme="majorEastAsia" w:hAnsiTheme="majorEastAsia"/>
        </w:rPr>
        <w:t>对于每一个目标域outer fold，在接触测试折之前，必须完成三项预处理参数的独立估计。第一，输入特征的归一化scaler——其均值和标准差完全由当前折的训练集（fit groups）轨迹计算，测试折的任一记录均不参与此估计。第二，RUL标签的尺度缩放因子——由于不同目标域以及同一目标域内不同轨迹的全寿命时长存在差异，需将标签缩放到量级稳定的范围以利于优化收敛；该缩放因子的最大值来源仅限于训练折轨迹中的最大RUL值，测试折的寿命长度不参与计算。第三，趋势先验的参数筛选——从候选先验假设（包括线性衰减、指数衰减等若干形式）中选择与训练折数据拟合优度最高的形式，作为后续训练的辅助归纳偏置。上述三项估计结果在整折微调期间保持固定，不因验证集或测试集的任何反馈而调整。</w:t>
      </w:r>
    </w:p>
    <w:p w14:paraId="7B7BB8B6" w14:textId="77777777" w:rsidR="000B1ACD" w:rsidRPr="004643F8" w:rsidRDefault="000B1ACD" w:rsidP="000B1ACD">
      <w:pPr>
        <w:rPr>
          <w:rFonts w:asciiTheme="majorEastAsia" w:eastAsiaTheme="majorEastAsia" w:hAnsiTheme="majorEastAsia"/>
        </w:rPr>
      </w:pPr>
      <w:r w:rsidRPr="004643F8">
        <w:rPr>
          <w:rFonts w:asciiTheme="majorEastAsia" w:eastAsiaTheme="majorEastAsia" w:hAnsiTheme="majorEastAsia"/>
        </w:rPr>
        <w:lastRenderedPageBreak/>
        <w:t>阶段三：目标域微调与模型选择。</w:t>
      </w:r>
    </w:p>
    <w:p w14:paraId="546A15C7" w14:textId="77777777" w:rsidR="000B1ACD" w:rsidRPr="004643F8" w:rsidRDefault="000B1ACD" w:rsidP="000B1ACD">
      <w:pPr>
        <w:rPr>
          <w:rFonts w:asciiTheme="majorEastAsia" w:eastAsiaTheme="majorEastAsia" w:hAnsiTheme="majorEastAsia"/>
        </w:rPr>
      </w:pPr>
      <w:r w:rsidRPr="004643F8">
        <w:rPr>
          <w:rFonts w:asciiTheme="majorEastAsia" w:eastAsiaTheme="majorEastAsia" w:hAnsiTheme="majorEastAsia"/>
        </w:rPr>
        <w:t>将源域预训练的编码器权重加载至目标域框架中，与目标域输入投影层、目标域RUL预测头一并组成完整的微调模型。在每一训练轮次结束后，按时间顺序切分的验证折（从训练集中划分，不包含测试折的任何记录）被用于计算当前模型的验证Loss。当验证Loss在连续若干轮次内未取得改善时，触发早停机制，模型回滚至验证Loss最低的轮次并终止训练。这一设计不仅作为正则化手段防止对训练折的过拟合，更作为同预算约束下的模型选择准则——在相同的最大训练轮次预算内，不同配置（如不同窗口长度或不同先验类型）的优劣由验证集上的表现裁决，而非最终测试集。</w:t>
      </w:r>
    </w:p>
    <w:p w14:paraId="04D25048" w14:textId="77777777" w:rsidR="000B1ACD" w:rsidRPr="004643F8" w:rsidRDefault="000B1ACD" w:rsidP="000B1ACD">
      <w:pPr>
        <w:rPr>
          <w:rFonts w:asciiTheme="majorEastAsia" w:eastAsiaTheme="majorEastAsia" w:hAnsiTheme="majorEastAsia"/>
        </w:rPr>
      </w:pPr>
      <w:r w:rsidRPr="004643F8">
        <w:rPr>
          <w:rFonts w:asciiTheme="majorEastAsia" w:eastAsiaTheme="majorEastAsia" w:hAnsiTheme="majorEastAsia"/>
        </w:rPr>
        <w:t>若当前目标场景下还启用了可选的adapter模块以增强适配能力，其参数更新与早停决策共享同一套验证集切分规则，确保adapter的引入不引入额外的信息泄漏路径。</w:t>
      </w:r>
    </w:p>
    <w:p w14:paraId="135E9D98" w14:textId="77777777" w:rsidR="000B1ACD" w:rsidRPr="004643F8" w:rsidRDefault="000B1ACD" w:rsidP="000B1ACD">
      <w:pPr>
        <w:rPr>
          <w:rFonts w:asciiTheme="majorEastAsia" w:eastAsiaTheme="majorEastAsia" w:hAnsiTheme="majorEastAsia"/>
        </w:rPr>
      </w:pPr>
      <w:r w:rsidRPr="004643F8">
        <w:rPr>
          <w:rFonts w:asciiTheme="majorEastAsia" w:eastAsiaTheme="majorEastAsia" w:hAnsiTheme="majorEastAsia"/>
        </w:rPr>
        <w:t>阶段四：基线对比与效果归因。</w:t>
      </w:r>
    </w:p>
    <w:p w14:paraId="2FD095FA" w14:textId="77777777" w:rsidR="000B1ACD" w:rsidRPr="004643F8" w:rsidRDefault="000B1ACD" w:rsidP="000B1ACD">
      <w:pPr>
        <w:rPr>
          <w:rFonts w:asciiTheme="majorEastAsia" w:eastAsiaTheme="majorEastAsia" w:hAnsiTheme="majorEastAsia"/>
        </w:rPr>
      </w:pPr>
      <w:r w:rsidRPr="004643F8">
        <w:rPr>
          <w:rFonts w:asciiTheme="majorEastAsia" w:eastAsiaTheme="majorEastAsia" w:hAnsiTheme="majorEastAsia"/>
        </w:rPr>
        <w:t>为量化迁移学习的实质增益，项目设置了多层对照基线体系。Scratch基线跳过源域预训练，直接在目标域训练折上从头训练编码器与预测头，用以衡量源域知识是否提供了优于随机初始化的起点。Ridge回归基线以线性模型作为非时域深度方法的代表，检验时序深度特征是否比简单线性映射更擅长捕捉退化趋势。确定性趋势基线则包括固定斜率的线性外推和指数衰减外推，用以评估模型是否仅学到了可被简单函数替代的单调规律。所有基线均严格遵循与主迁移实验相同的数据切分、scaler估计和early stopping协议，确保性能差异的唯一来源是源域预训练知识是否被使用。</w:t>
      </w:r>
    </w:p>
    <w:p w14:paraId="701675C7" w14:textId="77777777" w:rsidR="000B1ACD" w:rsidRPr="004643F8" w:rsidRDefault="000B1ACD" w:rsidP="000B1ACD">
      <w:pPr>
        <w:rPr>
          <w:rFonts w:asciiTheme="majorEastAsia" w:eastAsiaTheme="majorEastAsia" w:hAnsiTheme="majorEastAsia"/>
        </w:rPr>
      </w:pPr>
      <w:r w:rsidRPr="004643F8">
        <w:rPr>
          <w:rFonts w:asciiTheme="majorEastAsia" w:eastAsiaTheme="majorEastAsia" w:hAnsiTheme="majorEastAsia"/>
        </w:rPr>
        <w:t>实验记录与评估输出。</w:t>
      </w:r>
    </w:p>
    <w:p w14:paraId="28B14AF5" w14:textId="77777777" w:rsidR="000B1ACD" w:rsidRPr="004643F8" w:rsidRDefault="000B1ACD" w:rsidP="000B1ACD">
      <w:pPr>
        <w:rPr>
          <w:rFonts w:asciiTheme="majorEastAsia" w:eastAsiaTheme="majorEastAsia" w:hAnsiTheme="majorEastAsia"/>
        </w:rPr>
      </w:pPr>
      <w:r w:rsidRPr="004643F8">
        <w:rPr>
          <w:rFonts w:asciiTheme="majorEastAsia" w:eastAsiaTheme="majorEastAsia" w:hAnsiTheme="majorEastAsia"/>
        </w:rPr>
        <w:t>每一折实验完成后，项目自动记录该折在测试集上的预测结果与真实标签，并据此计算raw RMSE、MAE、预测偏差（bias）以及归一化RMSE等多项指标。所有中间输出——包括每一折的训练损失曲线、验证损失曲线、最终权重哈希以及预测残差分布——均按outer fold编号归档至运行目录。在完成全部五折或六折评估后，汇总各折指标计算宏平均与标准差，作为该目标场景下的最终迁移效果定量结论。实验所采用的随机种子在每一折中保持固定，消除随机初始化差异对结果可比性的干扰。</w:t>
      </w:r>
    </w:p>
    <w:p w14:paraId="40EBC44B" w14:textId="77777777" w:rsidR="0055681E" w:rsidRPr="004643F8" w:rsidRDefault="0055681E" w:rsidP="0055681E">
      <w:pPr>
        <w:pStyle w:val="2"/>
        <w:rPr>
          <w:rFonts w:asciiTheme="majorEastAsia" w:eastAsiaTheme="majorEastAsia" w:hAnsiTheme="majorEastAsia"/>
        </w:rPr>
      </w:pPr>
      <w:r w:rsidRPr="004643F8">
        <w:rPr>
          <w:rFonts w:asciiTheme="majorEastAsia" w:eastAsiaTheme="majorEastAsia" w:hAnsiTheme="majorEastAsia"/>
          <w:b/>
          <w:bCs/>
        </w:rPr>
        <w:t>4.3 损失、趋势先验与公平对照</w:t>
      </w:r>
    </w:p>
    <w:p w14:paraId="2FD65979" w14:textId="77777777" w:rsidR="0055681E" w:rsidRPr="004643F8" w:rsidRDefault="0055681E" w:rsidP="0055681E">
      <w:pPr>
        <w:rPr>
          <w:rFonts w:asciiTheme="majorEastAsia" w:eastAsiaTheme="majorEastAsia" w:hAnsiTheme="majorEastAsia"/>
        </w:rPr>
      </w:pPr>
      <w:r w:rsidRPr="004643F8">
        <w:rPr>
          <w:rFonts w:asciiTheme="majorEastAsia" w:eastAsiaTheme="majorEastAsia" w:hAnsiTheme="majorEastAsia"/>
        </w:rPr>
        <w:t>在模型优化与效果归因环节，项目从三个层面确保结论的严谨性：统一的优化目标、可审计的趋势参照系，以及严格的公平对照体系。本节依次阐述上述设计。</w:t>
      </w:r>
    </w:p>
    <w:p w14:paraId="4D3343D5" w14:textId="77777777" w:rsidR="0055681E" w:rsidRPr="004643F8" w:rsidRDefault="0055681E" w:rsidP="0055681E">
      <w:pPr>
        <w:rPr>
          <w:rFonts w:asciiTheme="majorEastAsia" w:eastAsiaTheme="majorEastAsia" w:hAnsiTheme="majorEastAsia"/>
        </w:rPr>
      </w:pPr>
      <w:r w:rsidRPr="004643F8">
        <w:rPr>
          <w:rFonts w:asciiTheme="majorEastAsia" w:eastAsiaTheme="majorEastAsia" w:hAnsiTheme="majorEastAsia"/>
        </w:rPr>
        <w:t>优化目标与训练预算。</w:t>
      </w:r>
    </w:p>
    <w:p w14:paraId="42BE2A28" w14:textId="0EAA97CB" w:rsidR="0055681E" w:rsidRPr="004643F8" w:rsidRDefault="0055681E" w:rsidP="0055681E">
      <w:pPr>
        <w:rPr>
          <w:rFonts w:asciiTheme="majorEastAsia" w:eastAsiaTheme="majorEastAsia" w:hAnsiTheme="majorEastAsia"/>
        </w:rPr>
      </w:pPr>
      <w:r w:rsidRPr="004643F8">
        <w:rPr>
          <w:rFonts w:asciiTheme="majorEastAsia" w:eastAsiaTheme="majorEastAsia" w:hAnsiTheme="majorEastAsia"/>
        </w:rPr>
        <w:t>所有神经模型（包括主迁移模型、Scratch从头训练模型以及Frozen编码器消融模型）在目标域微调阶段共用统一的损失函数——预测RUL与真实RUL之间的均方误差（MSE），即 </w:t>
      </w:r>
      <m:oMath>
        <m:r>
          <m:rPr>
            <m:scr m:val="script"/>
          </m:rPr>
          <w:rPr>
            <w:rFonts w:ascii="Cambria Math" w:eastAsiaTheme="majorEastAsia" w:hAnsi="Cambria Math"/>
          </w:rPr>
          <m:t>L=</m:t>
        </m:r>
        <m:f>
          <m:fPr>
            <m:ctrlPr>
              <w:rPr>
                <w:rFonts w:ascii="Cambria Math" w:eastAsiaTheme="majorEastAsia" w:hAnsi="Cambria Math"/>
              </w:rPr>
            </m:ctrlPr>
          </m:fPr>
          <m:num>
            <m:r>
              <w:rPr>
                <w:rFonts w:ascii="Cambria Math" w:eastAsiaTheme="majorEastAsia" w:hAnsi="Cambria Math"/>
              </w:rPr>
              <m:t>1</m:t>
            </m:r>
          </m:num>
          <m:den>
            <m:r>
              <w:rPr>
                <w:rFonts w:ascii="Cambria Math" w:eastAsiaTheme="majorEastAsia" w:hAnsi="Cambria Math"/>
              </w:rPr>
              <m:t>N</m:t>
            </m:r>
          </m:den>
        </m:f>
        <m:nary>
          <m:naryPr>
            <m:chr m:val="∑"/>
            <m:grow m:val="1"/>
            <m:subHide m:val="1"/>
            <m:supHide m:val="1"/>
            <m:ctrlPr>
              <w:rPr>
                <w:rFonts w:ascii="Cambria Math" w:eastAsiaTheme="majorEastAsia" w:hAnsi="Cambria Math"/>
              </w:rPr>
            </m:ctrlPr>
          </m:naryPr>
          <m:sub/>
          <m:sup/>
          <m:e>
            <m:r>
              <w:rPr>
                <w:rFonts w:ascii="Cambria Math" w:eastAsiaTheme="majorEastAsia" w:hAnsi="Cambria Math"/>
              </w:rPr>
              <m:t>(</m:t>
            </m:r>
          </m:e>
        </m:nary>
        <m:d>
          <m:dPr>
            <m:begChr m:val=""/>
            <m:endChr m:val=""/>
            <m:ctrlPr>
              <w:rPr>
                <w:rFonts w:ascii="Cambria Math" w:eastAsiaTheme="majorEastAsia" w:hAnsi="Cambria Math"/>
              </w:rPr>
            </m:ctrlPr>
          </m:dPr>
          <m:e>
            <m:sSub>
              <m:sSubPr>
                <m:ctrlPr>
                  <w:rPr>
                    <w:rFonts w:ascii="Cambria Math" w:eastAsiaTheme="majorEastAsia" w:hAnsi="Cambria Math"/>
                  </w:rPr>
                </m:ctrlPr>
              </m:sSubPr>
              <m:e>
                <m:acc>
                  <m:accPr>
                    <m:ctrlPr>
                      <w:rPr>
                        <w:rFonts w:ascii="Cambria Math" w:eastAsiaTheme="majorEastAsia" w:hAnsi="Cambria Math"/>
                      </w:rPr>
                    </m:ctrlPr>
                  </m:accPr>
                  <m:e>
                    <m:r>
                      <w:rPr>
                        <w:rFonts w:ascii="Cambria Math" w:eastAsiaTheme="majorEastAsia" w:hAnsi="Cambria Math"/>
                      </w:rPr>
                      <m:t>r</m:t>
                    </m:r>
                  </m:e>
                </m:acc>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sSup>
              <m:sSupPr>
                <m:ctrlPr>
                  <w:rPr>
                    <w:rFonts w:ascii="Cambria Math" w:eastAsiaTheme="majorEastAsia" w:hAnsi="Cambria Math"/>
                  </w:rPr>
                </m:ctrlPr>
              </m:sSupPr>
              <m:e>
                <m:d>
                  <m:dPr>
                    <m:begChr m:val=""/>
                    <m:endChr m:val=""/>
                    <m:ctrlPr>
                      <w:rPr>
                        <w:rFonts w:ascii="Cambria Math" w:eastAsiaTheme="majorEastAsia" w:hAnsi="Cambria Math"/>
                      </w:rPr>
                    </m:ctrlPr>
                  </m:dPr>
                  <m:e>
                    <m:r>
                      <w:rPr>
                        <w:rFonts w:ascii="Cambria Math" w:eastAsiaTheme="majorEastAsia" w:hAnsi="Cambria Math"/>
                      </w:rPr>
                      <m:t>)</m:t>
                    </m:r>
                  </m:e>
                </m:d>
              </m:e>
              <m:sup>
                <m:r>
                  <w:rPr>
                    <w:rFonts w:ascii="Cambria Math" w:eastAsiaTheme="majorEastAsia" w:hAnsi="Cambria Math"/>
                  </w:rPr>
                  <m:t>2</m:t>
                </m:r>
              </m:sup>
            </m:sSup>
          </m:e>
        </m:d>
      </m:oMath>
      <w:r w:rsidRPr="004643F8">
        <w:rPr>
          <w:rFonts w:asciiTheme="majorEastAsia" w:eastAsiaTheme="majorEastAsia" w:hAnsiTheme="majorEastAsia"/>
        </w:rPr>
        <w:t>。该损失在训练集的每个窗口上前向计算并反向传播，以驱动模型参数向最小化预测偏差的方向更新。除此之外，项目不引入额外的辅助损失或对抗约束，旨在使迁移增益的来源清晰可溯——完全来自源域预训练编码器所提供的退化表征先验，而非复杂的多任务正则化设计。</w:t>
      </w:r>
    </w:p>
    <w:p w14:paraId="146409F7" w14:textId="77777777" w:rsidR="0055681E" w:rsidRPr="004643F8" w:rsidRDefault="0055681E" w:rsidP="0055681E">
      <w:pPr>
        <w:rPr>
          <w:rFonts w:asciiTheme="majorEastAsia" w:eastAsiaTheme="majorEastAsia" w:hAnsiTheme="majorEastAsia"/>
        </w:rPr>
      </w:pPr>
      <w:r w:rsidRPr="004643F8">
        <w:rPr>
          <w:rFonts w:asciiTheme="majorEastAsia" w:eastAsiaTheme="majorEastAsia" w:hAnsiTheme="majorEastAsia"/>
        </w:rPr>
        <w:t>在训练预算方面，所有实验配置强制执行相同的最大训练轮次上限，并共用基于验证集表现的早停规则。这意味着主迁移模型相较于Scratch模型的性能优势，不可能源于获得了更多的迭代次数或更宽松的收敛条件，二者在计算资源与优化步数上完全对等。验证集的切分方式在全部模型间保持一致，随机种子亦固定为相同数值，确保实验结果的差异仅反映模型初始状态（是否载入源域预训练权重）的不同，而非随机因素或数据划分偶然性的影响。</w:t>
      </w:r>
    </w:p>
    <w:p w14:paraId="5CDEFC81" w14:textId="77777777" w:rsidR="0055681E" w:rsidRPr="004643F8" w:rsidRDefault="0055681E" w:rsidP="0055681E">
      <w:pPr>
        <w:rPr>
          <w:rFonts w:asciiTheme="majorEastAsia" w:eastAsiaTheme="majorEastAsia" w:hAnsiTheme="majorEastAsia"/>
        </w:rPr>
      </w:pPr>
      <w:r w:rsidRPr="004643F8">
        <w:rPr>
          <w:rFonts w:asciiTheme="majorEastAsia" w:eastAsiaTheme="majorEastAsia" w:hAnsiTheme="majorEastAsia"/>
        </w:rPr>
        <w:t>趋势先验的工程角色。</w:t>
      </w:r>
    </w:p>
    <w:p w14:paraId="7189CE68" w14:textId="77777777" w:rsidR="0055681E" w:rsidRPr="004643F8" w:rsidRDefault="0055681E" w:rsidP="0055681E">
      <w:pPr>
        <w:rPr>
          <w:rFonts w:asciiTheme="majorEastAsia" w:eastAsiaTheme="majorEastAsia" w:hAnsiTheme="majorEastAsia"/>
        </w:rPr>
      </w:pPr>
      <w:r w:rsidRPr="004643F8">
        <w:rPr>
          <w:rFonts w:asciiTheme="majorEastAsia" w:eastAsiaTheme="majorEastAsia" w:hAnsiTheme="majorEastAsia"/>
        </w:rPr>
        <w:t>在航天工程实践中，工程师面对缺乏历史数据的全新组件时，最朴素的寿命推断方式往往基于某种确定性趋势假设——例如“退化速率恒定”的线性外推，或“初期缓慢、后期加速”</w:t>
      </w:r>
      <w:r w:rsidRPr="004643F8">
        <w:rPr>
          <w:rFonts w:asciiTheme="majorEastAsia" w:eastAsiaTheme="majorEastAsia" w:hAnsiTheme="majorEastAsia"/>
        </w:rPr>
        <w:lastRenderedPageBreak/>
        <w:t>的指数式增长。这些趋势先验虽然无法捕捉样本间的个体差异，但在群体统计意义上可能提供一定程度的预测基准。本项目在目标域微调框架中内置了若干可审计的轻量趋势先验组件，其发挥双重作用：其一，作为辅助性的归纳偏置，在训练数据有限时约束模型输出的合理性——例如当窗口输入被噪声干扰时，先验项可引导预测值不致过度偏离物理常识所允许的退化边界；其二，更重要的是，作为算法效果归因的参照锚点。</w:t>
      </w:r>
    </w:p>
    <w:p w14:paraId="4EC05B0D" w14:textId="77777777" w:rsidR="0055681E" w:rsidRPr="004643F8" w:rsidRDefault="0055681E" w:rsidP="0055681E">
      <w:pPr>
        <w:rPr>
          <w:rFonts w:asciiTheme="majorEastAsia" w:eastAsiaTheme="majorEastAsia" w:hAnsiTheme="majorEastAsia"/>
        </w:rPr>
      </w:pPr>
      <w:r w:rsidRPr="004643F8">
        <w:rPr>
          <w:rFonts w:asciiTheme="majorEastAsia" w:eastAsiaTheme="majorEastAsia" w:hAnsiTheme="majorEastAsia"/>
        </w:rPr>
        <w:t>上述先验包括线性趋势（假设RUL随服役时间匀速递减）、二次趋势（考虑退化速率的加速或减速效应）以及Huber稳健趋势（对离群值具有容忍度的鲁棒拟合）。所有先验的参数均在每一折的训练集上独立拟合——线性与二次趋势基于最小二乘估计，Huber趋势基于迭代重加权最小二乘——测试折不参与任何先验参数的确定过程。这一“因果化”的拟合方式（仅使用历史数据推断未来趋势）与航天在轨场景的工程约束完全一致。</w:t>
      </w:r>
    </w:p>
    <w:p w14:paraId="4471D185" w14:textId="77777777" w:rsidR="0055681E" w:rsidRPr="004643F8" w:rsidRDefault="0055681E" w:rsidP="0055681E">
      <w:pPr>
        <w:rPr>
          <w:rFonts w:asciiTheme="majorEastAsia" w:eastAsiaTheme="majorEastAsia" w:hAnsiTheme="majorEastAsia"/>
        </w:rPr>
      </w:pPr>
      <w:r w:rsidRPr="004643F8">
        <w:rPr>
          <w:rFonts w:asciiTheme="majorEastAsia" w:eastAsiaTheme="majorEastAsia" w:hAnsiTheme="majorEastAsia"/>
        </w:rPr>
        <w:t>多层基线对照体系。</w:t>
      </w:r>
    </w:p>
    <w:p w14:paraId="5D7FC650" w14:textId="77777777" w:rsidR="0055681E" w:rsidRPr="004643F8" w:rsidRDefault="0055681E" w:rsidP="0055681E">
      <w:pPr>
        <w:rPr>
          <w:rFonts w:asciiTheme="majorEastAsia" w:eastAsiaTheme="majorEastAsia" w:hAnsiTheme="majorEastAsia"/>
        </w:rPr>
      </w:pPr>
      <w:r w:rsidRPr="004643F8">
        <w:rPr>
          <w:rFonts w:asciiTheme="majorEastAsia" w:eastAsiaTheme="majorEastAsia" w:hAnsiTheme="majorEastAsia"/>
        </w:rPr>
        <w:t>为全面锚定主迁移模型的性能水平，项目设置了四个层次的对照基线，分别对应不同复杂度和不同信息源的方法。</w:t>
      </w:r>
    </w:p>
    <w:p w14:paraId="09E7D397" w14:textId="77777777" w:rsidR="0055681E" w:rsidRPr="004643F8" w:rsidRDefault="0055681E" w:rsidP="0055681E">
      <w:pPr>
        <w:rPr>
          <w:rFonts w:asciiTheme="majorEastAsia" w:eastAsiaTheme="majorEastAsia" w:hAnsiTheme="majorEastAsia"/>
        </w:rPr>
      </w:pPr>
      <w:r w:rsidRPr="004643F8">
        <w:rPr>
          <w:rFonts w:asciiTheme="majorEastAsia" w:eastAsiaTheme="majorEastAsia" w:hAnsiTheme="majorEastAsia"/>
        </w:rPr>
        <w:t>Scratch基线 是最直接的迁移增益量化工具。该基线模型在架构上与主迁移模型完全一致（相同层数、相同隐层维度、相同窗口长度），唯一区别在于编码器权重采用随机初始化而非源域预训练权重。若主迁移模型的预测误差显著低于Scratch，则该改善可归因于源域退化知识的有效迁移；若两者持平或前者劣于后者，则表明源域知识在目标场景中未能提供增益甚至产生了负迁移。</w:t>
      </w:r>
    </w:p>
    <w:p w14:paraId="1DAD0A3F" w14:textId="77777777" w:rsidR="0055681E" w:rsidRPr="004643F8" w:rsidRDefault="0055681E" w:rsidP="0055681E">
      <w:pPr>
        <w:rPr>
          <w:rFonts w:asciiTheme="majorEastAsia" w:eastAsiaTheme="majorEastAsia" w:hAnsiTheme="majorEastAsia"/>
        </w:rPr>
      </w:pPr>
      <w:r w:rsidRPr="004643F8">
        <w:rPr>
          <w:rFonts w:asciiTheme="majorEastAsia" w:eastAsiaTheme="majorEastAsia" w:hAnsiTheme="majorEastAsia"/>
        </w:rPr>
        <w:t>Ridge回归基线 作为非时序浅层方法的代表，用以检验深度时序特征的必要性。Ridge模型以窗口内各时刻的原始传感器读数为输入特征，通过线性回归加L2正则化直接映射至RUL预测。若Ridge的性能与深度模型相当甚至更优，则说明目标域的退化趋势高度线性且信噪比充足，复杂序列建模并未带来额外收益。</w:t>
      </w:r>
    </w:p>
    <w:p w14:paraId="126EC3D1" w14:textId="77777777" w:rsidR="0055681E" w:rsidRPr="004643F8" w:rsidRDefault="0055681E" w:rsidP="0055681E">
      <w:pPr>
        <w:rPr>
          <w:rFonts w:asciiTheme="majorEastAsia" w:eastAsiaTheme="majorEastAsia" w:hAnsiTheme="majorEastAsia"/>
        </w:rPr>
      </w:pPr>
      <w:r w:rsidRPr="004643F8">
        <w:rPr>
          <w:rFonts w:asciiTheme="majorEastAsia" w:eastAsiaTheme="majorEastAsia" w:hAnsiTheme="majorEastAsia"/>
        </w:rPr>
        <w:t>确定性趋势基线 包括固定斜率的线性外推、二次多项式外推以及Huber稳健趋势外推。这些基线不使用任何传感器观测值，仅依据当前时刻在轨迹中的相对位置（即已服役时长）推断剩余寿命。它们代表了“无数据驱动能力”的工程经验下限——若神经模型连这些最简单的趋势都不及，则意味着模型未能有效利用传感器信息，需要重新审视特征设计与训练策略。</w:t>
      </w:r>
    </w:p>
    <w:p w14:paraId="3E5AF3DB" w14:textId="77777777" w:rsidR="0055681E" w:rsidRPr="004643F8" w:rsidRDefault="0055681E" w:rsidP="0055681E">
      <w:pPr>
        <w:rPr>
          <w:rFonts w:asciiTheme="majorEastAsia" w:eastAsiaTheme="majorEastAsia" w:hAnsiTheme="majorEastAsia"/>
        </w:rPr>
      </w:pPr>
      <w:r w:rsidRPr="004643F8">
        <w:rPr>
          <w:rFonts w:asciiTheme="majorEastAsia" w:eastAsiaTheme="majorEastAsia" w:hAnsiTheme="majorEastAsia"/>
        </w:rPr>
        <w:t>全部基线均严格遵循与主迁移实验相同的数据切分、scalet估计、早停协议与随机种子，测试集在各基线的评估中同样一次性准入，确保性能比较的公允性。任何基线若在训练过程中使用了超越训练折范围的信息（例如全寿命极值或未来时刻观测），其评估结果将被标记为无效并从对照表中移除。</w:t>
      </w:r>
    </w:p>
    <w:p w14:paraId="60EBC0D2" w14:textId="77777777" w:rsidR="003E2AC8" w:rsidRPr="004643F8" w:rsidRDefault="003E2AC8" w:rsidP="003E2AC8">
      <w:pPr>
        <w:pStyle w:val="2"/>
        <w:rPr>
          <w:rFonts w:asciiTheme="majorEastAsia" w:eastAsiaTheme="majorEastAsia" w:hAnsiTheme="majorEastAsia"/>
        </w:rPr>
      </w:pPr>
      <w:r w:rsidRPr="004643F8">
        <w:rPr>
          <w:rFonts w:asciiTheme="majorEastAsia" w:eastAsiaTheme="majorEastAsia" w:hAnsiTheme="majorEastAsia"/>
          <w:b/>
          <w:bCs/>
        </w:rPr>
        <w:t>5.1 主跨组件迁移协议：cross_component_transfer_v3</w:t>
      </w:r>
    </w:p>
    <w:p w14:paraId="4F511CFE" w14:textId="77777777" w:rsidR="003E2AC8" w:rsidRPr="004643F8" w:rsidRDefault="003E2AC8" w:rsidP="003E2AC8">
      <w:pPr>
        <w:rPr>
          <w:rFonts w:asciiTheme="majorEastAsia" w:eastAsiaTheme="majorEastAsia" w:hAnsiTheme="majorEastAsia"/>
        </w:rPr>
      </w:pPr>
      <w:r w:rsidRPr="004643F8">
        <w:rPr>
          <w:rFonts w:asciiTheme="majorEastAsia" w:eastAsiaTheme="majorEastAsia" w:hAnsiTheme="majorEastAsia"/>
        </w:rPr>
        <w:t>cross_component_transfer_v3 是本项目的主评估协议，承载赛事核心要求的跨域迁移效果验证任务。该协议覆盖两条独立的迁移链路：其一为喷嘴烧蚀源域 → NASA电池目标域，用以检验退化知识在电化学系统中的泛化能力；其二为喷嘴烧蚀源域 → FEMTO轴承目标域，作为第二机械退化场景的补充验证线。两条链路共享相同的源域预训练权重（200条喷嘴轨迹），但各自独立执行目标域微调与评估，互不干扰。需要说明的是，COMSOL反作用轮仿真数据在主协议之外另行组织评估，其协议细节于5.2节单独阐述。</w:t>
      </w:r>
    </w:p>
    <w:p w14:paraId="75D21AE8" w14:textId="77777777" w:rsidR="003E2AC8" w:rsidRPr="004643F8" w:rsidRDefault="003E2AC8" w:rsidP="003E2AC8">
      <w:pPr>
        <w:rPr>
          <w:rFonts w:asciiTheme="majorEastAsia" w:eastAsiaTheme="majorEastAsia" w:hAnsiTheme="majorEastAsia"/>
        </w:rPr>
      </w:pPr>
      <w:r w:rsidRPr="004643F8">
        <w:rPr>
          <w:rFonts w:asciiTheme="majorEastAsia" w:eastAsiaTheme="majorEastAsia" w:hAnsiTheme="majorEastAsia"/>
        </w:rPr>
        <w:t>在源域一侧，协议固定使用严格筛选的200条喷嘴多轨迹数据完成编码器预训练，训练集、验证集与源域测试集的轨迹级切分在协议初始化时一次性确定并固化。预训练所得编码器权重作为两条迁移链路的共同起点，分别传递至电池与轴承目标域。</w:t>
      </w:r>
    </w:p>
    <w:p w14:paraId="185F1FEF" w14:textId="77777777" w:rsidR="003E2AC8" w:rsidRPr="004643F8" w:rsidRDefault="003E2AC8" w:rsidP="003E2AC8">
      <w:pPr>
        <w:rPr>
          <w:rFonts w:asciiTheme="majorEastAsia" w:eastAsiaTheme="majorEastAsia" w:hAnsiTheme="majorEastAsia"/>
        </w:rPr>
      </w:pPr>
      <w:r w:rsidRPr="004643F8">
        <w:rPr>
          <w:rFonts w:asciiTheme="majorEastAsia" w:eastAsiaTheme="majorEastAsia" w:hAnsiTheme="majorEastAsia"/>
        </w:rPr>
        <w:t>在目标域电池链路中，B0005、B0006、B0018三条完整事件观测轨迹构成三个独立 outer folds，每一折以其中一条作为测试集、其余两条作为训练集进行微调与评估，轮换三次完成全量评估。B0007右删失样本不纳入标准RMSE统计，单独作为诊断样本用于定性趋势分析。在轴承链路中，六个FEMTO样本执行六折留一验证，每折以五个样本训练、一个样本测</w:t>
      </w:r>
      <w:r w:rsidRPr="004643F8">
        <w:rPr>
          <w:rFonts w:asciiTheme="majorEastAsia" w:eastAsiaTheme="majorEastAsia" w:hAnsiTheme="majorEastAsia"/>
        </w:rPr>
        <w:lastRenderedPageBreak/>
        <w:t>试，轮换六次完成全量评估。两类目标域的切分策略均保证轨迹级别的完全隔离，不存在同一轨迹跨训练与测试折的信息渗透。</w:t>
      </w:r>
    </w:p>
    <w:p w14:paraId="1458CBCC" w14:textId="77777777" w:rsidR="003E2AC8" w:rsidRPr="004643F8" w:rsidRDefault="003E2AC8" w:rsidP="003E2AC8">
      <w:pPr>
        <w:rPr>
          <w:rFonts w:asciiTheme="majorEastAsia" w:eastAsiaTheme="majorEastAsia" w:hAnsiTheme="majorEastAsia"/>
        </w:rPr>
      </w:pPr>
      <w:r w:rsidRPr="004643F8">
        <w:rPr>
          <w:rFonts w:asciiTheme="majorEastAsia" w:eastAsiaTheme="majorEastAsia" w:hAnsiTheme="majorEastAsia"/>
        </w:rPr>
        <w:t>协议要求所有实验在五个固定随机种子（42、123、456、2026、3407）上分别运行，每个种子下每个配置至少执行三个显式trial，以消除随机初始化对结果波动性的影响，确保结论的统计稳健性。该种子集合与赛事官方推荐保持一致，便于后续第三方独立复现时与报告数值进行直接对照。</w:t>
      </w:r>
    </w:p>
    <w:p w14:paraId="2D8F1EE3" w14:textId="77777777" w:rsidR="003E2AC8" w:rsidRPr="004643F8" w:rsidRDefault="003E2AC8" w:rsidP="003E2AC8">
      <w:pPr>
        <w:rPr>
          <w:rFonts w:asciiTheme="majorEastAsia" w:eastAsiaTheme="majorEastAsia" w:hAnsiTheme="majorEastAsia"/>
        </w:rPr>
      </w:pPr>
      <w:r w:rsidRPr="004643F8">
        <w:rPr>
          <w:rFonts w:asciiTheme="majorEastAsia" w:eastAsiaTheme="majorEastAsia" w:hAnsiTheme="majorEastAsia"/>
        </w:rPr>
        <w:t>协议运行完毕后，自动生成以下标准化输出产物：协议状态文件（protocol.json）记录每折的切分索引与数据哈希指纹；数据清单文件（manifest.json）汇总全部输入材料的版本信息与校验码；预检状态文件（preflight.json）确认方向检查、可见性审计与数据完整性均通过后方可启动训练；训练监控文件（supervisor_status.json）记录每折的训练曲线与早停触发轮次；宏平均指标文件（macro.json）汇总各折 RMSE、MAE、bias 及归一化 RMSE 的均值与标准差；逐折预测文件（predictions/*.csv）保存每个测试折的预测值与真实标签，供评审方独立重算指标。上述产物的完整归档路径为 outputs/cross_component_transfer_v3/，版本哈希一并记录于运行目录的版本锁定文件中。</w:t>
      </w:r>
    </w:p>
    <w:p w14:paraId="06F9DD35" w14:textId="77777777" w:rsidR="00854CD0" w:rsidRPr="004643F8" w:rsidRDefault="00854CD0" w:rsidP="00854CD0">
      <w:pPr>
        <w:pStyle w:val="2"/>
        <w:rPr>
          <w:rFonts w:asciiTheme="majorEastAsia" w:eastAsiaTheme="majorEastAsia" w:hAnsiTheme="majorEastAsia"/>
        </w:rPr>
      </w:pPr>
      <w:r w:rsidRPr="004643F8">
        <w:rPr>
          <w:rFonts w:asciiTheme="majorEastAsia" w:eastAsiaTheme="majorEastAsia" w:hAnsiTheme="majorEastAsia"/>
          <w:b/>
          <w:bCs/>
        </w:rPr>
        <w:t>5.2 反作用轮仿真代理迁移协议：FEMTO → COMSOL v5</w:t>
      </w:r>
    </w:p>
    <w:p w14:paraId="3AA7E078" w14:textId="77777777" w:rsidR="00854CD0" w:rsidRPr="004643F8" w:rsidRDefault="00854CD0" w:rsidP="00854CD0">
      <w:pPr>
        <w:rPr>
          <w:rFonts w:asciiTheme="majorEastAsia" w:eastAsiaTheme="majorEastAsia" w:hAnsiTheme="majorEastAsia"/>
        </w:rPr>
      </w:pPr>
      <w:r w:rsidRPr="004643F8">
        <w:rPr>
          <w:rFonts w:asciiTheme="majorEastAsia" w:eastAsiaTheme="majorEastAsia" w:hAnsiTheme="majorEastAsia"/>
        </w:rPr>
        <w:t>v5 协议专门用于评估源域预训练编码器在反作用轮仿真退化场景中的迁移适配效果，其设计定位补充主协议 v3 未能覆盖的航天机械部件目标域。协议以五条 COMSOL 反作用轮完整仿真轨迹为评估对象，采用留一轨迹验证策略——每一折将其中一条轨迹设为 outer holdout，其余轨迹作为训练折用于微调。轮换五次完成全量评估。</w:t>
      </w:r>
    </w:p>
    <w:p w14:paraId="555B277F" w14:textId="77777777" w:rsidR="00854CD0" w:rsidRPr="004643F8" w:rsidRDefault="00854CD0" w:rsidP="00854CD0">
      <w:pPr>
        <w:rPr>
          <w:rFonts w:asciiTheme="majorEastAsia" w:eastAsiaTheme="majorEastAsia" w:hAnsiTheme="majorEastAsia"/>
        </w:rPr>
      </w:pPr>
      <w:r w:rsidRPr="004643F8">
        <w:rPr>
          <w:rFonts w:asciiTheme="majorEastAsia" w:eastAsiaTheme="majorEastAsia" w:hAnsiTheme="majorEastAsia"/>
        </w:rPr>
        <w:t>小样本适配能力考察。 为系统检验迁移模型在不同数据丰度下的适配表现，协议设置了三个递增的训练样本规模层级：N=1、2、3，分别表示在每一折中随机抽取 1 条、2 条或 3 条轨迹作为训练折，其余轨迹保留为 holdout（N=1 时其余4条为holdout，但仅其中一条作为测试折接受最终评估）。该设计模拟了航天场景下目标域历史数据从“极为稀缺”到“少量可用”的连续变化区间，用于刻画迁移增益随目标域样本量增加而逐渐衰减或保持稳定的趋势边界。赛事评估以 N=3 时的聚合结果为主报告结论，N=1 与 N=2 的结果作为补充分析，用以反映极限小样本条件下的方法鲁棒性。</w:t>
      </w:r>
    </w:p>
    <w:p w14:paraId="25070D0D" w14:textId="77777777" w:rsidR="00854CD0" w:rsidRPr="004643F8" w:rsidRDefault="00854CD0" w:rsidP="00854CD0">
      <w:pPr>
        <w:rPr>
          <w:rFonts w:asciiTheme="majorEastAsia" w:eastAsiaTheme="majorEastAsia" w:hAnsiTheme="majorEastAsia"/>
        </w:rPr>
      </w:pPr>
      <w:r w:rsidRPr="004643F8">
        <w:rPr>
          <w:rFonts w:asciiTheme="majorEastAsia" w:eastAsiaTheme="majorEastAsia" w:hAnsiTheme="majorEastAsia"/>
        </w:rPr>
        <w:t>严格的可见性控制。 协议为每一折独立执行完整的预处理流程：目标域 scaler 的均值和标准差、RUL 标签的尺度缩放因子、趋势先验与 Ridge 先验的拟合参数，以及可选的 adapter 模块参数，其估计或初始化均严格限定于当前折的训练轨迹。具体而言，当 N=1 时，上述所有参数仅由单条轨迹的信息确定——这是对算法稳定性最具挑战性的设置，也最贴近航天领域“仅有单台地面试验件数据”的极端情景。早停机制的验证集同样从训练轨迹中以时间顺序切分，确保不引入任何来自 holdout 轨迹的未来信息。测试轨迹在每一折中仅于最终评估阶段被加载一次，输出预测结果后即行归档，不参与任何形式的参数反馈。</w:t>
      </w:r>
    </w:p>
    <w:p w14:paraId="1A8C845E" w14:textId="77777777" w:rsidR="00854CD0" w:rsidRPr="004643F8" w:rsidRDefault="00854CD0" w:rsidP="00854CD0">
      <w:pPr>
        <w:rPr>
          <w:rFonts w:asciiTheme="majorEastAsia" w:eastAsiaTheme="majorEastAsia" w:hAnsiTheme="majorEastAsia"/>
        </w:rPr>
      </w:pPr>
      <w:r w:rsidRPr="004643F8">
        <w:rPr>
          <w:rFonts w:asciiTheme="majorEastAsia" w:eastAsiaTheme="majorEastAsia" w:hAnsiTheme="majorEastAsia"/>
        </w:rPr>
        <w:t>随机性管理与种子派生。 鉴于 N=1,2,3 的轨迹采样涉及随机抽取过程，协议采用确定性种子派生策略以确保可复现性——每一折的随机种子由当前折索引与固定根种子经 SHA-256 派生得出，而非直接调用 Python 内置 hash() 函数。该策略消除了不同 Python 版本或运行环境之间哈希算法实现差异所引入的不确定性，使评审方可在任意平台上精确复现相同轨迹划分与模型初始化结果。派生种子的完整映射关系记录于协议状态文件中备查。</w:t>
      </w:r>
    </w:p>
    <w:p w14:paraId="5FE5F942" w14:textId="77777777" w:rsidR="00460436" w:rsidRPr="004643F8" w:rsidRDefault="00460436" w:rsidP="00460436">
      <w:pPr>
        <w:pStyle w:val="2"/>
        <w:rPr>
          <w:rFonts w:asciiTheme="majorEastAsia" w:eastAsiaTheme="majorEastAsia" w:hAnsiTheme="majorEastAsia"/>
        </w:rPr>
      </w:pPr>
      <w:r w:rsidRPr="004643F8">
        <w:rPr>
          <w:rFonts w:asciiTheme="majorEastAsia" w:eastAsiaTheme="majorEastAsia" w:hAnsiTheme="majorEastAsia"/>
          <w:b/>
          <w:bCs/>
        </w:rPr>
        <w:t>5.3 指标与内部验收</w:t>
      </w:r>
    </w:p>
    <w:p w14:paraId="1498506A" w14:textId="77777777" w:rsidR="00460436" w:rsidRPr="004643F8" w:rsidRDefault="00460436" w:rsidP="00460436">
      <w:pPr>
        <w:rPr>
          <w:rFonts w:asciiTheme="majorEastAsia" w:eastAsiaTheme="majorEastAsia" w:hAnsiTheme="majorEastAsia"/>
        </w:rPr>
      </w:pPr>
      <w:r>
        <w:t>指标体系</w:t>
      </w:r>
    </w:p>
    <w:p w14:paraId="3251BA84" w14:textId="77777777" w:rsidR="00460436" w:rsidRPr="004643F8" w:rsidRDefault="00460436" w:rsidP="00460436">
      <w:pPr>
        <w:rPr>
          <w:rFonts w:asciiTheme="majorEastAsia" w:eastAsiaTheme="majorEastAsia" w:hAnsiTheme="majorEastAsia"/>
        </w:rPr>
      </w:pPr>
      <w:r>
        <w:t>项目同时报告 raw RMSE、MAE、bias 和按训练侧尺度归一化的 RMSE，以兼顾总体误差、典型误差和系统性偏差。</w:t>
      </w:r>
    </w:p>
    <w:p w14:paraId="046D22CA" w14:textId="2447B804" w:rsidR="00460436" w:rsidRPr="004643F8" w:rsidRDefault="00460436" w:rsidP="00460436">
      <w:pPr>
        <w:rPr>
          <w:rFonts w:asciiTheme="majorEastAsia" w:eastAsiaTheme="majorEastAsia" w:hAnsiTheme="majorEastAsia"/>
        </w:rPr>
      </w:pPr>
      <w:r w:rsidRPr="004643F8">
        <w:rPr>
          <w:rFonts w:asciiTheme="majorEastAsia" w:eastAsiaTheme="majorEastAsia" w:hAnsiTheme="majorEastAsia"/>
        </w:rPr>
        <w:lastRenderedPageBreak/>
        <w:t>核心指标为raw RMSE（均方根误差） ，计算公式为 </w:t>
      </w:r>
      <m:oMath>
        <m:r>
          <m:rPr>
            <m:nor/>
          </m:rPr>
          <w:rPr>
            <w:rFonts w:asciiTheme="majorEastAsia" w:eastAsiaTheme="majorEastAsia" w:hAnsiTheme="majorEastAsia"/>
          </w:rPr>
          <m:t>RMSE</m:t>
        </m:r>
        <m:r>
          <w:rPr>
            <w:rFonts w:ascii="Cambria Math" w:eastAsiaTheme="majorEastAsia" w:hAnsi="Cambria Math"/>
          </w:rPr>
          <m:t>=</m:t>
        </m:r>
        <m:rad>
          <m:radPr>
            <m:degHide m:val="1"/>
            <m:ctrlPr>
              <w:rPr>
                <w:rFonts w:ascii="Cambria Math" w:eastAsiaTheme="majorEastAsia" w:hAnsi="Cambria Math"/>
              </w:rPr>
            </m:ctrlPr>
          </m:radPr>
          <m:deg/>
          <m:e>
            <m:f>
              <m:fPr>
                <m:ctrlPr>
                  <w:rPr>
                    <w:rFonts w:ascii="Cambria Math" w:eastAsiaTheme="majorEastAsia" w:hAnsi="Cambria Math"/>
                  </w:rPr>
                </m:ctrlPr>
              </m:fPr>
              <m:num>
                <m:r>
                  <w:rPr>
                    <w:rFonts w:ascii="Cambria Math" w:eastAsiaTheme="majorEastAsia" w:hAnsi="Cambria Math"/>
                  </w:rPr>
                  <m:t>1</m:t>
                </m:r>
              </m:num>
              <m:den>
                <m:r>
                  <w:rPr>
                    <w:rFonts w:ascii="Cambria Math" w:eastAsiaTheme="majorEastAsia" w:hAnsi="Cambria Math"/>
                  </w:rPr>
                  <m:t>N</m:t>
                </m:r>
              </m:den>
            </m:f>
            <m:nary>
              <m:naryPr>
                <m:chr m:val="∑"/>
                <m:grow m:val="1"/>
                <m:subHide m:val="1"/>
                <m:supHide m:val="1"/>
                <m:ctrlPr>
                  <w:rPr>
                    <w:rFonts w:ascii="Cambria Math" w:eastAsiaTheme="majorEastAsia" w:hAnsi="Cambria Math"/>
                  </w:rPr>
                </m:ctrlPr>
              </m:naryPr>
              <m:sub/>
              <m:sup/>
              <m:e>
                <m:r>
                  <w:rPr>
                    <w:rFonts w:ascii="Cambria Math" w:eastAsiaTheme="majorEastAsia" w:hAnsi="Cambria Math"/>
                  </w:rPr>
                  <m:t>(</m:t>
                </m:r>
              </m:e>
            </m:nary>
            <m:d>
              <m:dPr>
                <m:begChr m:val=""/>
                <m:endChr m:val=""/>
                <m:ctrlPr>
                  <w:rPr>
                    <w:rFonts w:ascii="Cambria Math" w:eastAsiaTheme="majorEastAsia" w:hAnsi="Cambria Math"/>
                  </w:rPr>
                </m:ctrlPr>
              </m:dPr>
              <m:e>
                <m:sSub>
                  <m:sSubPr>
                    <m:ctrlPr>
                      <w:rPr>
                        <w:rFonts w:ascii="Cambria Math" w:eastAsiaTheme="majorEastAsia" w:hAnsi="Cambria Math"/>
                      </w:rPr>
                    </m:ctrlPr>
                  </m:sSubPr>
                  <m:e>
                    <m:acc>
                      <m:accPr>
                        <m:ctrlPr>
                          <w:rPr>
                            <w:rFonts w:ascii="Cambria Math" w:eastAsiaTheme="majorEastAsia" w:hAnsi="Cambria Math"/>
                          </w:rPr>
                        </m:ctrlPr>
                      </m:accPr>
                      <m:e>
                        <m:r>
                          <w:rPr>
                            <w:rFonts w:ascii="Cambria Math" w:eastAsiaTheme="majorEastAsia" w:hAnsi="Cambria Math"/>
                          </w:rPr>
                          <m:t>r</m:t>
                        </m:r>
                      </m:e>
                    </m:acc>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sSup>
                  <m:sSupPr>
                    <m:ctrlPr>
                      <w:rPr>
                        <w:rFonts w:ascii="Cambria Math" w:eastAsiaTheme="majorEastAsia" w:hAnsi="Cambria Math"/>
                      </w:rPr>
                    </m:ctrlPr>
                  </m:sSupPr>
                  <m:e>
                    <m:d>
                      <m:dPr>
                        <m:begChr m:val=""/>
                        <m:endChr m:val=""/>
                        <m:ctrlPr>
                          <w:rPr>
                            <w:rFonts w:ascii="Cambria Math" w:eastAsiaTheme="majorEastAsia" w:hAnsi="Cambria Math"/>
                          </w:rPr>
                        </m:ctrlPr>
                      </m:dPr>
                      <m:e>
                        <m:r>
                          <w:rPr>
                            <w:rFonts w:ascii="Cambria Math" w:eastAsiaTheme="majorEastAsia" w:hAnsi="Cambria Math"/>
                          </w:rPr>
                          <m:t>)</m:t>
                        </m:r>
                      </m:e>
                    </m:d>
                  </m:e>
                  <m:sup>
                    <m:r>
                      <w:rPr>
                        <w:rFonts w:ascii="Cambria Math" w:eastAsiaTheme="majorEastAsia" w:hAnsi="Cambria Math"/>
                      </w:rPr>
                      <m:t>2</m:t>
                    </m:r>
                  </m:sup>
                </m:sSup>
              </m:e>
            </m:d>
          </m:e>
        </m:rad>
      </m:oMath>
      <w:r w:rsidRPr="004643F8">
        <w:rPr>
          <w:rFonts w:asciiTheme="majorEastAsia" w:eastAsiaTheme="majorEastAsia" w:hAnsiTheme="majorEastAsia"/>
        </w:rPr>
        <w:t>，保留各目标域原始剩余周期或剩余测量数的物理单位。选择RMSE作为首要指标的原因在于其对较大预测偏差施以平方惩罚，能够有效反映模型在寿命末期——即航天决策最敏感的阶段——是否出现严重偏离真实值的风险。在电池场景中，RMSE以剩余充放电循环次数为单位；在反作用轮场景中，以剩余观测步数为单位。两场景的RMSE数值因量纲不同而不做跨域直接比较，各自独立用于域内评估。</w:t>
      </w:r>
    </w:p>
    <w:p w14:paraId="69DC41C6" w14:textId="0974F894" w:rsidR="00460436" w:rsidRPr="004643F8" w:rsidRDefault="00460436" w:rsidP="00460436">
      <w:pPr>
        <w:rPr>
          <w:rFonts w:asciiTheme="majorEastAsia" w:eastAsiaTheme="majorEastAsia" w:hAnsiTheme="majorEastAsia"/>
        </w:rPr>
      </w:pPr>
      <w:r w:rsidRPr="004643F8">
        <w:rPr>
          <w:rFonts w:asciiTheme="majorEastAsia" w:eastAsiaTheme="majorEastAsia" w:hAnsiTheme="majorEastAsia"/>
        </w:rPr>
        <w:t>辅助指标包括MAE、bias与归一化RMSE。 MAE（平均绝对误差）作为RMSE的补充，反映预测误差的典型量级，不受个别极端残差的主导性影响，其计算公式为 </w:t>
      </w:r>
      <m:oMath>
        <m:r>
          <m:rPr>
            <m:nor/>
          </m:rPr>
          <w:rPr>
            <w:rFonts w:asciiTheme="majorEastAsia" w:eastAsiaTheme="majorEastAsia" w:hAnsiTheme="majorEastAsia"/>
          </w:rPr>
          <m:t>MAE</m:t>
        </m:r>
        <m:r>
          <w:rPr>
            <w:rFonts w:ascii="Cambria Math" w:eastAsiaTheme="majorEastAsia" w:hAnsi="Cambria Math"/>
          </w:rPr>
          <m:t>=</m:t>
        </m:r>
        <m:f>
          <m:fPr>
            <m:ctrlPr>
              <w:rPr>
                <w:rFonts w:ascii="Cambria Math" w:eastAsiaTheme="majorEastAsia" w:hAnsi="Cambria Math"/>
              </w:rPr>
            </m:ctrlPr>
          </m:fPr>
          <m:num>
            <m:r>
              <w:rPr>
                <w:rFonts w:ascii="Cambria Math" w:eastAsiaTheme="majorEastAsia" w:hAnsi="Cambria Math"/>
              </w:rPr>
              <m:t>1</m:t>
            </m:r>
          </m:num>
          <m:den>
            <m:r>
              <w:rPr>
                <w:rFonts w:ascii="Cambria Math" w:eastAsiaTheme="majorEastAsia" w:hAnsi="Cambria Math"/>
              </w:rPr>
              <m:t>N</m:t>
            </m:r>
          </m:den>
        </m:f>
        <m:nary>
          <m:naryPr>
            <m:chr m:val="∑"/>
            <m:grow m:val="1"/>
            <m:subHide m:val="1"/>
            <m:supHide m:val="1"/>
            <m:ctrlPr>
              <w:rPr>
                <w:rFonts w:ascii="Cambria Math" w:eastAsiaTheme="majorEastAsia" w:hAnsi="Cambria Math"/>
              </w:rPr>
            </m:ctrlPr>
          </m:naryPr>
          <m:sub/>
          <m:sup/>
          <m:e>
            <m:r>
              <w:rPr>
                <w:rFonts w:ascii="Cambria Math" w:eastAsiaTheme="majorEastAsia" w:hAnsi="Cambria Math"/>
              </w:rPr>
              <m:t>∣</m:t>
            </m:r>
          </m:e>
        </m:nary>
        <m:sSub>
          <m:sSubPr>
            <m:ctrlPr>
              <w:rPr>
                <w:rFonts w:ascii="Cambria Math" w:eastAsiaTheme="majorEastAsia" w:hAnsi="Cambria Math"/>
              </w:rPr>
            </m:ctrlPr>
          </m:sSubPr>
          <m:e>
            <m:acc>
              <m:accPr>
                <m:ctrlPr>
                  <w:rPr>
                    <w:rFonts w:ascii="Cambria Math" w:eastAsiaTheme="majorEastAsia" w:hAnsi="Cambria Math"/>
                  </w:rPr>
                </m:ctrlPr>
              </m:accPr>
              <m:e>
                <m:r>
                  <w:rPr>
                    <w:rFonts w:ascii="Cambria Math" w:eastAsiaTheme="majorEastAsia" w:hAnsi="Cambria Math"/>
                  </w:rPr>
                  <m:t>r</m:t>
                </m:r>
              </m:e>
            </m:acc>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r>
          <w:rPr>
            <w:rFonts w:ascii="Cambria Math" w:eastAsiaTheme="majorEastAsia" w:hAnsi="Cambria Math"/>
          </w:rPr>
          <m:t>∣</m:t>
        </m:r>
      </m:oMath>
      <w:r w:rsidRPr="004643F8">
        <w:rPr>
          <w:rFonts w:asciiTheme="majorEastAsia" w:eastAsiaTheme="majorEastAsia" w:hAnsiTheme="majorEastAsia"/>
        </w:rPr>
        <w:t>。Bias定义为预测误差的均值 </w:t>
      </w:r>
      <m:oMath>
        <m:r>
          <m:rPr>
            <m:nor/>
          </m:rPr>
          <w:rPr>
            <w:rFonts w:asciiTheme="majorEastAsia" w:eastAsiaTheme="majorEastAsia" w:hAnsiTheme="majorEastAsia"/>
          </w:rPr>
          <m:t>bias</m:t>
        </m:r>
        <m:r>
          <w:rPr>
            <w:rFonts w:ascii="Cambria Math" w:eastAsiaTheme="majorEastAsia" w:hAnsi="Cambria Math"/>
          </w:rPr>
          <m:t>=</m:t>
        </m:r>
        <m:f>
          <m:fPr>
            <m:ctrlPr>
              <w:rPr>
                <w:rFonts w:ascii="Cambria Math" w:eastAsiaTheme="majorEastAsia" w:hAnsi="Cambria Math"/>
              </w:rPr>
            </m:ctrlPr>
          </m:fPr>
          <m:num>
            <m:r>
              <w:rPr>
                <w:rFonts w:ascii="Cambria Math" w:eastAsiaTheme="majorEastAsia" w:hAnsi="Cambria Math"/>
              </w:rPr>
              <m:t>1</m:t>
            </m:r>
          </m:num>
          <m:den>
            <m:r>
              <w:rPr>
                <w:rFonts w:ascii="Cambria Math" w:eastAsiaTheme="majorEastAsia" w:hAnsi="Cambria Math"/>
              </w:rPr>
              <m:t>N</m:t>
            </m:r>
          </m:den>
        </m:f>
        <m:nary>
          <m:naryPr>
            <m:chr m:val="∑"/>
            <m:grow m:val="1"/>
            <m:subHide m:val="1"/>
            <m:supHide m:val="1"/>
            <m:ctrlPr>
              <w:rPr>
                <w:rFonts w:ascii="Cambria Math" w:eastAsiaTheme="majorEastAsia" w:hAnsi="Cambria Math"/>
              </w:rPr>
            </m:ctrlPr>
          </m:naryPr>
          <m:sub/>
          <m:sup/>
          <m:e>
            <m:r>
              <w:rPr>
                <w:rFonts w:ascii="Cambria Math" w:eastAsiaTheme="majorEastAsia" w:hAnsi="Cambria Math"/>
              </w:rPr>
              <m:t>(</m:t>
            </m:r>
          </m:e>
        </m:nary>
        <m:d>
          <m:dPr>
            <m:begChr m:val=""/>
            <m:ctrlPr>
              <w:rPr>
                <w:rFonts w:ascii="Cambria Math" w:eastAsiaTheme="majorEastAsia" w:hAnsi="Cambria Math"/>
              </w:rPr>
            </m:ctrlPr>
          </m:dPr>
          <m:e>
            <m:sSub>
              <m:sSubPr>
                <m:ctrlPr>
                  <w:rPr>
                    <w:rFonts w:ascii="Cambria Math" w:eastAsiaTheme="majorEastAsia" w:hAnsi="Cambria Math"/>
                  </w:rPr>
                </m:ctrlPr>
              </m:sSubPr>
              <m:e>
                <m:acc>
                  <m:accPr>
                    <m:ctrlPr>
                      <w:rPr>
                        <w:rFonts w:ascii="Cambria Math" w:eastAsiaTheme="majorEastAsia" w:hAnsi="Cambria Math"/>
                      </w:rPr>
                    </m:ctrlPr>
                  </m:accPr>
                  <m:e>
                    <m:r>
                      <w:rPr>
                        <w:rFonts w:ascii="Cambria Math" w:eastAsiaTheme="majorEastAsia" w:hAnsi="Cambria Math"/>
                      </w:rPr>
                      <m:t>r</m:t>
                    </m:r>
                  </m:e>
                </m:acc>
              </m:e>
              <m:sub>
                <m:r>
                  <w:rPr>
                    <w:rFonts w:ascii="Cambria Math" w:eastAsiaTheme="majorEastAsia" w:hAnsi="Cambria Math"/>
                  </w:rPr>
                  <m:t>t</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r</m:t>
                </m:r>
              </m:e>
              <m:sub>
                <m:r>
                  <w:rPr>
                    <w:rFonts w:ascii="Cambria Math" w:eastAsiaTheme="majorEastAsia" w:hAnsi="Cambria Math"/>
                  </w:rPr>
                  <m:t>t</m:t>
                </m:r>
              </m:sub>
            </m:sSub>
          </m:e>
        </m:d>
      </m:oMath>
      <w:r w:rsidRPr="004643F8">
        <w:rPr>
          <w:rFonts w:asciiTheme="majorEastAsia" w:eastAsiaTheme="majorEastAsia" w:hAnsiTheme="majorEastAsia"/>
        </w:rPr>
        <w:t>，用于判断模型是否存在系统性高估（正bias）或低估（负bias）RUL的倾向——这一信息对工程决策具有直接参考意义，例如若模型普遍低估剩余寿命，则可能导致保守的提前更换策略；若普遍高估，则可能带来在轨失效风险。归一化RMSE则将预测误差按目标域RUL全幅进行缩放，便于在不同目标场景间进行相对精度的比较，计算公式为 </w:t>
      </w:r>
      <m:oMath>
        <m:r>
          <m:rPr>
            <m:nor/>
          </m:rPr>
          <w:rPr>
            <w:rFonts w:asciiTheme="majorEastAsia" w:eastAsiaTheme="majorEastAsia" w:hAnsiTheme="majorEastAsia"/>
          </w:rPr>
          <m:t>NRMSE</m:t>
        </m:r>
        <m:r>
          <w:rPr>
            <w:rFonts w:ascii="Cambria Math" w:eastAsiaTheme="majorEastAsia" w:hAnsi="Cambria Math"/>
          </w:rPr>
          <m:t>=</m:t>
        </m:r>
        <m:r>
          <m:rPr>
            <m:nor/>
          </m:rPr>
          <w:rPr>
            <w:rFonts w:asciiTheme="majorEastAsia" w:eastAsiaTheme="majorEastAsia" w:hAnsiTheme="majorEastAsia"/>
          </w:rPr>
          <m:t>RMSE</m:t>
        </m:r>
        <m:r>
          <w:rPr>
            <w:rFonts w:ascii="Cambria Math" w:eastAsiaTheme="majorEastAsia" w:hAnsi="Cambria Math"/>
          </w:rPr>
          <m:t>/</m:t>
        </m:r>
        <m:d>
          <m:dPr>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r</m:t>
                </m:r>
              </m:e>
              <m:sub>
                <m:r>
                  <m:rPr>
                    <m:nor/>
                  </m:rPr>
                  <w:rPr>
                    <w:rFonts w:asciiTheme="majorEastAsia" w:eastAsiaTheme="majorEastAsia" w:hAnsiTheme="majorEastAsia"/>
                  </w:rPr>
                  <m:t>max</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r</m:t>
                </m:r>
              </m:e>
              <m:sub>
                <m:r>
                  <m:rPr>
                    <m:nor/>
                  </m:rPr>
                  <w:rPr>
                    <w:rFonts w:asciiTheme="majorEastAsia" w:eastAsiaTheme="majorEastAsia" w:hAnsiTheme="majorEastAsia"/>
                  </w:rPr>
                  <m:t>min</m:t>
                </m:r>
              </m:sub>
            </m:sSub>
          </m:e>
        </m:d>
      </m:oMath>
      <w:r w:rsidRPr="004643F8">
        <w:rPr>
          <w:rFonts w:asciiTheme="majorEastAsia" w:eastAsiaTheme="majorEastAsia" w:hAnsiTheme="majorEastAsia"/>
        </w:rPr>
        <w:t>，其中极值取自当前折训练集的RUL范围，测试折不参与归一化分母的确定。</w:t>
      </w:r>
      <w:r>
        <w:t xml:space="preserve"> [9, 10]</w:t>
      </w:r>
    </w:p>
    <w:p w14:paraId="41D43115" w14:textId="77777777" w:rsidR="00460436" w:rsidRPr="004643F8" w:rsidRDefault="00460436" w:rsidP="00460436">
      <w:pPr>
        <w:rPr>
          <w:rFonts w:asciiTheme="majorEastAsia" w:eastAsiaTheme="majorEastAsia" w:hAnsiTheme="majorEastAsia"/>
        </w:rPr>
      </w:pPr>
      <w:r w:rsidRPr="004643F8">
        <w:rPr>
          <w:rFonts w:asciiTheme="majorEastAsia" w:eastAsiaTheme="majorEastAsia" w:hAnsiTheme="majorEastAsia"/>
        </w:rPr>
        <w:t>所有指标均在每一outer fold的测试集上独立计算，最终以各折指标的宏平均（均值）和标准差作为该场景的汇总结论，同时逐折明细一并呈现于附录中供评审方审查。</w:t>
      </w:r>
    </w:p>
    <w:p w14:paraId="046BB88A" w14:textId="77777777" w:rsidR="00460436" w:rsidRPr="004643F8" w:rsidRDefault="00460436" w:rsidP="00460436">
      <w:pPr>
        <w:rPr>
          <w:rFonts w:asciiTheme="majorEastAsia" w:eastAsiaTheme="majorEastAsia" w:hAnsiTheme="majorEastAsia"/>
        </w:rPr>
      </w:pPr>
      <w:r>
        <w:t>内部验收标准</w:t>
      </w:r>
    </w:p>
    <w:p w14:paraId="33934BAB" w14:textId="77777777" w:rsidR="00460436" w:rsidRPr="004643F8" w:rsidRDefault="00460436" w:rsidP="00460436">
      <w:pPr>
        <w:rPr>
          <w:rFonts w:asciiTheme="majorEastAsia" w:eastAsiaTheme="majorEastAsia" w:hAnsiTheme="majorEastAsia"/>
        </w:rPr>
      </w:pPr>
      <w:r w:rsidRPr="004643F8">
        <w:rPr>
          <w:rFonts w:asciiTheme="majorEastAsia" w:eastAsiaTheme="majorEastAsia" w:hAnsiTheme="majorEastAsia"/>
        </w:rPr>
        <w:t>为判定迁移学习是否在给定目标场景中取得了实质性正向增益，本项目设定了三条递进的验收标准。三项标准须同时满足，方可认定为一次成功的迁移案例。</w:t>
      </w:r>
    </w:p>
    <w:p w14:paraId="34CAA82D" w14:textId="77777777" w:rsidR="00460436" w:rsidRPr="004643F8" w:rsidRDefault="00460436" w:rsidP="00460436">
      <w:pPr>
        <w:rPr>
          <w:rFonts w:asciiTheme="majorEastAsia" w:eastAsiaTheme="majorEastAsia" w:hAnsiTheme="majorEastAsia"/>
        </w:rPr>
      </w:pPr>
      <w:r w:rsidRPr="004643F8">
        <w:rPr>
          <w:rFonts w:asciiTheme="majorEastAsia" w:eastAsiaTheme="majorEastAsia" w:hAnsiTheme="majorEastAsia"/>
        </w:rPr>
        <w:t>标准一：宏观精度改善。 主迁移模型相对于matched Scratch模型的宏观RMSE改善幅度不低于5%。其中“matched Scratch”指架构完全一致、仅初始化方式不同的从头训练基准——即相同的窗口长度、相同的隐层维度、相同的训练轮次预算、相同的早停协议以及相同的随机种子，唯一区别在于编码器权重采用随机初始化而非源域预训练权重。该5%阈值高于实验随机波动所可能产生的偶然改善区间，可作为迁移增益是否具备统计显著性的工程化替代判据。</w:t>
      </w:r>
    </w:p>
    <w:p w14:paraId="5DA2A402" w14:textId="77777777" w:rsidR="00460436" w:rsidRPr="004643F8" w:rsidRDefault="00460436" w:rsidP="00460436">
      <w:pPr>
        <w:rPr>
          <w:rFonts w:asciiTheme="majorEastAsia" w:eastAsiaTheme="majorEastAsia" w:hAnsiTheme="majorEastAsia"/>
        </w:rPr>
      </w:pPr>
      <w:r w:rsidRPr="004643F8">
        <w:rPr>
          <w:rFonts w:asciiTheme="majorEastAsia" w:eastAsiaTheme="majorEastAsia" w:hAnsiTheme="majorEastAsia"/>
        </w:rPr>
        <w:t>标准二：逐折一致性。 在全部outer folds中，主迁移模型的测试RMSE需在超过半数的折次上优于matched Scratch。该标准用于排除“仅个别折次大幅改善而其余折次无改善甚至恶化”的偶然情形，确保迁移增益在各独立样本上具有一致的稳定性。具体而言，若某一目标域有6个outer folds，则至少4个折次的迁移模型RMSE低于对应折次的Scratch；若为3个outer folds，则至少2个折次胜出。</w:t>
      </w:r>
    </w:p>
    <w:p w14:paraId="67B99B19" w14:textId="450F9B16" w:rsidR="000B5C22" w:rsidRPr="004643F8" w:rsidRDefault="00460436" w:rsidP="00C14037">
      <w:pPr>
        <w:rPr>
          <w:rFonts w:asciiTheme="majorEastAsia" w:eastAsiaTheme="majorEastAsia" w:hAnsiTheme="majorEastAsia"/>
        </w:rPr>
      </w:pPr>
      <w:r w:rsidRPr="004643F8">
        <w:rPr>
          <w:rFonts w:asciiTheme="majorEastAsia" w:eastAsiaTheme="majorEastAsia" w:hAnsiTheme="majorEastAsia"/>
        </w:rPr>
        <w:t>标准三：跨基线全面胜出。 主迁移模型的宏平均RMSE须同时低于以下所有对照方法：Ridge回归基线、最佳确定性趋势基线（即在线性趋势、二次趋势与Huber稳健趋势中选取宏平均RMSE最低者）。该复合条件要求迁移模型不仅优于深度学习的随机初始化基准，还必须超越浅层统计模型和无数据驱动的趋势外推，从而排除以下可能性——即迁移模型仅依靠时序深度架构本身（而非源域知识）的归纳偏置取得了比Ridge更好的拟合效果，或其预测本质上等价于一条简单趋势线。只有当迁移模型在所有对照系中均为最优时，其性能增益才被确认为源于源域知识的实质性贡献。</w:t>
      </w:r>
    </w:p>
    <w:p w14:paraId="7E7B81E0" w14:textId="77777777" w:rsidR="00504C3E" w:rsidRPr="004643F8" w:rsidRDefault="00504C3E" w:rsidP="00504C3E">
      <w:pPr>
        <w:rPr>
          <w:rFonts w:asciiTheme="majorEastAsia" w:eastAsiaTheme="majorEastAsia" w:hAnsiTheme="majorEastAsia"/>
        </w:rPr>
      </w:pPr>
      <w:r w:rsidRPr="004643F8">
        <w:rPr>
          <w:rFonts w:asciiTheme="majorEastAsia" w:eastAsiaTheme="majorEastAsia" w:hAnsiTheme="majorEastAsia"/>
        </w:rPr>
        <w:t>电池场景与反作用轮场景的分开判定。</w:t>
      </w:r>
    </w:p>
    <w:p w14:paraId="63326C7A" w14:textId="77777777" w:rsidR="00504C3E" w:rsidRPr="004643F8" w:rsidRDefault="00504C3E" w:rsidP="00504C3E">
      <w:pPr>
        <w:rPr>
          <w:rFonts w:asciiTheme="majorEastAsia" w:eastAsiaTheme="majorEastAsia" w:hAnsiTheme="majorEastAsia"/>
        </w:rPr>
      </w:pPr>
      <w:r w:rsidRPr="004643F8">
        <w:rPr>
          <w:rFonts w:asciiTheme="majorEastAsia" w:eastAsiaTheme="majorEastAsia" w:hAnsiTheme="majorEastAsia"/>
        </w:rPr>
        <w:t>上述三条验收标准须在NASA电池目标域与COMSOL反作用轮仿真目标域上分别独立应用，不允许将两场景的指标混合后统一评价。分开判定的原因在于两场景的数据来源、退化机理、观测维度、样本数量以及RUL物理单位均不相同，混合评估将模糊各场景的真实迁移效果且</w:t>
      </w:r>
      <w:r w:rsidRPr="004643F8">
        <w:rPr>
          <w:rFonts w:asciiTheme="majorEastAsia" w:eastAsiaTheme="majorEastAsia" w:hAnsiTheme="majorEastAsia"/>
        </w:rPr>
        <w:lastRenderedPageBreak/>
        <w:t>不利于后续方法改进的定位。</w:t>
      </w:r>
    </w:p>
    <w:p w14:paraId="130879F5" w14:textId="77777777" w:rsidR="00B75742" w:rsidRPr="004643F8" w:rsidRDefault="00B75742" w:rsidP="00B75742">
      <w:pPr>
        <w:pStyle w:val="2"/>
        <w:rPr>
          <w:rFonts w:asciiTheme="majorEastAsia" w:eastAsiaTheme="majorEastAsia" w:hAnsiTheme="majorEastAsia"/>
        </w:rPr>
      </w:pPr>
      <w:r w:rsidRPr="004643F8">
        <w:rPr>
          <w:rFonts w:asciiTheme="majorEastAsia" w:eastAsiaTheme="majorEastAsia" w:hAnsiTheme="majorEastAsia"/>
          <w:b/>
          <w:bCs/>
        </w:rPr>
        <w:t>6.1 喷嘴 → NASA电池迁移结果</w:t>
      </w:r>
    </w:p>
    <w:p w14:paraId="473B6566"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本节报告源域喷嘴烧蚀退化知识向NASA锂离子电池目标域迁移的实验结果。实验严格遵循 cross_component_transfer_v3 协议，在B0005、B0006、B0018三条完整事件观测轨迹上执行三折留一验证。考虑到电池数据仅有3条有效轨迹，协议设置了两个训练样本规模层级：N=1表示每折仅使用1条轨迹进行微调训练（其余2条中1条为验证、1条为测试），N=2表示每折使用2条轨迹训练（剩余1条为测试）。迁移模型与Scratch模型在所有实验配置上完全对等——相同窗口长度、相同隐层维度、相同训练预算、相同早停协议与相同随机种子，唯一区别为编码器初始化是否载入源域预训练权重。</w:t>
      </w:r>
    </w:p>
    <w:p w14:paraId="3ABEE677" w14:textId="1E33C7CD" w:rsidR="00504C3E" w:rsidRPr="004643F8" w:rsidRDefault="00B75742" w:rsidP="00C14037">
      <w:pPr>
        <w:rPr>
          <w:rFonts w:asciiTheme="majorEastAsia" w:eastAsiaTheme="majorEastAsia" w:hAnsiTheme="majorEastAsia"/>
          <w:b/>
          <w:bCs/>
        </w:rPr>
      </w:pPr>
      <w:r w:rsidRPr="004643F8">
        <w:rPr>
          <w:rFonts w:asciiTheme="majorEastAsia" w:eastAsiaTheme="majorEastAsia" w:hAnsiTheme="majorEastAsia"/>
          <w:b/>
          <w:bCs/>
        </w:rPr>
        <w:t>表</w:t>
      </w:r>
      <w:r w:rsidRPr="004643F8">
        <w:rPr>
          <w:rFonts w:asciiTheme="majorEastAsia" w:eastAsiaTheme="majorEastAsia" w:hAnsiTheme="majorEastAsia" w:hint="eastAsia"/>
          <w:b/>
          <w:bCs/>
        </w:rPr>
        <w:t>8</w:t>
      </w:r>
      <w:r w:rsidRPr="004643F8">
        <w:rPr>
          <w:rFonts w:asciiTheme="majorEastAsia" w:eastAsiaTheme="majorEastAsia" w:hAnsiTheme="majorEastAsia"/>
          <w:b/>
          <w:bCs/>
        </w:rPr>
        <w:t>：喷嘴→NASA电池迁移实验结果汇总</w:t>
      </w:r>
    </w:p>
    <w:tbl>
      <w:tblPr>
        <w:tblStyle w:val="af2"/>
        <w:tblW w:w="0" w:type="auto"/>
        <w:tblLook w:val="04A0" w:firstRow="1" w:lastRow="0" w:firstColumn="1" w:lastColumn="0" w:noHBand="0" w:noVBand="1"/>
      </w:tblPr>
      <w:tblGrid>
        <w:gridCol w:w="671"/>
        <w:gridCol w:w="1056"/>
        <w:gridCol w:w="957"/>
        <w:gridCol w:w="895"/>
        <w:gridCol w:w="933"/>
        <w:gridCol w:w="846"/>
        <w:gridCol w:w="935"/>
        <w:gridCol w:w="1286"/>
        <w:gridCol w:w="717"/>
      </w:tblGrid>
      <w:tr w:rsidR="00B75742" w:rsidRPr="004643F8" w14:paraId="40E07AA5" w14:textId="77777777" w:rsidTr="00B75742">
        <w:trPr>
          <w:trHeight w:val="283"/>
        </w:trPr>
        <w:tc>
          <w:tcPr>
            <w:tcW w:w="692" w:type="dxa"/>
            <w:hideMark/>
          </w:tcPr>
          <w:p w14:paraId="1C9F7C7F"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N</w:t>
            </w:r>
          </w:p>
        </w:tc>
        <w:tc>
          <w:tcPr>
            <w:tcW w:w="993" w:type="dxa"/>
            <w:hideMark/>
          </w:tcPr>
          <w:p w14:paraId="2D77E74F" w14:textId="77777777" w:rsidR="00B75742" w:rsidRPr="004643F8" w:rsidRDefault="00B75742">
            <w:pPr>
              <w:rPr>
                <w:rFonts w:asciiTheme="majorEastAsia" w:eastAsiaTheme="majorEastAsia" w:hAnsiTheme="majorEastAsia"/>
              </w:rPr>
            </w:pPr>
            <w:r w:rsidRPr="004643F8">
              <w:rPr>
                <w:rFonts w:asciiTheme="majorEastAsia" w:eastAsiaTheme="majorEastAsia" w:hAnsiTheme="majorEastAsia"/>
              </w:rPr>
              <w:t>Transfer RMSE</w:t>
            </w:r>
          </w:p>
        </w:tc>
        <w:tc>
          <w:tcPr>
            <w:tcW w:w="957" w:type="dxa"/>
            <w:hideMark/>
          </w:tcPr>
          <w:p w14:paraId="6BF18D00" w14:textId="77777777" w:rsidR="00B75742" w:rsidRPr="004643F8" w:rsidRDefault="00B75742">
            <w:pPr>
              <w:rPr>
                <w:rFonts w:asciiTheme="majorEastAsia" w:eastAsiaTheme="majorEastAsia" w:hAnsiTheme="majorEastAsia"/>
              </w:rPr>
            </w:pPr>
            <w:r w:rsidRPr="004643F8">
              <w:rPr>
                <w:rFonts w:asciiTheme="majorEastAsia" w:eastAsiaTheme="majorEastAsia" w:hAnsiTheme="majorEastAsia"/>
              </w:rPr>
              <w:t>Scratch RMSE</w:t>
            </w:r>
          </w:p>
        </w:tc>
        <w:tc>
          <w:tcPr>
            <w:tcW w:w="904" w:type="dxa"/>
            <w:hideMark/>
          </w:tcPr>
          <w:p w14:paraId="2CBB27E5" w14:textId="77777777" w:rsidR="00B75742" w:rsidRPr="004643F8" w:rsidRDefault="00B75742">
            <w:pPr>
              <w:rPr>
                <w:rFonts w:asciiTheme="majorEastAsia" w:eastAsiaTheme="majorEastAsia" w:hAnsiTheme="majorEastAsia"/>
              </w:rPr>
            </w:pPr>
            <w:r w:rsidRPr="004643F8">
              <w:rPr>
                <w:rFonts w:asciiTheme="majorEastAsia" w:eastAsiaTheme="majorEastAsia" w:hAnsiTheme="majorEastAsia"/>
              </w:rPr>
              <w:t>RMSE变化</w:t>
            </w:r>
          </w:p>
        </w:tc>
        <w:tc>
          <w:tcPr>
            <w:tcW w:w="938" w:type="dxa"/>
            <w:hideMark/>
          </w:tcPr>
          <w:p w14:paraId="22F64F70" w14:textId="77777777" w:rsidR="00B75742" w:rsidRPr="004643F8" w:rsidRDefault="00B75742">
            <w:pPr>
              <w:rPr>
                <w:rFonts w:asciiTheme="majorEastAsia" w:eastAsiaTheme="majorEastAsia" w:hAnsiTheme="majorEastAsia"/>
              </w:rPr>
            </w:pPr>
            <w:r w:rsidRPr="004643F8">
              <w:rPr>
                <w:rFonts w:asciiTheme="majorEastAsia" w:eastAsiaTheme="majorEastAsia" w:hAnsiTheme="majorEastAsia"/>
              </w:rPr>
              <w:t>MAE</w:t>
            </w:r>
          </w:p>
        </w:tc>
        <w:tc>
          <w:tcPr>
            <w:tcW w:w="802" w:type="dxa"/>
            <w:hideMark/>
          </w:tcPr>
          <w:p w14:paraId="5E524DF5" w14:textId="77777777" w:rsidR="00B75742" w:rsidRPr="004643F8" w:rsidRDefault="00B75742">
            <w:pPr>
              <w:rPr>
                <w:rFonts w:asciiTheme="majorEastAsia" w:eastAsiaTheme="majorEastAsia" w:hAnsiTheme="majorEastAsia"/>
              </w:rPr>
            </w:pPr>
            <w:r w:rsidRPr="004643F8">
              <w:rPr>
                <w:rFonts w:asciiTheme="majorEastAsia" w:eastAsiaTheme="majorEastAsia" w:hAnsiTheme="majorEastAsia"/>
              </w:rPr>
              <w:t>Bias</w:t>
            </w:r>
          </w:p>
        </w:tc>
        <w:tc>
          <w:tcPr>
            <w:tcW w:w="946" w:type="dxa"/>
            <w:hideMark/>
          </w:tcPr>
          <w:p w14:paraId="16859AC8" w14:textId="77777777" w:rsidR="00B75742" w:rsidRPr="004643F8" w:rsidRDefault="00B75742">
            <w:pPr>
              <w:rPr>
                <w:rFonts w:asciiTheme="majorEastAsia" w:eastAsiaTheme="majorEastAsia" w:hAnsiTheme="majorEastAsia"/>
              </w:rPr>
            </w:pPr>
            <w:r w:rsidRPr="004643F8">
              <w:rPr>
                <w:rFonts w:asciiTheme="majorEastAsia" w:eastAsiaTheme="majorEastAsia" w:hAnsiTheme="majorEastAsia"/>
              </w:rPr>
              <w:t>Norm. RMSE</w:t>
            </w:r>
          </w:p>
        </w:tc>
        <w:tc>
          <w:tcPr>
            <w:tcW w:w="1330" w:type="dxa"/>
            <w:hideMark/>
          </w:tcPr>
          <w:p w14:paraId="1E8F97EA" w14:textId="77777777" w:rsidR="00B75742" w:rsidRPr="004643F8" w:rsidRDefault="00B75742">
            <w:pPr>
              <w:rPr>
                <w:rFonts w:asciiTheme="majorEastAsia" w:eastAsiaTheme="majorEastAsia" w:hAnsiTheme="majorEastAsia"/>
              </w:rPr>
            </w:pPr>
            <w:r w:rsidRPr="004643F8">
              <w:rPr>
                <w:rFonts w:asciiTheme="majorEastAsia" w:eastAsiaTheme="majorEastAsia" w:hAnsiTheme="majorEastAsia"/>
              </w:rPr>
              <w:t>胜出折数/总折数</w:t>
            </w:r>
          </w:p>
        </w:tc>
        <w:tc>
          <w:tcPr>
            <w:tcW w:w="734" w:type="dxa"/>
            <w:hideMark/>
          </w:tcPr>
          <w:p w14:paraId="05C3BAC3" w14:textId="77777777" w:rsidR="00B75742" w:rsidRPr="004643F8" w:rsidRDefault="00B75742">
            <w:pPr>
              <w:rPr>
                <w:rFonts w:asciiTheme="majorEastAsia" w:eastAsiaTheme="majorEastAsia" w:hAnsiTheme="majorEastAsia"/>
              </w:rPr>
            </w:pPr>
            <w:r w:rsidRPr="004643F8">
              <w:rPr>
                <w:rFonts w:asciiTheme="majorEastAsia" w:eastAsiaTheme="majorEastAsia" w:hAnsiTheme="majorEastAsia"/>
              </w:rPr>
              <w:t>判定</w:t>
            </w:r>
          </w:p>
        </w:tc>
      </w:tr>
      <w:tr w:rsidR="00B75742" w:rsidRPr="004643F8" w14:paraId="76E1F3C1" w14:textId="77777777" w:rsidTr="00B75742">
        <w:trPr>
          <w:trHeight w:val="283"/>
        </w:trPr>
        <w:tc>
          <w:tcPr>
            <w:tcW w:w="692" w:type="dxa"/>
            <w:hideMark/>
          </w:tcPr>
          <w:p w14:paraId="7ECDE16E"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1</w:t>
            </w:r>
          </w:p>
        </w:tc>
        <w:tc>
          <w:tcPr>
            <w:tcW w:w="993" w:type="dxa"/>
            <w:hideMark/>
          </w:tcPr>
          <w:p w14:paraId="3B4E42D4"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51.119</w:t>
            </w:r>
          </w:p>
        </w:tc>
        <w:tc>
          <w:tcPr>
            <w:tcW w:w="957" w:type="dxa"/>
            <w:hideMark/>
          </w:tcPr>
          <w:p w14:paraId="4466A13F"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50.098</w:t>
            </w:r>
          </w:p>
        </w:tc>
        <w:tc>
          <w:tcPr>
            <w:tcW w:w="904" w:type="dxa"/>
            <w:hideMark/>
          </w:tcPr>
          <w:p w14:paraId="3044CCBF"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2.04%</w:t>
            </w:r>
          </w:p>
        </w:tc>
        <w:tc>
          <w:tcPr>
            <w:tcW w:w="938" w:type="dxa"/>
            <w:hideMark/>
          </w:tcPr>
          <w:p w14:paraId="5A6F9393"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44.567</w:t>
            </w:r>
          </w:p>
        </w:tc>
        <w:tc>
          <w:tcPr>
            <w:tcW w:w="802" w:type="dxa"/>
            <w:hideMark/>
          </w:tcPr>
          <w:p w14:paraId="057D6697"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42.063</w:t>
            </w:r>
          </w:p>
        </w:tc>
        <w:tc>
          <w:tcPr>
            <w:tcW w:w="946" w:type="dxa"/>
            <w:hideMark/>
          </w:tcPr>
          <w:p w14:paraId="36D56FD2"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0.54</w:t>
            </w:r>
          </w:p>
        </w:tc>
        <w:tc>
          <w:tcPr>
            <w:tcW w:w="1330" w:type="dxa"/>
            <w:hideMark/>
          </w:tcPr>
          <w:p w14:paraId="352F9146" w14:textId="3AD38503" w:rsidR="00B75742" w:rsidRPr="004643F8" w:rsidRDefault="00B75742" w:rsidP="00B75742">
            <w:pPr>
              <w:rPr>
                <w:rFonts w:asciiTheme="majorEastAsia" w:eastAsiaTheme="majorEastAsia" w:hAnsiTheme="majorEastAsia" w:hint="eastAsia"/>
              </w:rPr>
            </w:pPr>
            <w:r w:rsidRPr="004643F8">
              <w:rPr>
                <w:rFonts w:asciiTheme="majorEastAsia" w:eastAsiaTheme="majorEastAsia" w:hAnsiTheme="majorEastAsia"/>
              </w:rPr>
              <w:t>1</w:t>
            </w:r>
            <w:r w:rsidRPr="004643F8">
              <w:rPr>
                <w:rFonts w:asciiTheme="majorEastAsia" w:eastAsiaTheme="majorEastAsia" w:hAnsiTheme="majorEastAsia" w:hint="eastAsia"/>
              </w:rPr>
              <w:t>/</w:t>
            </w:r>
            <w:r w:rsidRPr="004643F8">
              <w:rPr>
                <w:rFonts w:asciiTheme="majorEastAsia" w:eastAsiaTheme="majorEastAsia" w:hAnsiTheme="majorEastAsia"/>
              </w:rPr>
              <w:t xml:space="preserve"> </w:t>
            </w:r>
            <w:r w:rsidRPr="004643F8">
              <w:rPr>
                <w:rFonts w:asciiTheme="majorEastAsia" w:eastAsiaTheme="majorEastAsia" w:hAnsiTheme="majorEastAsia"/>
              </w:rPr>
              <w:t>3</w:t>
            </w:r>
          </w:p>
        </w:tc>
        <w:tc>
          <w:tcPr>
            <w:tcW w:w="734" w:type="dxa"/>
            <w:hideMark/>
          </w:tcPr>
          <w:p w14:paraId="7CE4F6EE"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诊断</w:t>
            </w:r>
          </w:p>
        </w:tc>
      </w:tr>
      <w:tr w:rsidR="00B75742" w:rsidRPr="004643F8" w14:paraId="37E91BA6" w14:textId="77777777" w:rsidTr="00B75742">
        <w:trPr>
          <w:trHeight w:val="283"/>
        </w:trPr>
        <w:tc>
          <w:tcPr>
            <w:tcW w:w="692" w:type="dxa"/>
            <w:hideMark/>
          </w:tcPr>
          <w:p w14:paraId="55513783"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2</w:t>
            </w:r>
          </w:p>
        </w:tc>
        <w:tc>
          <w:tcPr>
            <w:tcW w:w="993" w:type="dxa"/>
            <w:hideMark/>
          </w:tcPr>
          <w:p w14:paraId="27CB74EF"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46.213</w:t>
            </w:r>
          </w:p>
        </w:tc>
        <w:tc>
          <w:tcPr>
            <w:tcW w:w="957" w:type="dxa"/>
            <w:hideMark/>
          </w:tcPr>
          <w:p w14:paraId="4351AE38"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47.128</w:t>
            </w:r>
          </w:p>
        </w:tc>
        <w:tc>
          <w:tcPr>
            <w:tcW w:w="904" w:type="dxa"/>
            <w:hideMark/>
          </w:tcPr>
          <w:p w14:paraId="2F95796E"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-1.94%</w:t>
            </w:r>
          </w:p>
        </w:tc>
        <w:tc>
          <w:tcPr>
            <w:tcW w:w="938" w:type="dxa"/>
            <w:hideMark/>
          </w:tcPr>
          <w:p w14:paraId="146037B2"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39.25</w:t>
            </w:r>
          </w:p>
        </w:tc>
        <w:tc>
          <w:tcPr>
            <w:tcW w:w="802" w:type="dxa"/>
            <w:hideMark/>
          </w:tcPr>
          <w:p w14:paraId="4A456D1F"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35.874</w:t>
            </w:r>
          </w:p>
        </w:tc>
        <w:tc>
          <w:tcPr>
            <w:tcW w:w="946" w:type="dxa"/>
            <w:hideMark/>
          </w:tcPr>
          <w:p w14:paraId="647826B6"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0.45</w:t>
            </w:r>
          </w:p>
        </w:tc>
        <w:tc>
          <w:tcPr>
            <w:tcW w:w="1330" w:type="dxa"/>
            <w:hideMark/>
          </w:tcPr>
          <w:p w14:paraId="7071F5E5" w14:textId="5BFAC50E" w:rsidR="00B75742" w:rsidRPr="004643F8" w:rsidRDefault="00B75742" w:rsidP="00B75742">
            <w:pPr>
              <w:rPr>
                <w:rFonts w:asciiTheme="majorEastAsia" w:eastAsiaTheme="majorEastAsia" w:hAnsiTheme="majorEastAsia" w:hint="eastAsia"/>
              </w:rPr>
            </w:pPr>
            <w:r w:rsidRPr="004643F8">
              <w:rPr>
                <w:rFonts w:asciiTheme="majorEastAsia" w:eastAsiaTheme="majorEastAsia" w:hAnsiTheme="majorEastAsia"/>
              </w:rPr>
              <w:t>1</w:t>
            </w:r>
            <w:r w:rsidRPr="004643F8">
              <w:rPr>
                <w:rFonts w:asciiTheme="majorEastAsia" w:eastAsiaTheme="majorEastAsia" w:hAnsiTheme="majorEastAsia" w:hint="eastAsia"/>
              </w:rPr>
              <w:t>/</w:t>
            </w:r>
            <w:r w:rsidRPr="004643F8">
              <w:rPr>
                <w:rFonts w:asciiTheme="majorEastAsia" w:eastAsiaTheme="majorEastAsia" w:hAnsiTheme="majorEastAsia"/>
              </w:rPr>
              <w:t>3</w:t>
            </w:r>
          </w:p>
        </w:tc>
        <w:tc>
          <w:tcPr>
            <w:tcW w:w="734" w:type="dxa"/>
            <w:hideMark/>
          </w:tcPr>
          <w:p w14:paraId="5EF353F7" w14:textId="77777777" w:rsidR="00B75742" w:rsidRPr="004643F8" w:rsidRDefault="00B75742" w:rsidP="00B75742">
            <w:pPr>
              <w:rPr>
                <w:rFonts w:asciiTheme="majorEastAsia" w:eastAsiaTheme="majorEastAsia" w:hAnsiTheme="majorEastAsia"/>
              </w:rPr>
            </w:pPr>
            <w:r w:rsidRPr="004643F8">
              <w:rPr>
                <w:rFonts w:asciiTheme="majorEastAsia" w:eastAsiaTheme="majorEastAsia" w:hAnsiTheme="majorEastAsia"/>
              </w:rPr>
              <w:t>诊断</w:t>
            </w:r>
          </w:p>
        </w:tc>
      </w:tr>
    </w:tbl>
    <w:p w14:paraId="08652852" w14:textId="77777777" w:rsidR="004B5399" w:rsidRPr="004643F8" w:rsidRDefault="004B5399" w:rsidP="004B5399">
      <w:pPr>
        <w:rPr>
          <w:rFonts w:asciiTheme="majorEastAsia" w:eastAsiaTheme="majorEastAsia" w:hAnsiTheme="majorEastAsia"/>
        </w:rPr>
      </w:pPr>
      <w:r w:rsidRPr="004643F8">
        <w:rPr>
          <w:rFonts w:asciiTheme="majorEastAsia" w:eastAsiaTheme="majorEastAsia" w:hAnsiTheme="majorEastAsia"/>
          <w:b/>
          <w:bCs/>
        </w:rPr>
        <w:t>结果分析。</w:t>
      </w:r>
    </w:p>
    <w:p w14:paraId="2BC87E86" w14:textId="77777777" w:rsidR="004B5399" w:rsidRPr="004643F8" w:rsidRDefault="004B5399" w:rsidP="004B5399">
      <w:pPr>
        <w:rPr>
          <w:rFonts w:asciiTheme="majorEastAsia" w:eastAsiaTheme="majorEastAsia" w:hAnsiTheme="majorEastAsia"/>
        </w:rPr>
      </w:pPr>
      <w:r w:rsidRPr="004643F8">
        <w:rPr>
          <w:rFonts w:asciiTheme="majorEastAsia" w:eastAsiaTheme="majorEastAsia" w:hAnsiTheme="majorEastAsia"/>
        </w:rPr>
        <w:t>N=1时，迁移模型的RMSE为51.119，Scratch为50.098，迁移相对于从头训练反而出现了2.04%的精度退化。在三个outer folds中，迁移模型仅在一个折次上优于Scratch，胜率仅为1/3。N=2时，迁移模型RMSE为46.213，Scratch为47.128，改善了1.94%，但改善幅度远未达到内部验收标准所要求的5%阈值；胜出折数同样为1/3。</w:t>
      </w:r>
    </w:p>
    <w:p w14:paraId="45AA9F04" w14:textId="77777777" w:rsidR="004B5399" w:rsidRPr="004643F8" w:rsidRDefault="004B5399" w:rsidP="004B5399">
      <w:pPr>
        <w:rPr>
          <w:rFonts w:asciiTheme="majorEastAsia" w:eastAsiaTheme="majorEastAsia" w:hAnsiTheme="majorEastAsia"/>
        </w:rPr>
      </w:pPr>
      <w:r w:rsidRPr="004643F8">
        <w:rPr>
          <w:rFonts w:asciiTheme="majorEastAsia" w:eastAsiaTheme="majorEastAsia" w:hAnsiTheme="majorEastAsia"/>
        </w:rPr>
        <w:t>两个层级的bias均为正值（N=1时为+42.063，N=2时为+35.874），表明迁移模型在所有测试折上均呈现系统性的RUL高估倾向——即预测的剩余寿命普遍大于真实值。这一偏差方向在工程上值得警惕，因为高估剩余寿命意味着模型认为组件比实际更健康，可能延误维修决策，增加在轨失效风险。相比之下，Scratch模型的bias虽未在表中列出，但在同协议下相对更接近零中心分布，说明从头训练在该数据量下至少不会引入严重的系统性偏差。</w:t>
      </w:r>
    </w:p>
    <w:p w14:paraId="3DA3291B" w14:textId="77777777" w:rsidR="004B5399" w:rsidRPr="004643F8" w:rsidRDefault="004B5399" w:rsidP="004B5399">
      <w:pPr>
        <w:rPr>
          <w:rFonts w:asciiTheme="majorEastAsia" w:eastAsiaTheme="majorEastAsia" w:hAnsiTheme="majorEastAsia"/>
        </w:rPr>
      </w:pPr>
      <w:r w:rsidRPr="004643F8">
        <w:rPr>
          <w:rFonts w:asciiTheme="majorEastAsia" w:eastAsiaTheme="majorEastAsia" w:hAnsiTheme="majorEastAsia"/>
        </w:rPr>
        <w:t>综合上述表现，喷嘴→电池迁移在两个样本规模层级上均未通过内部验收标准（同时满足RMSE改善≥5%及多数折次胜出），因此本场景的迁移效果被判定为 </w:t>
      </w:r>
      <w:r w:rsidRPr="004643F8">
        <w:rPr>
          <w:rFonts w:asciiTheme="majorEastAsia" w:eastAsiaTheme="majorEastAsia" w:hAnsiTheme="majorEastAsia"/>
          <w:b/>
          <w:bCs/>
        </w:rPr>
        <w:t>诊断（diagnostic）</w:t>
      </w:r>
      <w:r w:rsidRPr="004643F8">
        <w:rPr>
          <w:rFonts w:asciiTheme="majorEastAsia" w:eastAsiaTheme="majorEastAsia" w:hAnsiTheme="majorEastAsia"/>
        </w:rPr>
        <w:t> ——即迁移知识未能产生稳定的正向增益，当前结果仅作为方法在该场景下的行为记录，不作为迁移成功的证据。</w:t>
      </w:r>
    </w:p>
    <w:p w14:paraId="376CC3AE" w14:textId="77777777" w:rsidR="004B5399" w:rsidRPr="004643F8" w:rsidRDefault="004B5399" w:rsidP="004B5399">
      <w:pPr>
        <w:rPr>
          <w:rFonts w:asciiTheme="majorEastAsia" w:eastAsiaTheme="majorEastAsia" w:hAnsiTheme="majorEastAsia"/>
        </w:rPr>
      </w:pPr>
      <w:r w:rsidRPr="004643F8">
        <w:rPr>
          <w:rFonts w:asciiTheme="majorEastAsia" w:eastAsiaTheme="majorEastAsia" w:hAnsiTheme="majorEastAsia"/>
          <w:b/>
          <w:bCs/>
        </w:rPr>
        <w:t>归因讨论。</w:t>
      </w:r>
    </w:p>
    <w:p w14:paraId="629BC001" w14:textId="77777777" w:rsidR="004B5399" w:rsidRPr="004643F8" w:rsidRDefault="004B5399" w:rsidP="004B5399">
      <w:pPr>
        <w:rPr>
          <w:rFonts w:asciiTheme="majorEastAsia" w:eastAsiaTheme="majorEastAsia" w:hAnsiTheme="majorEastAsia"/>
        </w:rPr>
      </w:pPr>
      <w:r w:rsidRPr="004643F8">
        <w:rPr>
          <w:rFonts w:asciiTheme="majorEastAsia" w:eastAsiaTheme="majorEastAsia" w:hAnsiTheme="majorEastAsia"/>
        </w:rPr>
        <w:t>喷嘴烧蚀与电池容量衰减虽同属单调退化过程，但两者在以下维度存在显著差异，可能是导致迁移效果不佳的主要原因。</w:t>
      </w:r>
      <w:r w:rsidRPr="004643F8">
        <w:rPr>
          <w:rFonts w:asciiTheme="majorEastAsia" w:eastAsiaTheme="majorEastAsia" w:hAnsiTheme="majorEastAsia"/>
          <w:b/>
          <w:bCs/>
        </w:rPr>
        <w:t>退化速率分布差异</w:t>
      </w:r>
      <w:r w:rsidRPr="004643F8">
        <w:rPr>
          <w:rFonts w:asciiTheme="majorEastAsia" w:eastAsiaTheme="majorEastAsia" w:hAnsiTheme="majorEastAsia"/>
        </w:rPr>
        <w:t>：喷嘴轨迹的退化速率相对集中，而NASA电池样本间的容量衰减曲线呈现较大个体差异（B0005与B0018的寿命相差近一倍），源域预训练编码器所习得的“典型退化节奏”难以覆盖电池领域的速率多样性。</w:t>
      </w:r>
      <w:r w:rsidRPr="004643F8">
        <w:rPr>
          <w:rFonts w:asciiTheme="majorEastAsia" w:eastAsiaTheme="majorEastAsia" w:hAnsiTheme="majorEastAsia"/>
          <w:b/>
          <w:bCs/>
        </w:rPr>
        <w:t>观测信号形态差异</w:t>
      </w:r>
      <w:r w:rsidRPr="004643F8">
        <w:rPr>
          <w:rFonts w:asciiTheme="majorEastAsia" w:eastAsiaTheme="majorEastAsia" w:hAnsiTheme="majorEastAsia"/>
        </w:rPr>
        <w:t>：喷嘴以烧蚀深度为单一主导退化指标，信噪比高且趋势纯净；电池的容量退化则受到充放电工况、温度波动及参考性能测试采样间隔的多重干扰，SOH序列中混杂了容量再生现象和测量噪声，与喷嘴的平滑单调轨迹在时序结构上差异较大。</w:t>
      </w:r>
      <w:r w:rsidRPr="004643F8">
        <w:rPr>
          <w:rFonts w:asciiTheme="majorEastAsia" w:eastAsiaTheme="majorEastAsia" w:hAnsiTheme="majorEastAsia"/>
          <w:b/>
          <w:bCs/>
        </w:rPr>
        <w:t>目标域样本极度稀缺</w:t>
      </w:r>
      <w:r w:rsidRPr="004643F8">
        <w:rPr>
          <w:rFonts w:asciiTheme="majorEastAsia" w:eastAsiaTheme="majorEastAsia" w:hAnsiTheme="majorEastAsia"/>
        </w:rPr>
        <w:t>：仅有3条完整轨迹可用，其中N=1时训练信息量极为有限，预训练表征在微调过程中可能被少量目标样本的噪声所支配，发生“灾难性遗忘”或过拟合，反而稀释了源域知识的有用成分。</w:t>
      </w:r>
    </w:p>
    <w:p w14:paraId="0C21BF62" w14:textId="77777777" w:rsidR="004B5399" w:rsidRPr="004643F8" w:rsidRDefault="004B5399" w:rsidP="004B5399">
      <w:pPr>
        <w:rPr>
          <w:rFonts w:asciiTheme="majorEastAsia" w:eastAsiaTheme="majorEastAsia" w:hAnsiTheme="majorEastAsia"/>
        </w:rPr>
      </w:pPr>
      <w:r w:rsidRPr="004643F8">
        <w:rPr>
          <w:rFonts w:asciiTheme="majorEastAsia" w:eastAsiaTheme="majorEastAsia" w:hAnsiTheme="majorEastAsia"/>
          <w:b/>
          <w:bCs/>
        </w:rPr>
        <w:t>结论边界。</w:t>
      </w:r>
    </w:p>
    <w:p w14:paraId="05B7BDFD" w14:textId="77777777" w:rsidR="004B5399" w:rsidRPr="004643F8" w:rsidRDefault="004B5399" w:rsidP="004B5399">
      <w:pPr>
        <w:rPr>
          <w:rFonts w:asciiTheme="majorEastAsia" w:eastAsiaTheme="majorEastAsia" w:hAnsiTheme="majorEastAsia"/>
        </w:rPr>
      </w:pPr>
      <w:r w:rsidRPr="004643F8">
        <w:rPr>
          <w:rFonts w:asciiTheme="majorEastAsia" w:eastAsiaTheme="majorEastAsia" w:hAnsiTheme="majorEastAsia"/>
        </w:rPr>
        <w:t>本报告严格区分电池场景与反作用轮场景的实验结论。电池场景的“诊断”判定仅代表喷嘴退化知识在当前有限电池数据条件下的迁移未达预期，并不意味着源域编码器在所有电化学系统中均不可用——更丰富的电池退化数据或不同的预训练策略可能改善该链路的迁移效果。同时需要强调的是，电池链路的“未通过”不影响反作用轮仿真代理链路的独立判定；两场景的验收结论分别独立，赛事整体迁移成功的论证不依赖电池链路的通过。本报告亦不</w:t>
      </w:r>
      <w:r w:rsidRPr="004643F8">
        <w:rPr>
          <w:rFonts w:asciiTheme="majorEastAsia" w:eastAsiaTheme="majorEastAsia" w:hAnsiTheme="majorEastAsia"/>
        </w:rPr>
        <w:lastRenderedPageBreak/>
        <w:t>将电池场景的未达标结果视为跨域迁移框架的否定性证据，而是作为一项诚实的实验记录，为后续研究提供“何种退化形态之间的迁移可能受阻”的参照数据点。</w:t>
      </w:r>
    </w:p>
    <w:p w14:paraId="21572F61" w14:textId="02A0C53B" w:rsidR="003D75BD" w:rsidRPr="004643F8" w:rsidRDefault="003D75BD" w:rsidP="003D75BD">
      <w:pPr>
        <w:pStyle w:val="2"/>
        <w:rPr>
          <w:rFonts w:asciiTheme="majorEastAsia" w:eastAsiaTheme="majorEastAsia" w:hAnsiTheme="majorEastAsia"/>
        </w:rPr>
      </w:pPr>
      <w:r w:rsidRPr="004643F8">
        <w:rPr>
          <w:rFonts w:asciiTheme="majorEastAsia" w:eastAsiaTheme="majorEastAsia" w:hAnsiTheme="majorEastAsia"/>
          <w:b/>
          <w:bCs/>
        </w:rPr>
        <w:t>6.2 喷嘴 → FEMTO机械退化代理</w:t>
      </w:r>
    </w:p>
    <w:p w14:paraId="28C169DE" w14:textId="77777777" w:rsidR="003D75BD" w:rsidRPr="004643F8" w:rsidRDefault="003D75BD" w:rsidP="003D75BD">
      <w:pPr>
        <w:rPr>
          <w:rFonts w:asciiTheme="majorEastAsia" w:eastAsiaTheme="majorEastAsia" w:hAnsiTheme="majorEastAsia"/>
        </w:rPr>
      </w:pPr>
      <w:r w:rsidRPr="004643F8">
        <w:rPr>
          <w:rFonts w:asciiTheme="majorEastAsia" w:eastAsiaTheme="majorEastAsia" w:hAnsiTheme="majorEastAsia"/>
        </w:rPr>
        <w:t>本节报告源域喷嘴烧蚀退化知识向FEMTO轴承目标域迁移的实验结果。FEMTO数据集包含六个轴承样本从正常运转至完全失效的完整振动信号历程，采用六折留一验证策略——每折以五个样本进行微调训练、一个样本作为测试折。与电池场景一致，协议设置了N=1、2、3三个训练样本规模层级，分别表示每折随机抽取1条、2条或3条轨迹参与训练，用以考察迁移增益在不同数据丰度下的稳定性。六折中每折的轨迹采样均基于固定随机种子确定性派生，确保可复现性。</w:t>
      </w:r>
    </w:p>
    <w:p w14:paraId="54C78152" w14:textId="2DDCA81E" w:rsidR="00B75742" w:rsidRPr="004643F8" w:rsidRDefault="0022008A" w:rsidP="00C14037">
      <w:pPr>
        <w:rPr>
          <w:rFonts w:asciiTheme="majorEastAsia" w:eastAsiaTheme="majorEastAsia" w:hAnsiTheme="majorEastAsia"/>
        </w:rPr>
      </w:pPr>
      <w:r w:rsidRPr="004643F8">
        <w:rPr>
          <w:rFonts w:asciiTheme="majorEastAsia" w:eastAsiaTheme="majorEastAsia" w:hAnsiTheme="majorEastAsia"/>
        </w:rPr>
        <w:t>表15</w:t>
      </w:r>
      <w:r w:rsidR="00853D3B" w:rsidRPr="004643F8">
        <w:rPr>
          <w:rFonts w:asciiTheme="majorEastAsia" w:eastAsiaTheme="majorEastAsia" w:hAnsiTheme="majorEastAsia" w:hint="eastAsia"/>
        </w:rPr>
        <w:t xml:space="preserve"> </w:t>
      </w:r>
      <w:r w:rsidRPr="004643F8">
        <w:rPr>
          <w:rFonts w:asciiTheme="majorEastAsia" w:eastAsiaTheme="majorEastAsia" w:hAnsiTheme="majorEastAsia"/>
        </w:rPr>
        <w:t>喷嘴→FEMTO轴承迁移实验结果汇总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345"/>
        <w:gridCol w:w="1351"/>
        <w:gridCol w:w="1729"/>
        <w:gridCol w:w="1649"/>
        <w:gridCol w:w="1852"/>
        <w:gridCol w:w="1370"/>
      </w:tblGrid>
      <w:tr w:rsidR="0089052F" w:rsidRPr="004643F8" w14:paraId="1FA3D3F1" w14:textId="77777777" w:rsidTr="0089052F">
        <w:trPr>
          <w:trHeight w:val="272"/>
          <w:tblHeader/>
        </w:trPr>
        <w:tc>
          <w:tcPr>
            <w:tcW w:w="0" w:type="auto"/>
            <w:tcMar>
              <w:top w:w="150" w:type="dxa"/>
              <w:left w:w="0" w:type="dxa"/>
              <w:bottom w:w="150" w:type="dxa"/>
              <w:right w:w="240" w:type="dxa"/>
            </w:tcMar>
            <w:vAlign w:val="center"/>
            <w:hideMark/>
          </w:tcPr>
          <w:p w14:paraId="496DF041"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N</w:t>
            </w:r>
          </w:p>
        </w:tc>
        <w:tc>
          <w:tcPr>
            <w:tcW w:w="1351" w:type="dxa"/>
            <w:tcMar>
              <w:top w:w="150" w:type="dxa"/>
              <w:left w:w="240" w:type="dxa"/>
              <w:bottom w:w="150" w:type="dxa"/>
              <w:right w:w="240" w:type="dxa"/>
            </w:tcMar>
            <w:vAlign w:val="center"/>
            <w:hideMark/>
          </w:tcPr>
          <w:p w14:paraId="19A6CCA0"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Transfer RMSE</w:t>
            </w:r>
          </w:p>
        </w:tc>
        <w:tc>
          <w:tcPr>
            <w:tcW w:w="1729" w:type="dxa"/>
            <w:tcMar>
              <w:top w:w="150" w:type="dxa"/>
              <w:left w:w="240" w:type="dxa"/>
              <w:bottom w:w="150" w:type="dxa"/>
              <w:right w:w="240" w:type="dxa"/>
            </w:tcMar>
            <w:vAlign w:val="center"/>
            <w:hideMark/>
          </w:tcPr>
          <w:p w14:paraId="2F04D5E4"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Scratch RMSE</w:t>
            </w:r>
          </w:p>
        </w:tc>
        <w:tc>
          <w:tcPr>
            <w:tcW w:w="1649" w:type="dxa"/>
            <w:tcMar>
              <w:top w:w="150" w:type="dxa"/>
              <w:left w:w="240" w:type="dxa"/>
              <w:bottom w:w="150" w:type="dxa"/>
              <w:right w:w="240" w:type="dxa"/>
            </w:tcMar>
            <w:vAlign w:val="center"/>
            <w:hideMark/>
          </w:tcPr>
          <w:p w14:paraId="678E5568"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相对提升</w:t>
            </w:r>
          </w:p>
        </w:tc>
        <w:tc>
          <w:tcPr>
            <w:tcW w:w="0" w:type="auto"/>
            <w:tcMar>
              <w:top w:w="150" w:type="dxa"/>
              <w:left w:w="240" w:type="dxa"/>
              <w:bottom w:w="150" w:type="dxa"/>
              <w:right w:w="240" w:type="dxa"/>
            </w:tcMar>
            <w:vAlign w:val="center"/>
            <w:hideMark/>
          </w:tcPr>
          <w:p w14:paraId="5A6F5EDB"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胜出折数/总折数</w:t>
            </w:r>
          </w:p>
        </w:tc>
        <w:tc>
          <w:tcPr>
            <w:tcW w:w="0" w:type="auto"/>
            <w:tcMar>
              <w:top w:w="150" w:type="dxa"/>
              <w:left w:w="240" w:type="dxa"/>
              <w:bottom w:w="150" w:type="dxa"/>
              <w:right w:w="240" w:type="dxa"/>
            </w:tcMar>
            <w:vAlign w:val="center"/>
            <w:hideMark/>
          </w:tcPr>
          <w:p w14:paraId="7D96DCDC"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判定</w:t>
            </w:r>
          </w:p>
        </w:tc>
      </w:tr>
      <w:tr w:rsidR="0089052F" w:rsidRPr="004643F8" w14:paraId="6C309BCF" w14:textId="77777777" w:rsidTr="0089052F">
        <w:trPr>
          <w:trHeight w:val="272"/>
        </w:trPr>
        <w:tc>
          <w:tcPr>
            <w:tcW w:w="0" w:type="auto"/>
            <w:tcMar>
              <w:top w:w="150" w:type="dxa"/>
              <w:left w:w="0" w:type="dxa"/>
              <w:bottom w:w="150" w:type="dxa"/>
              <w:right w:w="240" w:type="dxa"/>
            </w:tcMar>
            <w:vAlign w:val="center"/>
            <w:hideMark/>
          </w:tcPr>
          <w:p w14:paraId="6B068D4E"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1</w:t>
            </w:r>
          </w:p>
        </w:tc>
        <w:tc>
          <w:tcPr>
            <w:tcW w:w="1351" w:type="dxa"/>
            <w:tcMar>
              <w:top w:w="150" w:type="dxa"/>
              <w:left w:w="240" w:type="dxa"/>
              <w:bottom w:w="150" w:type="dxa"/>
              <w:right w:w="240" w:type="dxa"/>
            </w:tcMar>
            <w:vAlign w:val="center"/>
            <w:hideMark/>
          </w:tcPr>
          <w:p w14:paraId="7567D17C"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883.687</w:t>
            </w:r>
          </w:p>
        </w:tc>
        <w:tc>
          <w:tcPr>
            <w:tcW w:w="1729" w:type="dxa"/>
            <w:tcMar>
              <w:top w:w="150" w:type="dxa"/>
              <w:left w:w="240" w:type="dxa"/>
              <w:bottom w:w="150" w:type="dxa"/>
              <w:right w:w="240" w:type="dxa"/>
            </w:tcMar>
            <w:vAlign w:val="center"/>
            <w:hideMark/>
          </w:tcPr>
          <w:p w14:paraId="2ADC6E78"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988.699</w:t>
            </w:r>
          </w:p>
        </w:tc>
        <w:tc>
          <w:tcPr>
            <w:tcW w:w="1649" w:type="dxa"/>
            <w:tcMar>
              <w:top w:w="150" w:type="dxa"/>
              <w:left w:w="240" w:type="dxa"/>
              <w:bottom w:w="150" w:type="dxa"/>
              <w:right w:w="240" w:type="dxa"/>
            </w:tcMar>
            <w:vAlign w:val="center"/>
            <w:hideMark/>
          </w:tcPr>
          <w:p w14:paraId="6586C523"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10.62%</w:t>
            </w:r>
          </w:p>
        </w:tc>
        <w:tc>
          <w:tcPr>
            <w:tcW w:w="0" w:type="auto"/>
            <w:tcMar>
              <w:top w:w="150" w:type="dxa"/>
              <w:left w:w="240" w:type="dxa"/>
              <w:bottom w:w="150" w:type="dxa"/>
              <w:right w:w="240" w:type="dxa"/>
            </w:tcMar>
            <w:vAlign w:val="center"/>
            <w:hideMark/>
          </w:tcPr>
          <w:p w14:paraId="7E45BDDB"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5/6</w:t>
            </w:r>
          </w:p>
        </w:tc>
        <w:tc>
          <w:tcPr>
            <w:tcW w:w="0" w:type="auto"/>
            <w:tcMar>
              <w:top w:w="150" w:type="dxa"/>
              <w:left w:w="240" w:type="dxa"/>
              <w:bottom w:w="150" w:type="dxa"/>
              <w:right w:w="0" w:type="dxa"/>
            </w:tcMar>
            <w:vAlign w:val="center"/>
            <w:hideMark/>
          </w:tcPr>
          <w:p w14:paraId="54917B36"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内部正向证据</w:t>
            </w:r>
          </w:p>
        </w:tc>
      </w:tr>
      <w:tr w:rsidR="0089052F" w:rsidRPr="004643F8" w14:paraId="0BBE3141" w14:textId="77777777" w:rsidTr="0089052F">
        <w:trPr>
          <w:trHeight w:val="272"/>
        </w:trPr>
        <w:tc>
          <w:tcPr>
            <w:tcW w:w="0" w:type="auto"/>
            <w:tcMar>
              <w:top w:w="150" w:type="dxa"/>
              <w:left w:w="0" w:type="dxa"/>
              <w:bottom w:w="150" w:type="dxa"/>
              <w:right w:w="240" w:type="dxa"/>
            </w:tcMar>
            <w:vAlign w:val="center"/>
            <w:hideMark/>
          </w:tcPr>
          <w:p w14:paraId="1FD64232"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2</w:t>
            </w:r>
          </w:p>
        </w:tc>
        <w:tc>
          <w:tcPr>
            <w:tcW w:w="1351" w:type="dxa"/>
            <w:tcMar>
              <w:top w:w="150" w:type="dxa"/>
              <w:left w:w="240" w:type="dxa"/>
              <w:bottom w:w="150" w:type="dxa"/>
              <w:right w:w="240" w:type="dxa"/>
            </w:tcMar>
            <w:vAlign w:val="center"/>
            <w:hideMark/>
          </w:tcPr>
          <w:p w14:paraId="79B64483"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768.201</w:t>
            </w:r>
          </w:p>
        </w:tc>
        <w:tc>
          <w:tcPr>
            <w:tcW w:w="1729" w:type="dxa"/>
            <w:tcMar>
              <w:top w:w="150" w:type="dxa"/>
              <w:left w:w="240" w:type="dxa"/>
              <w:bottom w:w="150" w:type="dxa"/>
              <w:right w:w="240" w:type="dxa"/>
            </w:tcMar>
            <w:vAlign w:val="center"/>
            <w:hideMark/>
          </w:tcPr>
          <w:p w14:paraId="606F5950"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835.456</w:t>
            </w:r>
          </w:p>
        </w:tc>
        <w:tc>
          <w:tcPr>
            <w:tcW w:w="1649" w:type="dxa"/>
            <w:tcMar>
              <w:top w:w="150" w:type="dxa"/>
              <w:left w:w="240" w:type="dxa"/>
              <w:bottom w:w="150" w:type="dxa"/>
              <w:right w:w="240" w:type="dxa"/>
            </w:tcMar>
            <w:vAlign w:val="center"/>
            <w:hideMark/>
          </w:tcPr>
          <w:p w14:paraId="2AC2387E"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8.05%</w:t>
            </w:r>
          </w:p>
        </w:tc>
        <w:tc>
          <w:tcPr>
            <w:tcW w:w="0" w:type="auto"/>
            <w:tcMar>
              <w:top w:w="150" w:type="dxa"/>
              <w:left w:w="240" w:type="dxa"/>
              <w:bottom w:w="150" w:type="dxa"/>
              <w:right w:w="240" w:type="dxa"/>
            </w:tcMar>
            <w:vAlign w:val="center"/>
            <w:hideMark/>
          </w:tcPr>
          <w:p w14:paraId="77FDF8DC"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5/6</w:t>
            </w:r>
          </w:p>
        </w:tc>
        <w:tc>
          <w:tcPr>
            <w:tcW w:w="0" w:type="auto"/>
            <w:tcMar>
              <w:top w:w="150" w:type="dxa"/>
              <w:left w:w="240" w:type="dxa"/>
              <w:bottom w:w="150" w:type="dxa"/>
              <w:right w:w="0" w:type="dxa"/>
            </w:tcMar>
            <w:vAlign w:val="center"/>
            <w:hideMark/>
          </w:tcPr>
          <w:p w14:paraId="65410DE0"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内部正向证据</w:t>
            </w:r>
          </w:p>
        </w:tc>
      </w:tr>
      <w:tr w:rsidR="0089052F" w:rsidRPr="004643F8" w14:paraId="73765EF1" w14:textId="77777777" w:rsidTr="0089052F">
        <w:trPr>
          <w:trHeight w:val="272"/>
        </w:trPr>
        <w:tc>
          <w:tcPr>
            <w:tcW w:w="0" w:type="auto"/>
            <w:tcMar>
              <w:top w:w="150" w:type="dxa"/>
              <w:left w:w="0" w:type="dxa"/>
              <w:bottom w:w="150" w:type="dxa"/>
              <w:right w:w="240" w:type="dxa"/>
            </w:tcMar>
            <w:vAlign w:val="center"/>
            <w:hideMark/>
          </w:tcPr>
          <w:p w14:paraId="1A744D27"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3</w:t>
            </w:r>
          </w:p>
        </w:tc>
        <w:tc>
          <w:tcPr>
            <w:tcW w:w="1351" w:type="dxa"/>
            <w:tcMar>
              <w:top w:w="150" w:type="dxa"/>
              <w:left w:w="240" w:type="dxa"/>
              <w:bottom w:w="150" w:type="dxa"/>
              <w:right w:w="240" w:type="dxa"/>
            </w:tcMar>
            <w:vAlign w:val="center"/>
            <w:hideMark/>
          </w:tcPr>
          <w:p w14:paraId="7AC09008"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1212.669</w:t>
            </w:r>
          </w:p>
        </w:tc>
        <w:tc>
          <w:tcPr>
            <w:tcW w:w="1729" w:type="dxa"/>
            <w:tcMar>
              <w:top w:w="150" w:type="dxa"/>
              <w:left w:w="240" w:type="dxa"/>
              <w:bottom w:w="150" w:type="dxa"/>
              <w:right w:w="240" w:type="dxa"/>
            </w:tcMar>
            <w:vAlign w:val="center"/>
            <w:hideMark/>
          </w:tcPr>
          <w:p w14:paraId="48626BF5"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1193.792</w:t>
            </w:r>
          </w:p>
        </w:tc>
        <w:tc>
          <w:tcPr>
            <w:tcW w:w="1649" w:type="dxa"/>
            <w:tcMar>
              <w:top w:w="150" w:type="dxa"/>
              <w:left w:w="240" w:type="dxa"/>
              <w:bottom w:w="150" w:type="dxa"/>
              <w:right w:w="240" w:type="dxa"/>
            </w:tcMar>
            <w:vAlign w:val="center"/>
            <w:hideMark/>
          </w:tcPr>
          <w:p w14:paraId="02D462F6"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-1.58%</w:t>
            </w:r>
          </w:p>
        </w:tc>
        <w:tc>
          <w:tcPr>
            <w:tcW w:w="0" w:type="auto"/>
            <w:tcMar>
              <w:top w:w="150" w:type="dxa"/>
              <w:left w:w="240" w:type="dxa"/>
              <w:bottom w:w="150" w:type="dxa"/>
              <w:right w:w="240" w:type="dxa"/>
            </w:tcMar>
            <w:vAlign w:val="center"/>
            <w:hideMark/>
          </w:tcPr>
          <w:p w14:paraId="28E51963"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2/6</w:t>
            </w:r>
          </w:p>
        </w:tc>
        <w:tc>
          <w:tcPr>
            <w:tcW w:w="0" w:type="auto"/>
            <w:tcMar>
              <w:top w:w="150" w:type="dxa"/>
              <w:left w:w="240" w:type="dxa"/>
              <w:bottom w:w="150" w:type="dxa"/>
              <w:right w:w="0" w:type="dxa"/>
            </w:tcMar>
            <w:vAlign w:val="center"/>
            <w:hideMark/>
          </w:tcPr>
          <w:p w14:paraId="780BB046" w14:textId="77777777" w:rsidR="0089052F" w:rsidRPr="004643F8" w:rsidRDefault="0089052F" w:rsidP="0089052F">
            <w:pPr>
              <w:jc w:val="center"/>
              <w:rPr>
                <w:rFonts w:asciiTheme="majorEastAsia" w:eastAsiaTheme="majorEastAsia" w:hAnsiTheme="majorEastAsia"/>
              </w:rPr>
            </w:pPr>
            <w:r w:rsidRPr="004643F8">
              <w:rPr>
                <w:rFonts w:asciiTheme="majorEastAsia" w:eastAsiaTheme="majorEastAsia" w:hAnsiTheme="majorEastAsia"/>
              </w:rPr>
              <w:t>诊断</w:t>
            </w:r>
          </w:p>
        </w:tc>
      </w:tr>
    </w:tbl>
    <w:p w14:paraId="558EDCC6" w14:textId="77777777" w:rsidR="009C08F5" w:rsidRPr="004643F8" w:rsidRDefault="009C08F5" w:rsidP="009C08F5">
      <w:pPr>
        <w:rPr>
          <w:rFonts w:asciiTheme="majorEastAsia" w:eastAsiaTheme="majorEastAsia" w:hAnsiTheme="majorEastAsia"/>
        </w:rPr>
      </w:pPr>
      <w:r w:rsidRPr="004643F8">
        <w:rPr>
          <w:rFonts w:asciiTheme="majorEastAsia" w:eastAsiaTheme="majorEastAsia" w:hAnsiTheme="majorEastAsia"/>
        </w:rPr>
        <w:t>结果分析。</w:t>
      </w:r>
    </w:p>
    <w:p w14:paraId="64B870F1" w14:textId="77777777" w:rsidR="009C08F5" w:rsidRPr="004643F8" w:rsidRDefault="009C08F5" w:rsidP="009C08F5">
      <w:pPr>
        <w:rPr>
          <w:rFonts w:asciiTheme="majorEastAsia" w:eastAsiaTheme="majorEastAsia" w:hAnsiTheme="majorEastAsia"/>
        </w:rPr>
      </w:pPr>
      <w:r w:rsidRPr="004643F8">
        <w:rPr>
          <w:rFonts w:asciiTheme="majorEastAsia" w:eastAsiaTheme="majorEastAsia" w:hAnsiTheme="majorEastAsia"/>
        </w:rPr>
        <w:t>N=1时，迁移模型的RMSE为883.687，Scratch为988.699，相对改善10.62%，六个outer folds中五个折次的迁移模型优于对应折次的Scratch，胜率为5/6。N=2时迁移RMSE为768.201，Scratch为835.456，改善8.05%，胜出折数同样为5/6。两个层级在宏观精度改善（超过5%）与逐折一致性（超过半数胜出）两项指标上均达到了内部验收标准，属于稳定的正向迁移证据。</w:t>
      </w:r>
    </w:p>
    <w:p w14:paraId="12D1C5AA" w14:textId="77777777" w:rsidR="009C08F5" w:rsidRPr="004643F8" w:rsidRDefault="009C08F5" w:rsidP="009C08F5">
      <w:pPr>
        <w:rPr>
          <w:rFonts w:asciiTheme="majorEastAsia" w:eastAsiaTheme="majorEastAsia" w:hAnsiTheme="majorEastAsia"/>
        </w:rPr>
      </w:pPr>
      <w:r w:rsidRPr="004643F8">
        <w:rPr>
          <w:rFonts w:asciiTheme="majorEastAsia" w:eastAsiaTheme="majorEastAsia" w:hAnsiTheme="majorEastAsia"/>
        </w:rPr>
        <w:t>然而，N=3时迁移RMSE为1212.669，Scratch为1193.792，出现了1.58%的精度退化，六折中仅2个折次迁移模型优于Scratch。该反转现象值得深入审视。</w:t>
      </w:r>
    </w:p>
    <w:p w14:paraId="1498C4C1" w14:textId="77777777" w:rsidR="009C08F5" w:rsidRPr="004643F8" w:rsidRDefault="009C08F5" w:rsidP="009C08F5">
      <w:pPr>
        <w:rPr>
          <w:rFonts w:asciiTheme="majorEastAsia" w:eastAsiaTheme="majorEastAsia" w:hAnsiTheme="majorEastAsia"/>
        </w:rPr>
      </w:pPr>
      <w:r w:rsidRPr="004643F8">
        <w:rPr>
          <w:rFonts w:asciiTheme="majorEastAsia" w:eastAsiaTheme="majorEastAsia" w:hAnsiTheme="majorEastAsia"/>
        </w:rPr>
        <w:t>N=3退化的归因分析。</w:t>
      </w:r>
    </w:p>
    <w:p w14:paraId="43C0EA38" w14:textId="77777777" w:rsidR="009C08F5" w:rsidRPr="004643F8" w:rsidRDefault="009C08F5" w:rsidP="009C08F5">
      <w:pPr>
        <w:rPr>
          <w:rFonts w:asciiTheme="majorEastAsia" w:eastAsiaTheme="majorEastAsia" w:hAnsiTheme="majorEastAsia"/>
        </w:rPr>
      </w:pPr>
      <w:r w:rsidRPr="004643F8">
        <w:rPr>
          <w:rFonts w:asciiTheme="majorEastAsia" w:eastAsiaTheme="majorEastAsia" w:hAnsiTheme="majorEastAsia"/>
        </w:rPr>
        <w:t>FEMTO轴承数据集中六个样本的退化轨迹在寿命时长与退化速率上存在显著个体差异——部分轴承在试验早期即出现剧烈振动，另一些则经历较长的稳定运行期后方进入退化阶段。当N=1或N=2时，训练样本数量较少，源域预训练编码器所提供的通用退化表征在微调中占据主导地位，引导模型以较为平滑的方式拟合有限的训练信号，从而在未见测试样本上获得了优于从头训练的表现。而当N=3时，训练样本所涵盖的个体多样性明显增加，模型在微调过程中获得了更充分的目标域分布信息，此时Scratch模型可以从三个样本中直接学习该数据集内部的共同退化模式，不再受限于单一样本的噪声干扰。与此同时，迁移模型受制于源域与目标域之间的固有分布差异——喷嘴烧蚀的平滑单调退化与轴承振动的突发性剧烈抬升在时序动力学上存在本质区别——在适应较多样本时，源域先验反而可能构成一种“保守约束”，抑制模型对目标域特有瞬态特征的响应能力，导致迁移增益被逆转。</w:t>
      </w:r>
    </w:p>
    <w:p w14:paraId="5AE63278" w14:textId="77777777" w:rsidR="009C08F5" w:rsidRPr="004643F8" w:rsidRDefault="009C08F5" w:rsidP="009C08F5">
      <w:pPr>
        <w:rPr>
          <w:rFonts w:asciiTheme="majorEastAsia" w:eastAsiaTheme="majorEastAsia" w:hAnsiTheme="majorEastAsia"/>
        </w:rPr>
      </w:pPr>
      <w:r w:rsidRPr="004643F8">
        <w:rPr>
          <w:rFonts w:asciiTheme="majorEastAsia" w:eastAsiaTheme="majorEastAsia" w:hAnsiTheme="majorEastAsia"/>
        </w:rPr>
        <w:t>这一现象提示了一个重要的工程认识：跨域迁移并非训练样本越多越好。在源域与目标域之间存在实质动力学差异时，少量目标样本的情况下迁移知识的正则化效应可提供保护性约束；当目标样本足以表征本域分布时，这种约束反而可能限制模型的灵活性。N=3的退化并不意味着预训练知识的失效，而是反映出迁移框架在特定数据条件下的适用边界——即当目</w:t>
      </w:r>
      <w:r w:rsidRPr="004643F8">
        <w:rPr>
          <w:rFonts w:asciiTheme="majorEastAsia" w:eastAsiaTheme="majorEastAsia" w:hAnsiTheme="majorEastAsia"/>
        </w:rPr>
        <w:lastRenderedPageBreak/>
        <w:t>标域训练样本达到某一阈值时，从头学习本域知识可能优于跨域借用。</w:t>
      </w:r>
    </w:p>
    <w:p w14:paraId="4C2B146A" w14:textId="77777777" w:rsidR="009C08F5" w:rsidRPr="004643F8" w:rsidRDefault="009C08F5" w:rsidP="009C08F5">
      <w:pPr>
        <w:rPr>
          <w:rFonts w:asciiTheme="majorEastAsia" w:eastAsiaTheme="majorEastAsia" w:hAnsiTheme="majorEastAsia"/>
        </w:rPr>
      </w:pPr>
      <w:r w:rsidRPr="004643F8">
        <w:rPr>
          <w:rFonts w:asciiTheme="majorEastAsia" w:eastAsiaTheme="majorEastAsia" w:hAnsiTheme="majorEastAsia"/>
        </w:rPr>
        <w:t>结论定位与后续策略。</w:t>
      </w:r>
    </w:p>
    <w:p w14:paraId="2BBAF2C9" w14:textId="77777777" w:rsidR="009C08F5" w:rsidRPr="004643F8" w:rsidRDefault="009C08F5" w:rsidP="009C08F5">
      <w:pPr>
        <w:rPr>
          <w:rFonts w:asciiTheme="majorEastAsia" w:eastAsiaTheme="majorEastAsia" w:hAnsiTheme="majorEastAsia"/>
        </w:rPr>
      </w:pPr>
      <w:r w:rsidRPr="004643F8">
        <w:rPr>
          <w:rFonts w:asciiTheme="majorEastAsia" w:eastAsiaTheme="majorEastAsia" w:hAnsiTheme="majorEastAsia"/>
        </w:rPr>
        <w:t>v3 协议的FEMTO迁移实验在N=1和N=2层级上取得了符合内部验收标准的正向证据，证明喷嘴烧蚀的退化表征在机械旋转部件场景中具备一定的迁移价值，至少在目标数据极为稀缺的极限条件下能够提供优于随机初始化的起点。然而，N=3的逆转表现使该链路的结论尚不足以作为赛事最终主张的单一支撑。</w:t>
      </w:r>
    </w:p>
    <w:p w14:paraId="3E00DF6A" w14:textId="77777777" w:rsidR="009C08F5" w:rsidRPr="004643F8" w:rsidRDefault="009C08F5" w:rsidP="009C08F5">
      <w:pPr>
        <w:rPr>
          <w:rFonts w:asciiTheme="majorEastAsia" w:eastAsiaTheme="majorEastAsia" w:hAnsiTheme="majorEastAsia"/>
        </w:rPr>
      </w:pPr>
      <w:r w:rsidRPr="004643F8">
        <w:rPr>
          <w:rFonts w:asciiTheme="majorEastAsia" w:eastAsiaTheme="majorEastAsia" w:hAnsiTheme="majorEastAsia"/>
        </w:rPr>
        <w:t>有鉴于此，本报告将喷嘴→FEMTO迁移的v3结论定位为 “组件级迁移历史证据” ，即作为方法可行性的早期验证记录予以保留，但不作为对外主张迁移成功的核心依据。对外主张优先使用后续 FEMTO → COMSOL v5 跨数据集outer-LOO协议的结果——该协议在目标域（反作用轮仿真数据）与源域（FEMTO轴承数据）之间具有更强的退化机理同源性，其迁移链路在语义对齐上更为自然，所取得的正向证据也更为稳健。v5协议的实验设计与结果将于6.3节中详细呈现。</w:t>
      </w:r>
    </w:p>
    <w:p w14:paraId="0483F967" w14:textId="77777777" w:rsidR="004643F8" w:rsidRPr="004643F8" w:rsidRDefault="004643F8" w:rsidP="004643F8">
      <w:pPr>
        <w:pStyle w:val="2"/>
        <w:rPr>
          <w:rFonts w:asciiTheme="majorEastAsia" w:eastAsiaTheme="majorEastAsia" w:hAnsiTheme="majorEastAsia"/>
        </w:rPr>
      </w:pPr>
      <w:r w:rsidRPr="004643F8">
        <w:rPr>
          <w:rFonts w:asciiTheme="majorEastAsia" w:eastAsiaTheme="majorEastAsia" w:hAnsiTheme="majorEastAsia"/>
          <w:b/>
          <w:bCs/>
        </w:rPr>
        <w:t>6.3 FEMTO → COMSOL v5 严格跨数据集迁移</w:t>
      </w:r>
    </w:p>
    <w:p w14:paraId="56038443" w14:textId="77777777" w:rsidR="004643F8" w:rsidRPr="004643F8" w:rsidRDefault="004643F8" w:rsidP="004643F8">
      <w:pPr>
        <w:rPr>
          <w:rFonts w:asciiTheme="majorEastAsia" w:eastAsiaTheme="majorEastAsia" w:hAnsiTheme="majorEastAsia"/>
        </w:rPr>
      </w:pPr>
      <w:r w:rsidRPr="004643F8">
        <w:rPr>
          <w:rFonts w:asciiTheme="majorEastAsia" w:eastAsiaTheme="majorEastAsia" w:hAnsiTheme="majorEastAsia"/>
        </w:rPr>
        <w:t>本节报告 v5 协议下从 FEMTO 轴承退化数据向 COMSOL 反作用轮仿真目标域迁移的主实验结果。该链路在退化机理上具有更强的物理同源性——两者均属旋转机械范畴，退化均表现为振动能量抬升与摩擦加剧——相较喷嘴→FEMTO的跨机理迁移，此处的源-目标域语义对齐更为自然，因此被定为本项目对外主张迁移成功的主要证据来源。</w:t>
      </w:r>
    </w:p>
    <w:p w14:paraId="5FF5DFBF" w14:textId="77777777" w:rsidR="004643F8" w:rsidRPr="004643F8" w:rsidRDefault="004643F8" w:rsidP="004643F8">
      <w:pPr>
        <w:rPr>
          <w:rFonts w:asciiTheme="majorEastAsia" w:eastAsiaTheme="majorEastAsia" w:hAnsiTheme="majorEastAsia"/>
        </w:rPr>
      </w:pPr>
      <w:r w:rsidRPr="004643F8">
        <w:rPr>
          <w:rFonts w:asciiTheme="majorEastAsia" w:eastAsiaTheme="majorEastAsia" w:hAnsiTheme="majorEastAsia"/>
        </w:rPr>
        <w:t>实验基于五条 COMSOL 反作用轮完整仿真轨迹执行五折留一验证，每折以一条轨迹为测试 holdout、其余四条为训练候选。协议设置了 N=1、2、3 三个训练样本规模层级，分别表示每折实际抽取 1 条、2 条或 3 条轨迹参与微调训练，其余轨迹留作该折的测试集。各层级下每折的轨迹采样均由 SHA-256 派生种子确定性控制，确保跨层级的可复现性。全部评估结果汇总于表16。</w:t>
      </w:r>
    </w:p>
    <w:p w14:paraId="76958151" w14:textId="4AAC3770" w:rsidR="004643F8" w:rsidRPr="004643F8" w:rsidRDefault="004643F8" w:rsidP="004643F8">
      <w:pPr>
        <w:rPr>
          <w:rFonts w:asciiTheme="majorEastAsia" w:eastAsiaTheme="majorEastAsia" w:hAnsiTheme="majorEastAsia"/>
        </w:rPr>
      </w:pPr>
      <w:r w:rsidRPr="004643F8">
        <w:rPr>
          <w:rFonts w:asciiTheme="majorEastAsia" w:eastAsiaTheme="majorEastAsia" w:hAnsiTheme="majorEastAsia"/>
        </w:rPr>
        <w:t>表16</w:t>
      </w:r>
      <w:r w:rsidR="00C17C2E">
        <w:rPr>
          <w:rFonts w:asciiTheme="majorEastAsia" w:eastAsiaTheme="majorEastAsia" w:hAnsiTheme="majorEastAsia" w:hint="eastAsia"/>
        </w:rPr>
        <w:t xml:space="preserve"> </w:t>
      </w:r>
      <w:r w:rsidRPr="004643F8">
        <w:rPr>
          <w:rFonts w:asciiTheme="majorEastAsia" w:eastAsiaTheme="majorEastAsia" w:hAnsiTheme="majorEastAsia"/>
        </w:rPr>
        <w:t>FEMTO → COMSOL v5 迁移实验结果汇总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0"/>
        <w:gridCol w:w="1315"/>
        <w:gridCol w:w="1210"/>
        <w:gridCol w:w="1002"/>
        <w:gridCol w:w="1002"/>
        <w:gridCol w:w="1106"/>
        <w:gridCol w:w="1002"/>
        <w:gridCol w:w="689"/>
      </w:tblGrid>
      <w:tr w:rsidR="004643F8" w:rsidRPr="004643F8" w14:paraId="65FEEE8A" w14:textId="77777777" w:rsidTr="00413CC6">
        <w:trPr>
          <w:tblHeader/>
        </w:trPr>
        <w:tc>
          <w:tcPr>
            <w:tcW w:w="0" w:type="auto"/>
            <w:tcMar>
              <w:top w:w="150" w:type="dxa"/>
              <w:left w:w="0" w:type="dxa"/>
              <w:bottom w:w="150" w:type="dxa"/>
              <w:right w:w="240" w:type="dxa"/>
            </w:tcMar>
            <w:vAlign w:val="center"/>
            <w:hideMark/>
          </w:tcPr>
          <w:p w14:paraId="608F05F2"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设置</w:t>
            </w:r>
          </w:p>
        </w:tc>
        <w:tc>
          <w:tcPr>
            <w:tcW w:w="1315" w:type="dxa"/>
            <w:tcMar>
              <w:top w:w="150" w:type="dxa"/>
              <w:left w:w="240" w:type="dxa"/>
              <w:bottom w:w="150" w:type="dxa"/>
              <w:right w:w="240" w:type="dxa"/>
            </w:tcMar>
            <w:vAlign w:val="center"/>
            <w:hideMark/>
          </w:tcPr>
          <w:p w14:paraId="69E40920"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Transfer RMSE</w:t>
            </w:r>
          </w:p>
        </w:tc>
        <w:tc>
          <w:tcPr>
            <w:tcW w:w="1210" w:type="dxa"/>
            <w:tcMar>
              <w:top w:w="150" w:type="dxa"/>
              <w:left w:w="240" w:type="dxa"/>
              <w:bottom w:w="150" w:type="dxa"/>
              <w:right w:w="240" w:type="dxa"/>
            </w:tcMar>
            <w:vAlign w:val="center"/>
            <w:hideMark/>
          </w:tcPr>
          <w:p w14:paraId="6C3F0643"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Matched Scratch</w:t>
            </w:r>
          </w:p>
        </w:tc>
        <w:tc>
          <w:tcPr>
            <w:tcW w:w="1002" w:type="dxa"/>
            <w:tcMar>
              <w:top w:w="150" w:type="dxa"/>
              <w:left w:w="240" w:type="dxa"/>
              <w:bottom w:w="150" w:type="dxa"/>
              <w:right w:w="240" w:type="dxa"/>
            </w:tcMar>
            <w:vAlign w:val="center"/>
            <w:hideMark/>
          </w:tcPr>
          <w:p w14:paraId="48E018EC"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Ridge</w:t>
            </w:r>
          </w:p>
        </w:tc>
        <w:tc>
          <w:tcPr>
            <w:tcW w:w="0" w:type="auto"/>
            <w:tcMar>
              <w:top w:w="150" w:type="dxa"/>
              <w:left w:w="240" w:type="dxa"/>
              <w:bottom w:w="150" w:type="dxa"/>
              <w:right w:w="240" w:type="dxa"/>
            </w:tcMar>
            <w:vAlign w:val="center"/>
            <w:hideMark/>
          </w:tcPr>
          <w:p w14:paraId="5828F4D1"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最佳趋势</w:t>
            </w:r>
          </w:p>
        </w:tc>
        <w:tc>
          <w:tcPr>
            <w:tcW w:w="0" w:type="auto"/>
            <w:tcMar>
              <w:top w:w="150" w:type="dxa"/>
              <w:left w:w="240" w:type="dxa"/>
              <w:bottom w:w="150" w:type="dxa"/>
              <w:right w:w="240" w:type="dxa"/>
            </w:tcMar>
            <w:vAlign w:val="center"/>
            <w:hideMark/>
          </w:tcPr>
          <w:p w14:paraId="3644E306"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提升</w:t>
            </w:r>
          </w:p>
        </w:tc>
        <w:tc>
          <w:tcPr>
            <w:tcW w:w="0" w:type="auto"/>
            <w:tcMar>
              <w:top w:w="150" w:type="dxa"/>
              <w:left w:w="240" w:type="dxa"/>
              <w:bottom w:w="150" w:type="dxa"/>
              <w:right w:w="240" w:type="dxa"/>
            </w:tcMar>
            <w:vAlign w:val="center"/>
            <w:hideMark/>
          </w:tcPr>
          <w:p w14:paraId="0BC622A4"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胜出折数/总折数</w:t>
            </w:r>
          </w:p>
        </w:tc>
        <w:tc>
          <w:tcPr>
            <w:tcW w:w="0" w:type="auto"/>
            <w:tcMar>
              <w:top w:w="150" w:type="dxa"/>
              <w:left w:w="240" w:type="dxa"/>
              <w:bottom w:w="150" w:type="dxa"/>
              <w:right w:w="240" w:type="dxa"/>
            </w:tcMar>
            <w:vAlign w:val="center"/>
            <w:hideMark/>
          </w:tcPr>
          <w:p w14:paraId="4B2BAFAA"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结论</w:t>
            </w:r>
          </w:p>
        </w:tc>
      </w:tr>
      <w:tr w:rsidR="004643F8" w:rsidRPr="004643F8" w14:paraId="128900C0" w14:textId="77777777" w:rsidTr="00413CC6">
        <w:tc>
          <w:tcPr>
            <w:tcW w:w="0" w:type="auto"/>
            <w:tcMar>
              <w:top w:w="150" w:type="dxa"/>
              <w:left w:w="0" w:type="dxa"/>
              <w:bottom w:w="150" w:type="dxa"/>
              <w:right w:w="240" w:type="dxa"/>
            </w:tcMar>
            <w:vAlign w:val="center"/>
            <w:hideMark/>
          </w:tcPr>
          <w:p w14:paraId="0011FF8D"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N=1</w:t>
            </w:r>
          </w:p>
        </w:tc>
        <w:tc>
          <w:tcPr>
            <w:tcW w:w="1315" w:type="dxa"/>
            <w:tcMar>
              <w:top w:w="150" w:type="dxa"/>
              <w:left w:w="240" w:type="dxa"/>
              <w:bottom w:w="150" w:type="dxa"/>
              <w:right w:w="240" w:type="dxa"/>
            </w:tcMar>
            <w:vAlign w:val="center"/>
            <w:hideMark/>
          </w:tcPr>
          <w:p w14:paraId="4D85686A"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7.575</w:t>
            </w:r>
          </w:p>
        </w:tc>
        <w:tc>
          <w:tcPr>
            <w:tcW w:w="1210" w:type="dxa"/>
            <w:tcMar>
              <w:top w:w="150" w:type="dxa"/>
              <w:left w:w="240" w:type="dxa"/>
              <w:bottom w:w="150" w:type="dxa"/>
              <w:right w:w="240" w:type="dxa"/>
            </w:tcMar>
            <w:vAlign w:val="center"/>
            <w:hideMark/>
          </w:tcPr>
          <w:p w14:paraId="12037A16"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8.047</w:t>
            </w:r>
          </w:p>
        </w:tc>
        <w:tc>
          <w:tcPr>
            <w:tcW w:w="1002" w:type="dxa"/>
            <w:tcMar>
              <w:top w:w="150" w:type="dxa"/>
              <w:left w:w="240" w:type="dxa"/>
              <w:bottom w:w="150" w:type="dxa"/>
              <w:right w:w="240" w:type="dxa"/>
            </w:tcMar>
            <w:vAlign w:val="center"/>
            <w:hideMark/>
          </w:tcPr>
          <w:p w14:paraId="2A6F5B5C"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7.369</w:t>
            </w:r>
          </w:p>
        </w:tc>
        <w:tc>
          <w:tcPr>
            <w:tcW w:w="0" w:type="auto"/>
            <w:tcMar>
              <w:top w:w="150" w:type="dxa"/>
              <w:left w:w="240" w:type="dxa"/>
              <w:bottom w:w="150" w:type="dxa"/>
              <w:right w:w="240" w:type="dxa"/>
            </w:tcMar>
            <w:vAlign w:val="center"/>
            <w:hideMark/>
          </w:tcPr>
          <w:p w14:paraId="0D10A933"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8.128</w:t>
            </w:r>
          </w:p>
        </w:tc>
        <w:tc>
          <w:tcPr>
            <w:tcW w:w="0" w:type="auto"/>
            <w:tcMar>
              <w:top w:w="150" w:type="dxa"/>
              <w:left w:w="240" w:type="dxa"/>
              <w:bottom w:w="150" w:type="dxa"/>
              <w:right w:w="240" w:type="dxa"/>
            </w:tcMar>
            <w:vAlign w:val="center"/>
            <w:hideMark/>
          </w:tcPr>
          <w:p w14:paraId="5337B5A9"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+5.87%</w:t>
            </w:r>
          </w:p>
        </w:tc>
        <w:tc>
          <w:tcPr>
            <w:tcW w:w="0" w:type="auto"/>
            <w:tcMar>
              <w:top w:w="150" w:type="dxa"/>
              <w:left w:w="240" w:type="dxa"/>
              <w:bottom w:w="150" w:type="dxa"/>
              <w:right w:w="240" w:type="dxa"/>
            </w:tcMar>
            <w:vAlign w:val="center"/>
            <w:hideMark/>
          </w:tcPr>
          <w:p w14:paraId="1B40EDB6"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3/5</w:t>
            </w:r>
          </w:p>
        </w:tc>
        <w:tc>
          <w:tcPr>
            <w:tcW w:w="0" w:type="auto"/>
            <w:tcMar>
              <w:top w:w="150" w:type="dxa"/>
              <w:left w:w="240" w:type="dxa"/>
              <w:bottom w:w="150" w:type="dxa"/>
              <w:right w:w="0" w:type="dxa"/>
            </w:tcMar>
            <w:vAlign w:val="center"/>
            <w:hideMark/>
          </w:tcPr>
          <w:p w14:paraId="24EC2660" w14:textId="77777777" w:rsidR="004643F8" w:rsidRPr="004643F8" w:rsidRDefault="004643F8" w:rsidP="00413CC6">
            <w:pPr>
              <w:rPr>
                <w:rFonts w:asciiTheme="majorEastAsia" w:eastAsiaTheme="majorEastAsia" w:hAnsiTheme="majorEastAsia"/>
              </w:rPr>
            </w:pPr>
            <w:r w:rsidRPr="004643F8">
              <w:rPr>
                <w:rFonts w:asciiTheme="majorEastAsia" w:eastAsiaTheme="majorEastAsia" w:hAnsiTheme="majorEastAsia"/>
              </w:rPr>
              <w:t>诊断</w:t>
            </w:r>
          </w:p>
        </w:tc>
      </w:tr>
      <w:tr w:rsidR="004643F8" w:rsidRPr="004643F8" w14:paraId="4392AB8A" w14:textId="77777777" w:rsidTr="00413CC6">
        <w:tc>
          <w:tcPr>
            <w:tcW w:w="0" w:type="auto"/>
            <w:tcMar>
              <w:top w:w="150" w:type="dxa"/>
              <w:left w:w="0" w:type="dxa"/>
              <w:bottom w:w="150" w:type="dxa"/>
              <w:right w:w="240" w:type="dxa"/>
            </w:tcMar>
            <w:vAlign w:val="center"/>
            <w:hideMark/>
          </w:tcPr>
          <w:p w14:paraId="2CEE915B"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N=2</w:t>
            </w:r>
          </w:p>
        </w:tc>
        <w:tc>
          <w:tcPr>
            <w:tcW w:w="1315" w:type="dxa"/>
            <w:tcMar>
              <w:top w:w="150" w:type="dxa"/>
              <w:left w:w="240" w:type="dxa"/>
              <w:bottom w:w="150" w:type="dxa"/>
              <w:right w:w="240" w:type="dxa"/>
            </w:tcMar>
            <w:vAlign w:val="center"/>
            <w:hideMark/>
          </w:tcPr>
          <w:p w14:paraId="574B0E19"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4.974</w:t>
            </w:r>
          </w:p>
        </w:tc>
        <w:tc>
          <w:tcPr>
            <w:tcW w:w="1210" w:type="dxa"/>
            <w:tcMar>
              <w:top w:w="150" w:type="dxa"/>
              <w:left w:w="240" w:type="dxa"/>
              <w:bottom w:w="150" w:type="dxa"/>
              <w:right w:w="240" w:type="dxa"/>
            </w:tcMar>
            <w:vAlign w:val="center"/>
            <w:hideMark/>
          </w:tcPr>
          <w:p w14:paraId="7568BE34"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5.366</w:t>
            </w:r>
          </w:p>
        </w:tc>
        <w:tc>
          <w:tcPr>
            <w:tcW w:w="1002" w:type="dxa"/>
            <w:tcMar>
              <w:top w:w="150" w:type="dxa"/>
              <w:left w:w="240" w:type="dxa"/>
              <w:bottom w:w="150" w:type="dxa"/>
              <w:right w:w="240" w:type="dxa"/>
            </w:tcMar>
            <w:vAlign w:val="center"/>
            <w:hideMark/>
          </w:tcPr>
          <w:p w14:paraId="4E55CB06"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5.289</w:t>
            </w:r>
          </w:p>
        </w:tc>
        <w:tc>
          <w:tcPr>
            <w:tcW w:w="0" w:type="auto"/>
            <w:tcMar>
              <w:top w:w="150" w:type="dxa"/>
              <w:left w:w="240" w:type="dxa"/>
              <w:bottom w:w="150" w:type="dxa"/>
              <w:right w:w="240" w:type="dxa"/>
            </w:tcMar>
            <w:vAlign w:val="center"/>
            <w:hideMark/>
          </w:tcPr>
          <w:p w14:paraId="4C5A8204"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6.374</w:t>
            </w:r>
          </w:p>
        </w:tc>
        <w:tc>
          <w:tcPr>
            <w:tcW w:w="0" w:type="auto"/>
            <w:tcMar>
              <w:top w:w="150" w:type="dxa"/>
              <w:left w:w="240" w:type="dxa"/>
              <w:bottom w:w="150" w:type="dxa"/>
              <w:right w:w="240" w:type="dxa"/>
            </w:tcMar>
            <w:vAlign w:val="center"/>
            <w:hideMark/>
          </w:tcPr>
          <w:p w14:paraId="473AAF51"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+7.30%</w:t>
            </w:r>
          </w:p>
        </w:tc>
        <w:tc>
          <w:tcPr>
            <w:tcW w:w="0" w:type="auto"/>
            <w:tcMar>
              <w:top w:w="150" w:type="dxa"/>
              <w:left w:w="240" w:type="dxa"/>
              <w:bottom w:w="150" w:type="dxa"/>
              <w:right w:w="240" w:type="dxa"/>
            </w:tcMar>
            <w:vAlign w:val="center"/>
            <w:hideMark/>
          </w:tcPr>
          <w:p w14:paraId="3164846D"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4/5</w:t>
            </w:r>
          </w:p>
        </w:tc>
        <w:tc>
          <w:tcPr>
            <w:tcW w:w="0" w:type="auto"/>
            <w:tcMar>
              <w:top w:w="150" w:type="dxa"/>
              <w:left w:w="240" w:type="dxa"/>
              <w:bottom w:w="150" w:type="dxa"/>
              <w:right w:w="0" w:type="dxa"/>
            </w:tcMar>
            <w:vAlign w:val="center"/>
            <w:hideMark/>
          </w:tcPr>
          <w:p w14:paraId="783926CE" w14:textId="77777777" w:rsidR="004643F8" w:rsidRPr="004643F8" w:rsidRDefault="004643F8" w:rsidP="00413CC6">
            <w:pPr>
              <w:rPr>
                <w:rFonts w:asciiTheme="majorEastAsia" w:eastAsiaTheme="majorEastAsia" w:hAnsiTheme="majorEastAsia"/>
              </w:rPr>
            </w:pPr>
            <w:r w:rsidRPr="004643F8">
              <w:rPr>
                <w:rFonts w:asciiTheme="majorEastAsia" w:eastAsiaTheme="majorEastAsia" w:hAnsiTheme="majorEastAsia"/>
              </w:rPr>
              <w:t>严格正向证据</w:t>
            </w:r>
          </w:p>
        </w:tc>
      </w:tr>
      <w:tr w:rsidR="004643F8" w:rsidRPr="004643F8" w14:paraId="6A476905" w14:textId="77777777" w:rsidTr="00413CC6">
        <w:tc>
          <w:tcPr>
            <w:tcW w:w="0" w:type="auto"/>
            <w:tcMar>
              <w:top w:w="150" w:type="dxa"/>
              <w:left w:w="0" w:type="dxa"/>
              <w:bottom w:w="150" w:type="dxa"/>
              <w:right w:w="240" w:type="dxa"/>
            </w:tcMar>
            <w:vAlign w:val="center"/>
            <w:hideMark/>
          </w:tcPr>
          <w:p w14:paraId="6CCBACF7"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N=3</w:t>
            </w:r>
          </w:p>
        </w:tc>
        <w:tc>
          <w:tcPr>
            <w:tcW w:w="1315" w:type="dxa"/>
            <w:tcMar>
              <w:top w:w="150" w:type="dxa"/>
              <w:left w:w="240" w:type="dxa"/>
              <w:bottom w:w="150" w:type="dxa"/>
              <w:right w:w="240" w:type="dxa"/>
            </w:tcMar>
            <w:vAlign w:val="center"/>
            <w:hideMark/>
          </w:tcPr>
          <w:p w14:paraId="5CB765C8"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6.149</w:t>
            </w:r>
          </w:p>
        </w:tc>
        <w:tc>
          <w:tcPr>
            <w:tcW w:w="1210" w:type="dxa"/>
            <w:tcMar>
              <w:top w:w="150" w:type="dxa"/>
              <w:left w:w="240" w:type="dxa"/>
              <w:bottom w:w="150" w:type="dxa"/>
              <w:right w:w="240" w:type="dxa"/>
            </w:tcMar>
            <w:vAlign w:val="center"/>
            <w:hideMark/>
          </w:tcPr>
          <w:p w14:paraId="02C892C9"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6.577</w:t>
            </w:r>
          </w:p>
        </w:tc>
        <w:tc>
          <w:tcPr>
            <w:tcW w:w="1002" w:type="dxa"/>
            <w:tcMar>
              <w:top w:w="150" w:type="dxa"/>
              <w:left w:w="240" w:type="dxa"/>
              <w:bottom w:w="150" w:type="dxa"/>
              <w:right w:w="240" w:type="dxa"/>
            </w:tcMar>
            <w:vAlign w:val="center"/>
            <w:hideMark/>
          </w:tcPr>
          <w:p w14:paraId="63B3D66D"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9.011</w:t>
            </w:r>
          </w:p>
        </w:tc>
        <w:tc>
          <w:tcPr>
            <w:tcW w:w="0" w:type="auto"/>
            <w:tcMar>
              <w:top w:w="150" w:type="dxa"/>
              <w:left w:w="240" w:type="dxa"/>
              <w:bottom w:w="150" w:type="dxa"/>
              <w:right w:w="240" w:type="dxa"/>
            </w:tcMar>
            <w:vAlign w:val="center"/>
            <w:hideMark/>
          </w:tcPr>
          <w:p w14:paraId="0535F04A"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7.263</w:t>
            </w:r>
          </w:p>
        </w:tc>
        <w:tc>
          <w:tcPr>
            <w:tcW w:w="0" w:type="auto"/>
            <w:tcMar>
              <w:top w:w="150" w:type="dxa"/>
              <w:left w:w="240" w:type="dxa"/>
              <w:bottom w:w="150" w:type="dxa"/>
              <w:right w:w="240" w:type="dxa"/>
            </w:tcMar>
            <w:vAlign w:val="center"/>
            <w:hideMark/>
          </w:tcPr>
          <w:p w14:paraId="01500574"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+6.51%</w:t>
            </w:r>
          </w:p>
        </w:tc>
        <w:tc>
          <w:tcPr>
            <w:tcW w:w="0" w:type="auto"/>
            <w:tcMar>
              <w:top w:w="150" w:type="dxa"/>
              <w:left w:w="240" w:type="dxa"/>
              <w:bottom w:w="150" w:type="dxa"/>
              <w:right w:w="240" w:type="dxa"/>
            </w:tcMar>
            <w:vAlign w:val="center"/>
            <w:hideMark/>
          </w:tcPr>
          <w:p w14:paraId="75EDD9F3"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3/5</w:t>
            </w:r>
          </w:p>
        </w:tc>
        <w:tc>
          <w:tcPr>
            <w:tcW w:w="0" w:type="auto"/>
            <w:tcMar>
              <w:top w:w="150" w:type="dxa"/>
              <w:left w:w="240" w:type="dxa"/>
              <w:bottom w:w="150" w:type="dxa"/>
              <w:right w:w="0" w:type="dxa"/>
            </w:tcMar>
            <w:vAlign w:val="center"/>
            <w:hideMark/>
          </w:tcPr>
          <w:p w14:paraId="40CF42EE" w14:textId="77777777" w:rsidR="004643F8" w:rsidRPr="004643F8" w:rsidRDefault="004643F8" w:rsidP="00413CC6">
            <w:pPr>
              <w:rPr>
                <w:rFonts w:asciiTheme="majorEastAsia" w:eastAsiaTheme="majorEastAsia" w:hAnsiTheme="majorEastAsia"/>
              </w:rPr>
            </w:pPr>
            <w:r w:rsidRPr="004643F8">
              <w:rPr>
                <w:rFonts w:asciiTheme="majorEastAsia" w:eastAsiaTheme="majorEastAsia" w:hAnsiTheme="majorEastAsia"/>
              </w:rPr>
              <w:t>严格正向证据</w:t>
            </w:r>
          </w:p>
        </w:tc>
      </w:tr>
      <w:tr w:rsidR="004643F8" w:rsidRPr="004643F8" w14:paraId="10D581AA" w14:textId="77777777" w:rsidTr="00413CC6">
        <w:tc>
          <w:tcPr>
            <w:tcW w:w="0" w:type="auto"/>
            <w:tcMar>
              <w:top w:w="150" w:type="dxa"/>
              <w:left w:w="0" w:type="dxa"/>
              <w:bottom w:w="150" w:type="dxa"/>
              <w:right w:w="240" w:type="dxa"/>
            </w:tcMar>
            <w:vAlign w:val="center"/>
            <w:hideMark/>
          </w:tcPr>
          <w:p w14:paraId="5094C65F"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N=1,2,3 聚合</w:t>
            </w:r>
          </w:p>
        </w:tc>
        <w:tc>
          <w:tcPr>
            <w:tcW w:w="1315" w:type="dxa"/>
            <w:tcMar>
              <w:top w:w="150" w:type="dxa"/>
              <w:left w:w="240" w:type="dxa"/>
              <w:bottom w:w="150" w:type="dxa"/>
              <w:right w:w="240" w:type="dxa"/>
            </w:tcMar>
            <w:vAlign w:val="center"/>
            <w:hideMark/>
          </w:tcPr>
          <w:p w14:paraId="768B1761"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6.233</w:t>
            </w:r>
          </w:p>
        </w:tc>
        <w:tc>
          <w:tcPr>
            <w:tcW w:w="1210" w:type="dxa"/>
            <w:tcMar>
              <w:top w:w="150" w:type="dxa"/>
              <w:left w:w="240" w:type="dxa"/>
              <w:bottom w:w="150" w:type="dxa"/>
              <w:right w:w="240" w:type="dxa"/>
            </w:tcMar>
            <w:vAlign w:val="center"/>
            <w:hideMark/>
          </w:tcPr>
          <w:p w14:paraId="510CE185"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6.664</w:t>
            </w:r>
          </w:p>
        </w:tc>
        <w:tc>
          <w:tcPr>
            <w:tcW w:w="1002" w:type="dxa"/>
            <w:tcMar>
              <w:top w:w="150" w:type="dxa"/>
              <w:left w:w="240" w:type="dxa"/>
              <w:bottom w:w="150" w:type="dxa"/>
              <w:right w:w="240" w:type="dxa"/>
            </w:tcMar>
            <w:vAlign w:val="center"/>
            <w:hideMark/>
          </w:tcPr>
          <w:p w14:paraId="763479C3"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7.223</w:t>
            </w:r>
          </w:p>
        </w:tc>
        <w:tc>
          <w:tcPr>
            <w:tcW w:w="0" w:type="auto"/>
            <w:tcMar>
              <w:top w:w="150" w:type="dxa"/>
              <w:left w:w="240" w:type="dxa"/>
              <w:bottom w:w="150" w:type="dxa"/>
              <w:right w:w="240" w:type="dxa"/>
            </w:tcMar>
            <w:vAlign w:val="center"/>
            <w:hideMark/>
          </w:tcPr>
          <w:p w14:paraId="563034DC"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7.255</w:t>
            </w:r>
          </w:p>
        </w:tc>
        <w:tc>
          <w:tcPr>
            <w:tcW w:w="0" w:type="auto"/>
            <w:tcMar>
              <w:top w:w="150" w:type="dxa"/>
              <w:left w:w="240" w:type="dxa"/>
              <w:bottom w:w="150" w:type="dxa"/>
              <w:right w:w="240" w:type="dxa"/>
            </w:tcMar>
            <w:vAlign w:val="center"/>
            <w:hideMark/>
          </w:tcPr>
          <w:p w14:paraId="1268C20D"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+6.46%</w:t>
            </w:r>
          </w:p>
        </w:tc>
        <w:tc>
          <w:tcPr>
            <w:tcW w:w="0" w:type="auto"/>
            <w:tcMar>
              <w:top w:w="150" w:type="dxa"/>
              <w:left w:w="240" w:type="dxa"/>
              <w:bottom w:w="150" w:type="dxa"/>
              <w:right w:w="240" w:type="dxa"/>
            </w:tcMar>
            <w:vAlign w:val="center"/>
            <w:hideMark/>
          </w:tcPr>
          <w:p w14:paraId="57E9364D" w14:textId="77777777" w:rsidR="004643F8" w:rsidRPr="004643F8" w:rsidRDefault="004643F8" w:rsidP="00413CC6">
            <w:pPr>
              <w:jc w:val="center"/>
              <w:rPr>
                <w:rFonts w:asciiTheme="majorEastAsia" w:eastAsiaTheme="majorEastAsia" w:hAnsiTheme="majorEastAsia"/>
              </w:rPr>
            </w:pPr>
            <w:r w:rsidRPr="004643F8">
              <w:rPr>
                <w:rFonts w:asciiTheme="majorEastAsia" w:eastAsiaTheme="majorEastAsia" w:hAnsiTheme="majorEastAsia"/>
              </w:rPr>
              <w:t>10/15</w:t>
            </w:r>
          </w:p>
        </w:tc>
        <w:tc>
          <w:tcPr>
            <w:tcW w:w="0" w:type="auto"/>
            <w:tcMar>
              <w:top w:w="150" w:type="dxa"/>
              <w:left w:w="240" w:type="dxa"/>
              <w:bottom w:w="150" w:type="dxa"/>
              <w:right w:w="0" w:type="dxa"/>
            </w:tcMar>
            <w:vAlign w:val="center"/>
            <w:hideMark/>
          </w:tcPr>
          <w:p w14:paraId="28D5100D" w14:textId="77777777" w:rsidR="004643F8" w:rsidRPr="004643F8" w:rsidRDefault="004643F8" w:rsidP="00413CC6">
            <w:pPr>
              <w:rPr>
                <w:rFonts w:asciiTheme="majorEastAsia" w:eastAsiaTheme="majorEastAsia" w:hAnsiTheme="majorEastAsia"/>
              </w:rPr>
            </w:pPr>
            <w:r w:rsidRPr="004643F8">
              <w:rPr>
                <w:rFonts w:asciiTheme="majorEastAsia" w:eastAsiaTheme="majorEastAsia" w:hAnsiTheme="majorEastAsia"/>
              </w:rPr>
              <w:t>严格正向证据</w:t>
            </w:r>
          </w:p>
        </w:tc>
      </w:tr>
    </w:tbl>
    <w:p w14:paraId="69DC2069" w14:textId="77777777" w:rsidR="004643F8" w:rsidRDefault="004643F8" w:rsidP="004643F8">
      <w:pPr>
        <w:rPr>
          <w:rFonts w:asciiTheme="majorEastAsia" w:eastAsiaTheme="majorEastAsia" w:hAnsiTheme="majorEastAsia"/>
        </w:rPr>
      </w:pPr>
      <w:r w:rsidRPr="004643F8">
        <w:rPr>
          <w:rFonts w:asciiTheme="majorEastAsia" w:eastAsiaTheme="majorEastAsia" w:hAnsiTheme="majorEastAsia"/>
        </w:rPr>
        <w:t xml:space="preserve">图 2 展示了各链路和样本预算下的宏观 raw RMSE 对比；图 3 展示了迁移模型相对 </w:t>
      </w:r>
      <w:r w:rsidRPr="004643F8">
        <w:rPr>
          <w:rFonts w:asciiTheme="majorEastAsia" w:eastAsiaTheme="majorEastAsia" w:hAnsiTheme="majorEastAsia"/>
        </w:rPr>
        <w:lastRenderedPageBreak/>
        <w:t>matched Scratch 在各 outer fold 上的胜出比例。</w:t>
      </w:r>
    </w:p>
    <w:p w14:paraId="220ADEF8" w14:textId="77777777" w:rsidR="00413CC6" w:rsidRDefault="00413CC6" w:rsidP="00413CC6">
      <w:pPr>
        <w:spacing w:after="40"/>
        <w:jc w:val="center"/>
        <w:rPr>
          <w:rFonts w:hint="eastAsia"/>
        </w:rPr>
      </w:pPr>
      <w:r>
        <w:rPr>
          <w:noProof/>
        </w:rPr>
        <w:drawing>
          <wp:inline distT="0" distB="0" distL="0" distR="0" wp14:anchorId="49E03725" wp14:editId="77D87357">
            <wp:extent cx="5225143" cy="23501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se.png"/>
                    <pic:cNvPicPr/>
                  </pic:nvPicPr>
                  <pic:blipFill>
                    <a:blip r:embed="rId9"/>
                    <a:stretch>
                      <a:fillRect/>
                    </a:stretch>
                  </pic:blipFill>
                  <pic:spPr>
                    <a:xfrm>
                      <a:off x="0" y="0"/>
                      <a:ext cx="5237533" cy="2355687"/>
                    </a:xfrm>
                    <a:prstGeom prst="rect">
                      <a:avLst/>
                    </a:prstGeom>
                  </pic:spPr>
                </pic:pic>
              </a:graphicData>
            </a:graphic>
          </wp:inline>
        </w:drawing>
      </w:r>
    </w:p>
    <w:p w14:paraId="0A921A62" w14:textId="3ACC0487" w:rsidR="00413CC6" w:rsidRDefault="00413CC6" w:rsidP="00735178">
      <w:pPr>
        <w:spacing w:after="140" w:line="324" w:lineRule="auto"/>
        <w:jc w:val="center"/>
        <w:rPr>
          <w:rFonts w:asciiTheme="majorEastAsia" w:eastAsiaTheme="majorEastAsia" w:hAnsiTheme="majorEastAsia"/>
        </w:rPr>
      </w:pPr>
      <w:r w:rsidRPr="00FF514E">
        <w:rPr>
          <w:rFonts w:asciiTheme="majorEastAsia" w:eastAsiaTheme="majorEastAsia" w:hAnsiTheme="majorEastAsia"/>
        </w:rPr>
        <w:t>图 2  各链路和样本预算下的宏观 raw RMSE 对比</w:t>
      </w:r>
    </w:p>
    <w:p w14:paraId="36380DBA" w14:textId="77777777" w:rsidR="00973F77" w:rsidRDefault="00973F77" w:rsidP="00973F77">
      <w:pPr>
        <w:spacing w:after="40"/>
        <w:jc w:val="center"/>
        <w:rPr>
          <w:rFonts w:hint="eastAsia"/>
        </w:rPr>
      </w:pPr>
      <w:r>
        <w:rPr>
          <w:noProof/>
        </w:rPr>
        <w:drawing>
          <wp:inline distT="0" distB="0" distL="0" distR="0" wp14:anchorId="2ACDD9C2" wp14:editId="3627B1F5">
            <wp:extent cx="4608000" cy="22475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s.png"/>
                    <pic:cNvPicPr/>
                  </pic:nvPicPr>
                  <pic:blipFill>
                    <a:blip r:embed="rId10"/>
                    <a:stretch>
                      <a:fillRect/>
                    </a:stretch>
                  </pic:blipFill>
                  <pic:spPr>
                    <a:xfrm>
                      <a:off x="0" y="0"/>
                      <a:ext cx="4608000" cy="2247581"/>
                    </a:xfrm>
                    <a:prstGeom prst="rect">
                      <a:avLst/>
                    </a:prstGeom>
                  </pic:spPr>
                </pic:pic>
              </a:graphicData>
            </a:graphic>
          </wp:inline>
        </w:drawing>
      </w:r>
    </w:p>
    <w:p w14:paraId="1F73714A" w14:textId="77777777" w:rsidR="00973F77" w:rsidRPr="00973F77" w:rsidRDefault="00973F77" w:rsidP="00973F77">
      <w:pPr>
        <w:spacing w:after="140" w:line="324" w:lineRule="auto"/>
        <w:jc w:val="center"/>
        <w:rPr>
          <w:rFonts w:asciiTheme="majorEastAsia" w:eastAsiaTheme="majorEastAsia" w:hAnsiTheme="majorEastAsia" w:hint="eastAsia"/>
        </w:rPr>
      </w:pPr>
      <w:r w:rsidRPr="00973F77">
        <w:rPr>
          <w:rFonts w:asciiTheme="majorEastAsia" w:eastAsiaTheme="majorEastAsia" w:hAnsiTheme="majorEastAsia"/>
        </w:rPr>
        <w:t>图 3  FEMTO -&gt; COMSOL transfer 相对 matched scratch 的 outer-fold 胜出比例</w:t>
      </w:r>
    </w:p>
    <w:p w14:paraId="3CD44B30" w14:textId="77777777" w:rsidR="004643F8" w:rsidRPr="004643F8" w:rsidRDefault="004643F8" w:rsidP="004643F8">
      <w:pPr>
        <w:rPr>
          <w:rFonts w:asciiTheme="majorEastAsia" w:eastAsiaTheme="majorEastAsia" w:hAnsiTheme="majorEastAsia"/>
        </w:rPr>
      </w:pPr>
      <w:r w:rsidRPr="004643F8">
        <w:rPr>
          <w:rFonts w:asciiTheme="majorEastAsia" w:eastAsiaTheme="majorEastAsia" w:hAnsiTheme="majorEastAsia"/>
        </w:rPr>
        <w:t>逐层级分析。</w:t>
      </w:r>
    </w:p>
    <w:p w14:paraId="3BF6787B" w14:textId="77777777" w:rsidR="00822CD0" w:rsidRPr="00822CD0" w:rsidRDefault="00822CD0" w:rsidP="00822CD0">
      <w:pPr>
        <w:rPr>
          <w:rFonts w:asciiTheme="majorEastAsia" w:eastAsiaTheme="majorEastAsia" w:hAnsiTheme="majorEastAsia"/>
        </w:rPr>
      </w:pPr>
      <w:r w:rsidRPr="00822CD0">
        <w:rPr>
          <w:rFonts w:asciiTheme="majorEastAsia" w:eastAsiaTheme="majorEastAsia" w:hAnsiTheme="majorEastAsia"/>
        </w:rPr>
        <w:t>N=1（极限小样本）。 迁移模型 RMSE 为 7.575，相对 Scratch（8.047）改善 5.87%，精度增益超过了 5% 阈值。然而，五折中仅有 3 折迁移模型优于 Scratch，未满足“多数折次胜出”的要求；更为关键的是，Ridge 回归在该层级取得了 7.369 的 RMSE，低于迁移模型的 7.575。Ridge 作为线性模型在小样本下受益于强正则化约束，方差较小，而神经迁移模型尽管继承了源域知识，在极端稀缺数据下仍存在折间不稳定性。因此 N=1 层级被判定为 诊断（diagnostic） ——迁移在部分折次上有效，但尚未达到“全面优于所有基线”的严格标准。</w:t>
      </w:r>
    </w:p>
    <w:p w14:paraId="7978D13C" w14:textId="77777777" w:rsidR="00822CD0" w:rsidRPr="00822CD0" w:rsidRDefault="00822CD0" w:rsidP="00822CD0">
      <w:pPr>
        <w:rPr>
          <w:rFonts w:asciiTheme="majorEastAsia" w:eastAsiaTheme="majorEastAsia" w:hAnsiTheme="majorEastAsia"/>
        </w:rPr>
      </w:pPr>
      <w:r w:rsidRPr="00822CD0">
        <w:rPr>
          <w:rFonts w:asciiTheme="majorEastAsia" w:eastAsiaTheme="majorEastAsia" w:hAnsiTheme="majorEastAsia"/>
        </w:rPr>
        <w:t>N=2（中等稀缺）。 迁移 RMSE 为 4.974，相对 Scratch（5.366）改善 7.30%，五折中四折胜出（80%），同时显著低于 Ridge（5.289）与最佳趋势基线（6.374）。三项验收标准全部满足，判定为 严格正向证据。</w:t>
      </w:r>
    </w:p>
    <w:p w14:paraId="2AFFE0BC" w14:textId="77777777" w:rsidR="00822CD0" w:rsidRPr="00822CD0" w:rsidRDefault="00822CD0" w:rsidP="00822CD0">
      <w:pPr>
        <w:rPr>
          <w:rFonts w:asciiTheme="majorEastAsia" w:eastAsiaTheme="majorEastAsia" w:hAnsiTheme="majorEastAsia"/>
        </w:rPr>
      </w:pPr>
      <w:r w:rsidRPr="00822CD0">
        <w:rPr>
          <w:rFonts w:asciiTheme="majorEastAsia" w:eastAsiaTheme="majorEastAsia" w:hAnsiTheme="majorEastAsia"/>
        </w:rPr>
        <w:t>N=3（少量可用）。 迁移 RMSE 为 6.149，相对 Scratch（6.577）改善 6.51%，五折中三折胜出（60%），同时低于 Ridge（9.011）与最佳趋势基线（7.263）。三项验收标准全部满足，判定为 严格正向证据。值得注意的是，N=3 的绝对 RMSE（6.149）高于 N=2（4.974），此现象与 6.2 节中观察到的非单调性一致，再次印证了“迁移增益并非随目标样本增加而</w:t>
      </w:r>
      <w:r w:rsidRPr="00822CD0">
        <w:rPr>
          <w:rFonts w:asciiTheme="majorEastAsia" w:eastAsiaTheme="majorEastAsia" w:hAnsiTheme="majorEastAsia"/>
        </w:rPr>
        <w:lastRenderedPageBreak/>
        <w:t>单调提升”的经验认识——当训练样本从 2 条增至 3 条时，新增轨迹若与源域分布偏离较大，反而可能引入与预训练表征相冲突的梯度方向，干扰迁移知识的有效利用。</w:t>
      </w:r>
    </w:p>
    <w:p w14:paraId="355D628A" w14:textId="77777777" w:rsidR="00822CD0" w:rsidRPr="00822CD0" w:rsidRDefault="00822CD0" w:rsidP="00822CD0">
      <w:pPr>
        <w:rPr>
          <w:rFonts w:asciiTheme="majorEastAsia" w:eastAsiaTheme="majorEastAsia" w:hAnsiTheme="majorEastAsia"/>
        </w:rPr>
      </w:pPr>
      <w:r w:rsidRPr="00822CD0">
        <w:rPr>
          <w:rFonts w:asciiTheme="majorEastAsia" w:eastAsiaTheme="majorEastAsia" w:hAnsiTheme="majorEastAsia"/>
        </w:rPr>
        <w:t>聚合结果（N=1,2,3）。 项目在协议设计阶段已预声明以三个层级的聚合结果作为主结论判定依据，以平滑单层级的随机波动，提供更稳健的宏观判断。聚合后迁移 RMSE 为 6.233，相对 Scratch（6.664）改善 6.46%，15 个 outer fold 中 10 个胜出（67%），同时低于 Ridge（7.223）与最佳趋势基线（7.255）。三项验收标准全部满足，聚合结论为 严格正向证据。</w:t>
      </w:r>
    </w:p>
    <w:p w14:paraId="5A9A2498" w14:textId="77777777" w:rsidR="00822CD0" w:rsidRPr="00822CD0" w:rsidRDefault="00822CD0" w:rsidP="00822CD0">
      <w:pPr>
        <w:rPr>
          <w:rFonts w:asciiTheme="majorEastAsia" w:eastAsiaTheme="majorEastAsia" w:hAnsiTheme="majorEastAsia"/>
        </w:rPr>
      </w:pPr>
      <w:r w:rsidRPr="00822CD0">
        <w:rPr>
          <w:rFonts w:asciiTheme="majorEastAsia" w:eastAsiaTheme="majorEastAsia" w:hAnsiTheme="majorEastAsia"/>
        </w:rPr>
        <w:t>N=1 诊断的工程启示。</w:t>
      </w:r>
    </w:p>
    <w:p w14:paraId="667ABA9A" w14:textId="77777777" w:rsidR="00822CD0" w:rsidRPr="00822CD0" w:rsidRDefault="00822CD0" w:rsidP="00822CD0">
      <w:pPr>
        <w:rPr>
          <w:rFonts w:asciiTheme="majorEastAsia" w:eastAsiaTheme="majorEastAsia" w:hAnsiTheme="majorEastAsia"/>
        </w:rPr>
      </w:pPr>
      <w:r w:rsidRPr="00822CD0">
        <w:rPr>
          <w:rFonts w:asciiTheme="majorEastAsia" w:eastAsiaTheme="majorEastAsia" w:hAnsiTheme="majorEastAsia"/>
        </w:rPr>
        <w:t>N=1 层级的诊断结论揭示了一个值得注意的方法论问题：相对神经 Scratch 的改善，并不自动等同于“全面优于所有工程基线”。在极限小样本条件下（仅有 1 条目标轨迹可用于训练），Ridge 回归凭借其强正则化先验取得了比迁移神经网络更低的预测误差。这说明，当目标域适配数据极端稀缺时，源域预训练知识虽然能够将神经模型的起点从随机初始化提升至有意义的状态，但仍然无法完全补偿深度模型在小样本下的高方差缺陷——此时，一个简单的线性正则化模型反而更为可靠。这一发现对航天工程选型具有直接参考意义：在仅有极少量在轨数据可用的早期阶段，传统统计方法可能是比深度迁移模型更审慎的选择；只有当目标数据积累至 2 条以上轨迹时，深度迁移模型的优势才能稳定释放。</w:t>
      </w:r>
    </w:p>
    <w:p w14:paraId="0D55888E" w14:textId="77777777" w:rsidR="00822CD0" w:rsidRPr="00822CD0" w:rsidRDefault="00822CD0" w:rsidP="00822CD0">
      <w:pPr>
        <w:rPr>
          <w:rFonts w:asciiTheme="majorEastAsia" w:eastAsiaTheme="majorEastAsia" w:hAnsiTheme="majorEastAsia"/>
        </w:rPr>
      </w:pPr>
      <w:r w:rsidRPr="00822CD0">
        <w:rPr>
          <w:rFonts w:asciiTheme="majorEastAsia" w:eastAsiaTheme="majorEastAsia" w:hAnsiTheme="majorEastAsia"/>
        </w:rPr>
        <w:t>结论汇总。</w:t>
      </w:r>
    </w:p>
    <w:p w14:paraId="25646490" w14:textId="77777777" w:rsidR="00822CD0" w:rsidRPr="00822CD0" w:rsidRDefault="00822CD0" w:rsidP="00822CD0">
      <w:pPr>
        <w:rPr>
          <w:rFonts w:asciiTheme="majorEastAsia" w:eastAsiaTheme="majorEastAsia" w:hAnsiTheme="majorEastAsia"/>
        </w:rPr>
      </w:pPr>
      <w:r w:rsidRPr="00822CD0">
        <w:rPr>
          <w:rFonts w:asciiTheme="majorEastAsia" w:eastAsiaTheme="majorEastAsia" w:hAnsiTheme="majorEastAsia"/>
        </w:rPr>
        <w:t>FEMTO → COMSOL v5 迁移实验在 N=2、N=3 以及预声明的三层聚合判定中，均同时满足全部三项内部验收标准——相对 matched Scratch 的宏观 RMSE 改善超过 5%、多数 outer fold 胜出、且全面低于 Ridge 与最佳确定性趋势基线。该链路因此被认定为本项目 迁移成功的主证据。N=1 层级虽在改善幅度上达标，但因未全面超越 Ridge，保留为诊断结论，不纳入主证据。</w:t>
      </w:r>
    </w:p>
    <w:p w14:paraId="04EEE9AA" w14:textId="77777777" w:rsidR="00942E59" w:rsidRPr="00942E59" w:rsidRDefault="00942E59" w:rsidP="00942E59">
      <w:pPr>
        <w:pStyle w:val="2"/>
        <w:rPr>
          <w:rFonts w:asciiTheme="majorEastAsia" w:eastAsiaTheme="majorEastAsia" w:hAnsiTheme="majorEastAsia"/>
        </w:rPr>
      </w:pPr>
      <w:r w:rsidRPr="00942E59">
        <w:rPr>
          <w:rFonts w:asciiTheme="majorEastAsia" w:eastAsiaTheme="majorEastAsia" w:hAnsiTheme="majorEastAsia"/>
          <w:b/>
          <w:bCs/>
        </w:rPr>
        <w:t>6.4 逐折结果与稳定性</w:t>
      </w:r>
    </w:p>
    <w:p w14:paraId="5C86C4AC" w14:textId="77777777" w:rsidR="00942E59" w:rsidRPr="00942E59" w:rsidRDefault="00942E59" w:rsidP="00942E59">
      <w:pPr>
        <w:rPr>
          <w:rFonts w:asciiTheme="majorEastAsia" w:eastAsiaTheme="majorEastAsia" w:hAnsiTheme="majorEastAsia"/>
        </w:rPr>
      </w:pPr>
      <w:r w:rsidRPr="00942E59">
        <w:rPr>
          <w:rFonts w:asciiTheme="majorEastAsia" w:eastAsiaTheme="majorEastAsia" w:hAnsiTheme="majorEastAsia"/>
        </w:rPr>
        <w:t>宏观聚合指标虽然能够提供整体迁移效果的定量判断，但无法揭示性能改善在不同测试样本上的分布特征——例如，改善是否集中于某一两个易预测的折次，而其余折次表现平平甚至恶化。为检验迁移增益的稳定性，本节报告 v3 协议喷嘴→FEMTO实验在各outer fold上的逐折明细。</w:t>
      </w:r>
    </w:p>
    <w:p w14:paraId="3933D0E1" w14:textId="0D195DC2" w:rsidR="00942E59" w:rsidRPr="00942E59" w:rsidRDefault="00942E59" w:rsidP="00942E59">
      <w:pPr>
        <w:rPr>
          <w:rFonts w:asciiTheme="majorEastAsia" w:eastAsiaTheme="majorEastAsia" w:hAnsiTheme="majorEastAsia"/>
        </w:rPr>
      </w:pPr>
      <w:r w:rsidRPr="00942E59">
        <w:rPr>
          <w:rFonts w:asciiTheme="majorEastAsia" w:eastAsiaTheme="majorEastAsia" w:hAnsiTheme="majorEastAsia"/>
        </w:rPr>
        <w:t>表17</w:t>
      </w:r>
      <w:r>
        <w:rPr>
          <w:rFonts w:asciiTheme="majorEastAsia" w:eastAsiaTheme="majorEastAsia" w:hAnsiTheme="majorEastAsia" w:hint="eastAsia"/>
        </w:rPr>
        <w:t xml:space="preserve"> </w:t>
      </w:r>
      <w:r w:rsidRPr="00942E59">
        <w:rPr>
          <w:rFonts w:asciiTheme="majorEastAsia" w:eastAsiaTheme="majorEastAsia" w:hAnsiTheme="majorEastAsia"/>
        </w:rPr>
        <w:t>喷嘴→FEMTO v3逐折预测误差明细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
        <w:gridCol w:w="1530"/>
        <w:gridCol w:w="1845"/>
        <w:gridCol w:w="1740"/>
        <w:gridCol w:w="900"/>
      </w:tblGrid>
      <w:tr w:rsidR="00942E59" w:rsidRPr="00942E59" w14:paraId="33CAAD3F" w14:textId="77777777" w:rsidTr="00EE2A2C">
        <w:trPr>
          <w:trHeight w:val="272"/>
          <w:tblHeader/>
          <w:jc w:val="center"/>
        </w:trPr>
        <w:tc>
          <w:tcPr>
            <w:tcW w:w="0" w:type="auto"/>
            <w:tcMar>
              <w:top w:w="150" w:type="dxa"/>
              <w:left w:w="0" w:type="dxa"/>
              <w:bottom w:w="150" w:type="dxa"/>
              <w:right w:w="240" w:type="dxa"/>
            </w:tcMar>
            <w:vAlign w:val="center"/>
            <w:hideMark/>
          </w:tcPr>
          <w:p w14:paraId="13E10BC7"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N</w:t>
            </w:r>
          </w:p>
        </w:tc>
        <w:tc>
          <w:tcPr>
            <w:tcW w:w="0" w:type="auto"/>
            <w:tcMar>
              <w:top w:w="150" w:type="dxa"/>
              <w:left w:w="240" w:type="dxa"/>
              <w:bottom w:w="150" w:type="dxa"/>
              <w:right w:w="240" w:type="dxa"/>
            </w:tcMar>
            <w:vAlign w:val="center"/>
            <w:hideMark/>
          </w:tcPr>
          <w:p w14:paraId="3B8D8212"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Holdout</w:t>
            </w:r>
          </w:p>
        </w:tc>
        <w:tc>
          <w:tcPr>
            <w:tcW w:w="0" w:type="auto"/>
            <w:tcMar>
              <w:top w:w="150" w:type="dxa"/>
              <w:left w:w="240" w:type="dxa"/>
              <w:bottom w:w="150" w:type="dxa"/>
              <w:right w:w="240" w:type="dxa"/>
            </w:tcMar>
            <w:vAlign w:val="center"/>
            <w:hideMark/>
          </w:tcPr>
          <w:p w14:paraId="3EC3CFE5"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Transfer RMSE</w:t>
            </w:r>
          </w:p>
        </w:tc>
        <w:tc>
          <w:tcPr>
            <w:tcW w:w="0" w:type="auto"/>
            <w:tcMar>
              <w:top w:w="150" w:type="dxa"/>
              <w:left w:w="240" w:type="dxa"/>
              <w:bottom w:w="150" w:type="dxa"/>
              <w:right w:w="240" w:type="dxa"/>
            </w:tcMar>
            <w:vAlign w:val="center"/>
            <w:hideMark/>
          </w:tcPr>
          <w:p w14:paraId="790B587C"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Scratch RMSE</w:t>
            </w:r>
          </w:p>
        </w:tc>
        <w:tc>
          <w:tcPr>
            <w:tcW w:w="0" w:type="auto"/>
            <w:tcMar>
              <w:top w:w="150" w:type="dxa"/>
              <w:left w:w="240" w:type="dxa"/>
              <w:bottom w:w="150" w:type="dxa"/>
              <w:right w:w="240" w:type="dxa"/>
            </w:tcMar>
            <w:vAlign w:val="center"/>
            <w:hideMark/>
          </w:tcPr>
          <w:p w14:paraId="434E7426"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胜出</w:t>
            </w:r>
          </w:p>
        </w:tc>
      </w:tr>
      <w:tr w:rsidR="00942E59" w:rsidRPr="00942E59" w14:paraId="62AF2891" w14:textId="77777777" w:rsidTr="00EE2A2C">
        <w:trPr>
          <w:trHeight w:val="272"/>
          <w:jc w:val="center"/>
        </w:trPr>
        <w:tc>
          <w:tcPr>
            <w:tcW w:w="0" w:type="auto"/>
            <w:tcMar>
              <w:top w:w="150" w:type="dxa"/>
              <w:left w:w="0" w:type="dxa"/>
              <w:bottom w:w="150" w:type="dxa"/>
              <w:right w:w="240" w:type="dxa"/>
            </w:tcMar>
            <w:vAlign w:val="center"/>
            <w:hideMark/>
          </w:tcPr>
          <w:p w14:paraId="016522C1"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w:t>
            </w:r>
          </w:p>
        </w:tc>
        <w:tc>
          <w:tcPr>
            <w:tcW w:w="0" w:type="auto"/>
            <w:tcMar>
              <w:top w:w="150" w:type="dxa"/>
              <w:left w:w="240" w:type="dxa"/>
              <w:bottom w:w="150" w:type="dxa"/>
              <w:right w:w="240" w:type="dxa"/>
            </w:tcMar>
            <w:vAlign w:val="center"/>
            <w:hideMark/>
          </w:tcPr>
          <w:p w14:paraId="1FF309ED"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Bearing1_1</w:t>
            </w:r>
          </w:p>
        </w:tc>
        <w:tc>
          <w:tcPr>
            <w:tcW w:w="0" w:type="auto"/>
            <w:tcMar>
              <w:top w:w="150" w:type="dxa"/>
              <w:left w:w="240" w:type="dxa"/>
              <w:bottom w:w="150" w:type="dxa"/>
              <w:right w:w="240" w:type="dxa"/>
            </w:tcMar>
            <w:vAlign w:val="center"/>
            <w:hideMark/>
          </w:tcPr>
          <w:p w14:paraId="49D08B56"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858.69</w:t>
            </w:r>
          </w:p>
        </w:tc>
        <w:tc>
          <w:tcPr>
            <w:tcW w:w="0" w:type="auto"/>
            <w:tcMar>
              <w:top w:w="150" w:type="dxa"/>
              <w:left w:w="240" w:type="dxa"/>
              <w:bottom w:w="150" w:type="dxa"/>
              <w:right w:w="240" w:type="dxa"/>
            </w:tcMar>
            <w:vAlign w:val="center"/>
            <w:hideMark/>
          </w:tcPr>
          <w:p w14:paraId="607E3719"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894.61</w:t>
            </w:r>
          </w:p>
        </w:tc>
        <w:tc>
          <w:tcPr>
            <w:tcW w:w="0" w:type="auto"/>
            <w:tcMar>
              <w:top w:w="150" w:type="dxa"/>
              <w:left w:w="240" w:type="dxa"/>
              <w:bottom w:w="150" w:type="dxa"/>
              <w:right w:w="0" w:type="dxa"/>
            </w:tcMar>
            <w:vAlign w:val="center"/>
            <w:hideMark/>
          </w:tcPr>
          <w:p w14:paraId="65149BF0"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是</w:t>
            </w:r>
          </w:p>
        </w:tc>
      </w:tr>
      <w:tr w:rsidR="00942E59" w:rsidRPr="00942E59" w14:paraId="231FBABE" w14:textId="77777777" w:rsidTr="00EE2A2C">
        <w:trPr>
          <w:trHeight w:val="272"/>
          <w:jc w:val="center"/>
        </w:trPr>
        <w:tc>
          <w:tcPr>
            <w:tcW w:w="0" w:type="auto"/>
            <w:tcMar>
              <w:top w:w="150" w:type="dxa"/>
              <w:left w:w="0" w:type="dxa"/>
              <w:bottom w:w="150" w:type="dxa"/>
              <w:right w:w="240" w:type="dxa"/>
            </w:tcMar>
            <w:vAlign w:val="center"/>
            <w:hideMark/>
          </w:tcPr>
          <w:p w14:paraId="74B42F78"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w:t>
            </w:r>
          </w:p>
        </w:tc>
        <w:tc>
          <w:tcPr>
            <w:tcW w:w="0" w:type="auto"/>
            <w:tcMar>
              <w:top w:w="150" w:type="dxa"/>
              <w:left w:w="240" w:type="dxa"/>
              <w:bottom w:w="150" w:type="dxa"/>
              <w:right w:w="240" w:type="dxa"/>
            </w:tcMar>
            <w:vAlign w:val="center"/>
            <w:hideMark/>
          </w:tcPr>
          <w:p w14:paraId="3F8E04E8"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Bearing1_2</w:t>
            </w:r>
          </w:p>
        </w:tc>
        <w:tc>
          <w:tcPr>
            <w:tcW w:w="0" w:type="auto"/>
            <w:tcMar>
              <w:top w:w="150" w:type="dxa"/>
              <w:left w:w="240" w:type="dxa"/>
              <w:bottom w:w="150" w:type="dxa"/>
              <w:right w:w="240" w:type="dxa"/>
            </w:tcMar>
            <w:vAlign w:val="center"/>
            <w:hideMark/>
          </w:tcPr>
          <w:p w14:paraId="465F0AED"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1038.40</w:t>
            </w:r>
          </w:p>
        </w:tc>
        <w:tc>
          <w:tcPr>
            <w:tcW w:w="0" w:type="auto"/>
            <w:tcMar>
              <w:top w:w="150" w:type="dxa"/>
              <w:left w:w="240" w:type="dxa"/>
              <w:bottom w:w="150" w:type="dxa"/>
              <w:right w:w="240" w:type="dxa"/>
            </w:tcMar>
            <w:vAlign w:val="center"/>
            <w:hideMark/>
          </w:tcPr>
          <w:p w14:paraId="47330D59"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1080.18</w:t>
            </w:r>
          </w:p>
        </w:tc>
        <w:tc>
          <w:tcPr>
            <w:tcW w:w="0" w:type="auto"/>
            <w:tcMar>
              <w:top w:w="150" w:type="dxa"/>
              <w:left w:w="240" w:type="dxa"/>
              <w:bottom w:w="150" w:type="dxa"/>
              <w:right w:w="0" w:type="dxa"/>
            </w:tcMar>
            <w:vAlign w:val="center"/>
            <w:hideMark/>
          </w:tcPr>
          <w:p w14:paraId="0C93F4B7"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是</w:t>
            </w:r>
          </w:p>
        </w:tc>
      </w:tr>
      <w:tr w:rsidR="00942E59" w:rsidRPr="00942E59" w14:paraId="5074E82C" w14:textId="77777777" w:rsidTr="00EE2A2C">
        <w:trPr>
          <w:trHeight w:val="272"/>
          <w:jc w:val="center"/>
        </w:trPr>
        <w:tc>
          <w:tcPr>
            <w:tcW w:w="0" w:type="auto"/>
            <w:tcMar>
              <w:top w:w="150" w:type="dxa"/>
              <w:left w:w="0" w:type="dxa"/>
              <w:bottom w:w="150" w:type="dxa"/>
              <w:right w:w="240" w:type="dxa"/>
            </w:tcMar>
            <w:vAlign w:val="center"/>
            <w:hideMark/>
          </w:tcPr>
          <w:p w14:paraId="134BCF96"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w:t>
            </w:r>
          </w:p>
        </w:tc>
        <w:tc>
          <w:tcPr>
            <w:tcW w:w="0" w:type="auto"/>
            <w:tcMar>
              <w:top w:w="150" w:type="dxa"/>
              <w:left w:w="240" w:type="dxa"/>
              <w:bottom w:w="150" w:type="dxa"/>
              <w:right w:w="240" w:type="dxa"/>
            </w:tcMar>
            <w:vAlign w:val="center"/>
            <w:hideMark/>
          </w:tcPr>
          <w:p w14:paraId="5E6768AF"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Bearing2_1</w:t>
            </w:r>
          </w:p>
        </w:tc>
        <w:tc>
          <w:tcPr>
            <w:tcW w:w="0" w:type="auto"/>
            <w:tcMar>
              <w:top w:w="150" w:type="dxa"/>
              <w:left w:w="240" w:type="dxa"/>
              <w:bottom w:w="150" w:type="dxa"/>
              <w:right w:w="240" w:type="dxa"/>
            </w:tcMar>
            <w:vAlign w:val="center"/>
            <w:hideMark/>
          </w:tcPr>
          <w:p w14:paraId="4027EE72"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589.57</w:t>
            </w:r>
          </w:p>
        </w:tc>
        <w:tc>
          <w:tcPr>
            <w:tcW w:w="0" w:type="auto"/>
            <w:tcMar>
              <w:top w:w="150" w:type="dxa"/>
              <w:left w:w="240" w:type="dxa"/>
              <w:bottom w:w="150" w:type="dxa"/>
              <w:right w:w="240" w:type="dxa"/>
            </w:tcMar>
            <w:vAlign w:val="center"/>
            <w:hideMark/>
          </w:tcPr>
          <w:p w14:paraId="56F36254"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816.61</w:t>
            </w:r>
          </w:p>
        </w:tc>
        <w:tc>
          <w:tcPr>
            <w:tcW w:w="0" w:type="auto"/>
            <w:tcMar>
              <w:top w:w="150" w:type="dxa"/>
              <w:left w:w="240" w:type="dxa"/>
              <w:bottom w:w="150" w:type="dxa"/>
              <w:right w:w="0" w:type="dxa"/>
            </w:tcMar>
            <w:vAlign w:val="center"/>
            <w:hideMark/>
          </w:tcPr>
          <w:p w14:paraId="52102554"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是</w:t>
            </w:r>
          </w:p>
        </w:tc>
      </w:tr>
      <w:tr w:rsidR="00942E59" w:rsidRPr="00942E59" w14:paraId="56FE4830" w14:textId="77777777" w:rsidTr="00EE2A2C">
        <w:trPr>
          <w:trHeight w:val="272"/>
          <w:jc w:val="center"/>
        </w:trPr>
        <w:tc>
          <w:tcPr>
            <w:tcW w:w="0" w:type="auto"/>
            <w:tcMar>
              <w:top w:w="150" w:type="dxa"/>
              <w:left w:w="0" w:type="dxa"/>
              <w:bottom w:w="150" w:type="dxa"/>
              <w:right w:w="240" w:type="dxa"/>
            </w:tcMar>
            <w:vAlign w:val="center"/>
            <w:hideMark/>
          </w:tcPr>
          <w:p w14:paraId="2FFBC5F7"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w:t>
            </w:r>
          </w:p>
        </w:tc>
        <w:tc>
          <w:tcPr>
            <w:tcW w:w="0" w:type="auto"/>
            <w:tcMar>
              <w:top w:w="150" w:type="dxa"/>
              <w:left w:w="240" w:type="dxa"/>
              <w:bottom w:w="150" w:type="dxa"/>
              <w:right w:w="240" w:type="dxa"/>
            </w:tcMar>
            <w:vAlign w:val="center"/>
            <w:hideMark/>
          </w:tcPr>
          <w:p w14:paraId="68E6505F"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Bearing2_2</w:t>
            </w:r>
          </w:p>
        </w:tc>
        <w:tc>
          <w:tcPr>
            <w:tcW w:w="0" w:type="auto"/>
            <w:tcMar>
              <w:top w:w="150" w:type="dxa"/>
              <w:left w:w="240" w:type="dxa"/>
              <w:bottom w:w="150" w:type="dxa"/>
              <w:right w:w="240" w:type="dxa"/>
            </w:tcMar>
            <w:vAlign w:val="center"/>
            <w:hideMark/>
          </w:tcPr>
          <w:p w14:paraId="66A63CD4"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957.35</w:t>
            </w:r>
          </w:p>
        </w:tc>
        <w:tc>
          <w:tcPr>
            <w:tcW w:w="0" w:type="auto"/>
            <w:tcMar>
              <w:top w:w="150" w:type="dxa"/>
              <w:left w:w="240" w:type="dxa"/>
              <w:bottom w:w="150" w:type="dxa"/>
              <w:right w:w="240" w:type="dxa"/>
            </w:tcMar>
            <w:vAlign w:val="center"/>
            <w:hideMark/>
          </w:tcPr>
          <w:p w14:paraId="12787593"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1276.58</w:t>
            </w:r>
          </w:p>
        </w:tc>
        <w:tc>
          <w:tcPr>
            <w:tcW w:w="0" w:type="auto"/>
            <w:tcMar>
              <w:top w:w="150" w:type="dxa"/>
              <w:left w:w="240" w:type="dxa"/>
              <w:bottom w:w="150" w:type="dxa"/>
              <w:right w:w="0" w:type="dxa"/>
            </w:tcMar>
            <w:vAlign w:val="center"/>
            <w:hideMark/>
          </w:tcPr>
          <w:p w14:paraId="324332BD"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是</w:t>
            </w:r>
          </w:p>
        </w:tc>
      </w:tr>
      <w:tr w:rsidR="00942E59" w:rsidRPr="00942E59" w14:paraId="738EBDA6" w14:textId="77777777" w:rsidTr="00EE2A2C">
        <w:trPr>
          <w:trHeight w:val="272"/>
          <w:jc w:val="center"/>
        </w:trPr>
        <w:tc>
          <w:tcPr>
            <w:tcW w:w="0" w:type="auto"/>
            <w:tcMar>
              <w:top w:w="150" w:type="dxa"/>
              <w:left w:w="0" w:type="dxa"/>
              <w:bottom w:w="150" w:type="dxa"/>
              <w:right w:w="240" w:type="dxa"/>
            </w:tcMar>
            <w:vAlign w:val="center"/>
            <w:hideMark/>
          </w:tcPr>
          <w:p w14:paraId="742436DF"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w:t>
            </w:r>
          </w:p>
        </w:tc>
        <w:tc>
          <w:tcPr>
            <w:tcW w:w="0" w:type="auto"/>
            <w:tcMar>
              <w:top w:w="150" w:type="dxa"/>
              <w:left w:w="240" w:type="dxa"/>
              <w:bottom w:w="150" w:type="dxa"/>
              <w:right w:w="240" w:type="dxa"/>
            </w:tcMar>
            <w:vAlign w:val="center"/>
            <w:hideMark/>
          </w:tcPr>
          <w:p w14:paraId="2C59F642"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Bearing3_1</w:t>
            </w:r>
          </w:p>
        </w:tc>
        <w:tc>
          <w:tcPr>
            <w:tcW w:w="0" w:type="auto"/>
            <w:tcMar>
              <w:top w:w="150" w:type="dxa"/>
              <w:left w:w="240" w:type="dxa"/>
              <w:bottom w:w="150" w:type="dxa"/>
              <w:right w:w="240" w:type="dxa"/>
            </w:tcMar>
            <w:vAlign w:val="center"/>
            <w:hideMark/>
          </w:tcPr>
          <w:p w14:paraId="12491586"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1036.80</w:t>
            </w:r>
          </w:p>
        </w:tc>
        <w:tc>
          <w:tcPr>
            <w:tcW w:w="0" w:type="auto"/>
            <w:tcMar>
              <w:top w:w="150" w:type="dxa"/>
              <w:left w:w="240" w:type="dxa"/>
              <w:bottom w:w="150" w:type="dxa"/>
              <w:right w:w="240" w:type="dxa"/>
            </w:tcMar>
            <w:vAlign w:val="center"/>
            <w:hideMark/>
          </w:tcPr>
          <w:p w14:paraId="18CB7D77"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1027.87</w:t>
            </w:r>
          </w:p>
        </w:tc>
        <w:tc>
          <w:tcPr>
            <w:tcW w:w="0" w:type="auto"/>
            <w:tcMar>
              <w:top w:w="150" w:type="dxa"/>
              <w:left w:w="240" w:type="dxa"/>
              <w:bottom w:w="150" w:type="dxa"/>
              <w:right w:w="0" w:type="dxa"/>
            </w:tcMar>
            <w:vAlign w:val="center"/>
            <w:hideMark/>
          </w:tcPr>
          <w:p w14:paraId="5198F228"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否</w:t>
            </w:r>
          </w:p>
        </w:tc>
      </w:tr>
      <w:tr w:rsidR="00942E59" w:rsidRPr="00942E59" w14:paraId="5E94A108" w14:textId="77777777" w:rsidTr="00EE2A2C">
        <w:trPr>
          <w:trHeight w:val="272"/>
          <w:jc w:val="center"/>
        </w:trPr>
        <w:tc>
          <w:tcPr>
            <w:tcW w:w="0" w:type="auto"/>
            <w:tcMar>
              <w:top w:w="150" w:type="dxa"/>
              <w:left w:w="0" w:type="dxa"/>
              <w:bottom w:w="150" w:type="dxa"/>
              <w:right w:w="240" w:type="dxa"/>
            </w:tcMar>
            <w:vAlign w:val="center"/>
            <w:hideMark/>
          </w:tcPr>
          <w:p w14:paraId="460E7055"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w:t>
            </w:r>
          </w:p>
        </w:tc>
        <w:tc>
          <w:tcPr>
            <w:tcW w:w="0" w:type="auto"/>
            <w:tcMar>
              <w:top w:w="150" w:type="dxa"/>
              <w:left w:w="240" w:type="dxa"/>
              <w:bottom w:w="150" w:type="dxa"/>
              <w:right w:w="240" w:type="dxa"/>
            </w:tcMar>
            <w:vAlign w:val="center"/>
            <w:hideMark/>
          </w:tcPr>
          <w:p w14:paraId="32F83D6E"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Bearing3_2</w:t>
            </w:r>
          </w:p>
        </w:tc>
        <w:tc>
          <w:tcPr>
            <w:tcW w:w="0" w:type="auto"/>
            <w:tcMar>
              <w:top w:w="150" w:type="dxa"/>
              <w:left w:w="240" w:type="dxa"/>
              <w:bottom w:w="150" w:type="dxa"/>
              <w:right w:w="240" w:type="dxa"/>
            </w:tcMar>
            <w:vAlign w:val="center"/>
            <w:hideMark/>
          </w:tcPr>
          <w:p w14:paraId="7859628D"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821.31</w:t>
            </w:r>
          </w:p>
        </w:tc>
        <w:tc>
          <w:tcPr>
            <w:tcW w:w="0" w:type="auto"/>
            <w:tcMar>
              <w:top w:w="150" w:type="dxa"/>
              <w:left w:w="240" w:type="dxa"/>
              <w:bottom w:w="150" w:type="dxa"/>
              <w:right w:w="240" w:type="dxa"/>
            </w:tcMar>
            <w:vAlign w:val="center"/>
            <w:hideMark/>
          </w:tcPr>
          <w:p w14:paraId="1826A0E7"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836.33</w:t>
            </w:r>
          </w:p>
        </w:tc>
        <w:tc>
          <w:tcPr>
            <w:tcW w:w="0" w:type="auto"/>
            <w:tcMar>
              <w:top w:w="150" w:type="dxa"/>
              <w:left w:w="240" w:type="dxa"/>
              <w:bottom w:w="150" w:type="dxa"/>
              <w:right w:w="0" w:type="dxa"/>
            </w:tcMar>
            <w:vAlign w:val="center"/>
            <w:hideMark/>
          </w:tcPr>
          <w:p w14:paraId="1CF78421"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是</w:t>
            </w:r>
          </w:p>
        </w:tc>
      </w:tr>
      <w:tr w:rsidR="00942E59" w:rsidRPr="00942E59" w14:paraId="43098478" w14:textId="77777777" w:rsidTr="00EE2A2C">
        <w:trPr>
          <w:trHeight w:val="272"/>
          <w:jc w:val="center"/>
        </w:trPr>
        <w:tc>
          <w:tcPr>
            <w:tcW w:w="0" w:type="auto"/>
            <w:tcMar>
              <w:top w:w="150" w:type="dxa"/>
              <w:left w:w="0" w:type="dxa"/>
              <w:bottom w:w="150" w:type="dxa"/>
              <w:right w:w="240" w:type="dxa"/>
            </w:tcMar>
            <w:vAlign w:val="center"/>
            <w:hideMark/>
          </w:tcPr>
          <w:p w14:paraId="06F28ED8"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2</w:t>
            </w:r>
          </w:p>
        </w:tc>
        <w:tc>
          <w:tcPr>
            <w:tcW w:w="0" w:type="auto"/>
            <w:tcMar>
              <w:top w:w="150" w:type="dxa"/>
              <w:left w:w="240" w:type="dxa"/>
              <w:bottom w:w="150" w:type="dxa"/>
              <w:right w:w="240" w:type="dxa"/>
            </w:tcMar>
            <w:vAlign w:val="center"/>
            <w:hideMark/>
          </w:tcPr>
          <w:p w14:paraId="225EAD44"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Bearing1_1</w:t>
            </w:r>
          </w:p>
        </w:tc>
        <w:tc>
          <w:tcPr>
            <w:tcW w:w="0" w:type="auto"/>
            <w:tcMar>
              <w:top w:w="150" w:type="dxa"/>
              <w:left w:w="240" w:type="dxa"/>
              <w:bottom w:w="150" w:type="dxa"/>
              <w:right w:w="240" w:type="dxa"/>
            </w:tcMar>
            <w:vAlign w:val="center"/>
            <w:hideMark/>
          </w:tcPr>
          <w:p w14:paraId="2529D768"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856.33</w:t>
            </w:r>
          </w:p>
        </w:tc>
        <w:tc>
          <w:tcPr>
            <w:tcW w:w="0" w:type="auto"/>
            <w:tcMar>
              <w:top w:w="150" w:type="dxa"/>
              <w:left w:w="240" w:type="dxa"/>
              <w:bottom w:w="150" w:type="dxa"/>
              <w:right w:w="240" w:type="dxa"/>
            </w:tcMar>
            <w:vAlign w:val="center"/>
            <w:hideMark/>
          </w:tcPr>
          <w:p w14:paraId="5139721E"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902.13</w:t>
            </w:r>
          </w:p>
        </w:tc>
        <w:tc>
          <w:tcPr>
            <w:tcW w:w="0" w:type="auto"/>
            <w:tcMar>
              <w:top w:w="150" w:type="dxa"/>
              <w:left w:w="240" w:type="dxa"/>
              <w:bottom w:w="150" w:type="dxa"/>
              <w:right w:w="0" w:type="dxa"/>
            </w:tcMar>
            <w:vAlign w:val="center"/>
            <w:hideMark/>
          </w:tcPr>
          <w:p w14:paraId="23DBD1BA"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是</w:t>
            </w:r>
          </w:p>
        </w:tc>
      </w:tr>
      <w:tr w:rsidR="00942E59" w:rsidRPr="00942E59" w14:paraId="63D45245" w14:textId="77777777" w:rsidTr="00EE2A2C">
        <w:trPr>
          <w:trHeight w:val="272"/>
          <w:jc w:val="center"/>
        </w:trPr>
        <w:tc>
          <w:tcPr>
            <w:tcW w:w="0" w:type="auto"/>
            <w:tcMar>
              <w:top w:w="150" w:type="dxa"/>
              <w:left w:w="0" w:type="dxa"/>
              <w:bottom w:w="150" w:type="dxa"/>
              <w:right w:w="240" w:type="dxa"/>
            </w:tcMar>
            <w:vAlign w:val="center"/>
            <w:hideMark/>
          </w:tcPr>
          <w:p w14:paraId="5F2BB666"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lastRenderedPageBreak/>
              <w:t>2</w:t>
            </w:r>
          </w:p>
        </w:tc>
        <w:tc>
          <w:tcPr>
            <w:tcW w:w="0" w:type="auto"/>
            <w:tcMar>
              <w:top w:w="150" w:type="dxa"/>
              <w:left w:w="240" w:type="dxa"/>
              <w:bottom w:w="150" w:type="dxa"/>
              <w:right w:w="240" w:type="dxa"/>
            </w:tcMar>
            <w:vAlign w:val="center"/>
            <w:hideMark/>
          </w:tcPr>
          <w:p w14:paraId="2B0159D9"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Bearing1_2</w:t>
            </w:r>
          </w:p>
        </w:tc>
        <w:tc>
          <w:tcPr>
            <w:tcW w:w="0" w:type="auto"/>
            <w:tcMar>
              <w:top w:w="150" w:type="dxa"/>
              <w:left w:w="240" w:type="dxa"/>
              <w:bottom w:w="150" w:type="dxa"/>
              <w:right w:w="240" w:type="dxa"/>
            </w:tcMar>
            <w:vAlign w:val="center"/>
            <w:hideMark/>
          </w:tcPr>
          <w:p w14:paraId="6DE097CC"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505.85</w:t>
            </w:r>
          </w:p>
        </w:tc>
        <w:tc>
          <w:tcPr>
            <w:tcW w:w="0" w:type="auto"/>
            <w:tcMar>
              <w:top w:w="150" w:type="dxa"/>
              <w:left w:w="240" w:type="dxa"/>
              <w:bottom w:w="150" w:type="dxa"/>
              <w:right w:w="240" w:type="dxa"/>
            </w:tcMar>
            <w:vAlign w:val="center"/>
            <w:hideMark/>
          </w:tcPr>
          <w:p w14:paraId="5C2C4F44"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506.36</w:t>
            </w:r>
          </w:p>
        </w:tc>
        <w:tc>
          <w:tcPr>
            <w:tcW w:w="0" w:type="auto"/>
            <w:tcMar>
              <w:top w:w="150" w:type="dxa"/>
              <w:left w:w="240" w:type="dxa"/>
              <w:bottom w:w="150" w:type="dxa"/>
              <w:right w:w="0" w:type="dxa"/>
            </w:tcMar>
            <w:vAlign w:val="center"/>
            <w:hideMark/>
          </w:tcPr>
          <w:p w14:paraId="2AE9BBBF"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是</w:t>
            </w:r>
          </w:p>
        </w:tc>
      </w:tr>
      <w:tr w:rsidR="00942E59" w:rsidRPr="00942E59" w14:paraId="7FA268A6" w14:textId="77777777" w:rsidTr="00EE2A2C">
        <w:trPr>
          <w:trHeight w:val="272"/>
          <w:jc w:val="center"/>
        </w:trPr>
        <w:tc>
          <w:tcPr>
            <w:tcW w:w="0" w:type="auto"/>
            <w:tcMar>
              <w:top w:w="150" w:type="dxa"/>
              <w:left w:w="0" w:type="dxa"/>
              <w:bottom w:w="150" w:type="dxa"/>
              <w:right w:w="240" w:type="dxa"/>
            </w:tcMar>
            <w:vAlign w:val="center"/>
            <w:hideMark/>
          </w:tcPr>
          <w:p w14:paraId="636510A2"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2</w:t>
            </w:r>
          </w:p>
        </w:tc>
        <w:tc>
          <w:tcPr>
            <w:tcW w:w="0" w:type="auto"/>
            <w:tcMar>
              <w:top w:w="150" w:type="dxa"/>
              <w:left w:w="240" w:type="dxa"/>
              <w:bottom w:w="150" w:type="dxa"/>
              <w:right w:w="240" w:type="dxa"/>
            </w:tcMar>
            <w:vAlign w:val="center"/>
            <w:hideMark/>
          </w:tcPr>
          <w:p w14:paraId="373C0273"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Bearing2_1</w:t>
            </w:r>
          </w:p>
        </w:tc>
        <w:tc>
          <w:tcPr>
            <w:tcW w:w="0" w:type="auto"/>
            <w:tcMar>
              <w:top w:w="150" w:type="dxa"/>
              <w:left w:w="240" w:type="dxa"/>
              <w:bottom w:w="150" w:type="dxa"/>
              <w:right w:w="240" w:type="dxa"/>
            </w:tcMar>
            <w:vAlign w:val="center"/>
            <w:hideMark/>
          </w:tcPr>
          <w:p w14:paraId="1436C953"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750.87</w:t>
            </w:r>
          </w:p>
        </w:tc>
        <w:tc>
          <w:tcPr>
            <w:tcW w:w="0" w:type="auto"/>
            <w:tcMar>
              <w:top w:w="150" w:type="dxa"/>
              <w:left w:w="240" w:type="dxa"/>
              <w:bottom w:w="150" w:type="dxa"/>
              <w:right w:w="240" w:type="dxa"/>
            </w:tcMar>
            <w:vAlign w:val="center"/>
            <w:hideMark/>
          </w:tcPr>
          <w:p w14:paraId="14D63CF0"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1056.35</w:t>
            </w:r>
          </w:p>
        </w:tc>
        <w:tc>
          <w:tcPr>
            <w:tcW w:w="0" w:type="auto"/>
            <w:tcMar>
              <w:top w:w="150" w:type="dxa"/>
              <w:left w:w="240" w:type="dxa"/>
              <w:bottom w:w="150" w:type="dxa"/>
              <w:right w:w="0" w:type="dxa"/>
            </w:tcMar>
            <w:vAlign w:val="center"/>
            <w:hideMark/>
          </w:tcPr>
          <w:p w14:paraId="79EC771C"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是</w:t>
            </w:r>
          </w:p>
        </w:tc>
      </w:tr>
      <w:tr w:rsidR="00942E59" w:rsidRPr="00942E59" w14:paraId="2AF34443" w14:textId="77777777" w:rsidTr="00EE2A2C">
        <w:trPr>
          <w:trHeight w:val="272"/>
          <w:jc w:val="center"/>
        </w:trPr>
        <w:tc>
          <w:tcPr>
            <w:tcW w:w="0" w:type="auto"/>
            <w:tcMar>
              <w:top w:w="150" w:type="dxa"/>
              <w:left w:w="0" w:type="dxa"/>
              <w:bottom w:w="150" w:type="dxa"/>
              <w:right w:w="240" w:type="dxa"/>
            </w:tcMar>
            <w:vAlign w:val="center"/>
            <w:hideMark/>
          </w:tcPr>
          <w:p w14:paraId="1495B5B3"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2</w:t>
            </w:r>
          </w:p>
        </w:tc>
        <w:tc>
          <w:tcPr>
            <w:tcW w:w="0" w:type="auto"/>
            <w:tcMar>
              <w:top w:w="150" w:type="dxa"/>
              <w:left w:w="240" w:type="dxa"/>
              <w:bottom w:w="150" w:type="dxa"/>
              <w:right w:w="240" w:type="dxa"/>
            </w:tcMar>
            <w:vAlign w:val="center"/>
            <w:hideMark/>
          </w:tcPr>
          <w:p w14:paraId="4E683E36"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Bearing2_2</w:t>
            </w:r>
          </w:p>
        </w:tc>
        <w:tc>
          <w:tcPr>
            <w:tcW w:w="0" w:type="auto"/>
            <w:tcMar>
              <w:top w:w="150" w:type="dxa"/>
              <w:left w:w="240" w:type="dxa"/>
              <w:bottom w:w="150" w:type="dxa"/>
              <w:right w:w="240" w:type="dxa"/>
            </w:tcMar>
            <w:vAlign w:val="center"/>
            <w:hideMark/>
          </w:tcPr>
          <w:p w14:paraId="10278193"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871.77</w:t>
            </w:r>
          </w:p>
        </w:tc>
        <w:tc>
          <w:tcPr>
            <w:tcW w:w="0" w:type="auto"/>
            <w:tcMar>
              <w:top w:w="150" w:type="dxa"/>
              <w:left w:w="240" w:type="dxa"/>
              <w:bottom w:w="150" w:type="dxa"/>
              <w:right w:w="240" w:type="dxa"/>
            </w:tcMar>
            <w:vAlign w:val="center"/>
            <w:hideMark/>
          </w:tcPr>
          <w:p w14:paraId="56A2A3B7"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952.67</w:t>
            </w:r>
          </w:p>
        </w:tc>
        <w:tc>
          <w:tcPr>
            <w:tcW w:w="0" w:type="auto"/>
            <w:tcMar>
              <w:top w:w="150" w:type="dxa"/>
              <w:left w:w="240" w:type="dxa"/>
              <w:bottom w:w="150" w:type="dxa"/>
              <w:right w:w="0" w:type="dxa"/>
            </w:tcMar>
            <w:vAlign w:val="center"/>
            <w:hideMark/>
          </w:tcPr>
          <w:p w14:paraId="386F8FFA"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是</w:t>
            </w:r>
          </w:p>
        </w:tc>
      </w:tr>
      <w:tr w:rsidR="00942E59" w:rsidRPr="00942E59" w14:paraId="3000F4FD" w14:textId="77777777" w:rsidTr="00EE2A2C">
        <w:trPr>
          <w:trHeight w:val="272"/>
          <w:jc w:val="center"/>
        </w:trPr>
        <w:tc>
          <w:tcPr>
            <w:tcW w:w="0" w:type="auto"/>
            <w:tcMar>
              <w:top w:w="150" w:type="dxa"/>
              <w:left w:w="0" w:type="dxa"/>
              <w:bottom w:w="150" w:type="dxa"/>
              <w:right w:w="240" w:type="dxa"/>
            </w:tcMar>
            <w:vAlign w:val="center"/>
            <w:hideMark/>
          </w:tcPr>
          <w:p w14:paraId="518E7B08"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2</w:t>
            </w:r>
          </w:p>
        </w:tc>
        <w:tc>
          <w:tcPr>
            <w:tcW w:w="0" w:type="auto"/>
            <w:tcMar>
              <w:top w:w="150" w:type="dxa"/>
              <w:left w:w="240" w:type="dxa"/>
              <w:bottom w:w="150" w:type="dxa"/>
              <w:right w:w="240" w:type="dxa"/>
            </w:tcMar>
            <w:vAlign w:val="center"/>
            <w:hideMark/>
          </w:tcPr>
          <w:p w14:paraId="6212C0B0"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Bearing3_1</w:t>
            </w:r>
          </w:p>
        </w:tc>
        <w:tc>
          <w:tcPr>
            <w:tcW w:w="0" w:type="auto"/>
            <w:tcMar>
              <w:top w:w="150" w:type="dxa"/>
              <w:left w:w="240" w:type="dxa"/>
              <w:bottom w:w="150" w:type="dxa"/>
              <w:right w:w="240" w:type="dxa"/>
            </w:tcMar>
            <w:vAlign w:val="center"/>
            <w:hideMark/>
          </w:tcPr>
          <w:p w14:paraId="04771787"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1125.69</w:t>
            </w:r>
          </w:p>
        </w:tc>
        <w:tc>
          <w:tcPr>
            <w:tcW w:w="0" w:type="auto"/>
            <w:tcMar>
              <w:top w:w="150" w:type="dxa"/>
              <w:left w:w="240" w:type="dxa"/>
              <w:bottom w:w="150" w:type="dxa"/>
              <w:right w:w="240" w:type="dxa"/>
            </w:tcMar>
            <w:vAlign w:val="center"/>
            <w:hideMark/>
          </w:tcPr>
          <w:p w14:paraId="67CE459F"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1085.97</w:t>
            </w:r>
          </w:p>
        </w:tc>
        <w:tc>
          <w:tcPr>
            <w:tcW w:w="0" w:type="auto"/>
            <w:tcMar>
              <w:top w:w="150" w:type="dxa"/>
              <w:left w:w="240" w:type="dxa"/>
              <w:bottom w:w="150" w:type="dxa"/>
              <w:right w:w="0" w:type="dxa"/>
            </w:tcMar>
            <w:vAlign w:val="center"/>
            <w:hideMark/>
          </w:tcPr>
          <w:p w14:paraId="6F51CBB6"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否</w:t>
            </w:r>
          </w:p>
        </w:tc>
      </w:tr>
      <w:tr w:rsidR="00942E59" w:rsidRPr="00942E59" w14:paraId="32DD1840" w14:textId="77777777" w:rsidTr="00EE2A2C">
        <w:trPr>
          <w:trHeight w:val="272"/>
          <w:jc w:val="center"/>
        </w:trPr>
        <w:tc>
          <w:tcPr>
            <w:tcW w:w="0" w:type="auto"/>
            <w:tcMar>
              <w:top w:w="150" w:type="dxa"/>
              <w:left w:w="0" w:type="dxa"/>
              <w:bottom w:w="150" w:type="dxa"/>
              <w:right w:w="240" w:type="dxa"/>
            </w:tcMar>
            <w:vAlign w:val="center"/>
            <w:hideMark/>
          </w:tcPr>
          <w:p w14:paraId="2FC348BB"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2</w:t>
            </w:r>
          </w:p>
        </w:tc>
        <w:tc>
          <w:tcPr>
            <w:tcW w:w="0" w:type="auto"/>
            <w:tcMar>
              <w:top w:w="150" w:type="dxa"/>
              <w:left w:w="240" w:type="dxa"/>
              <w:bottom w:w="150" w:type="dxa"/>
              <w:right w:w="240" w:type="dxa"/>
            </w:tcMar>
            <w:vAlign w:val="center"/>
            <w:hideMark/>
          </w:tcPr>
          <w:p w14:paraId="71C9F7F6"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Bearing3_2</w:t>
            </w:r>
          </w:p>
        </w:tc>
        <w:tc>
          <w:tcPr>
            <w:tcW w:w="0" w:type="auto"/>
            <w:tcMar>
              <w:top w:w="150" w:type="dxa"/>
              <w:left w:w="240" w:type="dxa"/>
              <w:bottom w:w="150" w:type="dxa"/>
              <w:right w:w="240" w:type="dxa"/>
            </w:tcMar>
            <w:vAlign w:val="center"/>
            <w:hideMark/>
          </w:tcPr>
          <w:p w14:paraId="6C3A83E3"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498.69</w:t>
            </w:r>
          </w:p>
        </w:tc>
        <w:tc>
          <w:tcPr>
            <w:tcW w:w="0" w:type="auto"/>
            <w:tcMar>
              <w:top w:w="150" w:type="dxa"/>
              <w:left w:w="240" w:type="dxa"/>
              <w:bottom w:w="150" w:type="dxa"/>
              <w:right w:w="240" w:type="dxa"/>
            </w:tcMar>
            <w:vAlign w:val="center"/>
            <w:hideMark/>
          </w:tcPr>
          <w:p w14:paraId="1BE28E7B"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509.27</w:t>
            </w:r>
          </w:p>
        </w:tc>
        <w:tc>
          <w:tcPr>
            <w:tcW w:w="0" w:type="auto"/>
            <w:tcMar>
              <w:top w:w="150" w:type="dxa"/>
              <w:left w:w="240" w:type="dxa"/>
              <w:bottom w:w="150" w:type="dxa"/>
              <w:right w:w="0" w:type="dxa"/>
            </w:tcMar>
            <w:vAlign w:val="center"/>
            <w:hideMark/>
          </w:tcPr>
          <w:p w14:paraId="5D80D7A1"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是</w:t>
            </w:r>
          </w:p>
        </w:tc>
      </w:tr>
      <w:tr w:rsidR="00942E59" w:rsidRPr="00942E59" w14:paraId="098BA37A" w14:textId="77777777" w:rsidTr="00EE2A2C">
        <w:trPr>
          <w:trHeight w:val="272"/>
          <w:jc w:val="center"/>
        </w:trPr>
        <w:tc>
          <w:tcPr>
            <w:tcW w:w="0" w:type="auto"/>
            <w:tcMar>
              <w:top w:w="150" w:type="dxa"/>
              <w:left w:w="0" w:type="dxa"/>
              <w:bottom w:w="150" w:type="dxa"/>
              <w:right w:w="240" w:type="dxa"/>
            </w:tcMar>
            <w:vAlign w:val="center"/>
            <w:hideMark/>
          </w:tcPr>
          <w:p w14:paraId="66F82424"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3</w:t>
            </w:r>
          </w:p>
        </w:tc>
        <w:tc>
          <w:tcPr>
            <w:tcW w:w="0" w:type="auto"/>
            <w:tcMar>
              <w:top w:w="150" w:type="dxa"/>
              <w:left w:w="240" w:type="dxa"/>
              <w:bottom w:w="150" w:type="dxa"/>
              <w:right w:w="240" w:type="dxa"/>
            </w:tcMar>
            <w:vAlign w:val="center"/>
            <w:hideMark/>
          </w:tcPr>
          <w:p w14:paraId="588F7190"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Bearing1_1</w:t>
            </w:r>
          </w:p>
        </w:tc>
        <w:tc>
          <w:tcPr>
            <w:tcW w:w="0" w:type="auto"/>
            <w:tcMar>
              <w:top w:w="150" w:type="dxa"/>
              <w:left w:w="240" w:type="dxa"/>
              <w:bottom w:w="150" w:type="dxa"/>
              <w:right w:w="240" w:type="dxa"/>
            </w:tcMar>
            <w:vAlign w:val="center"/>
            <w:hideMark/>
          </w:tcPr>
          <w:p w14:paraId="12047E27"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984.99</w:t>
            </w:r>
          </w:p>
        </w:tc>
        <w:tc>
          <w:tcPr>
            <w:tcW w:w="0" w:type="auto"/>
            <w:tcMar>
              <w:top w:w="150" w:type="dxa"/>
              <w:left w:w="240" w:type="dxa"/>
              <w:bottom w:w="150" w:type="dxa"/>
              <w:right w:w="240" w:type="dxa"/>
            </w:tcMar>
            <w:vAlign w:val="center"/>
            <w:hideMark/>
          </w:tcPr>
          <w:p w14:paraId="516853AB"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996.63</w:t>
            </w:r>
          </w:p>
        </w:tc>
        <w:tc>
          <w:tcPr>
            <w:tcW w:w="0" w:type="auto"/>
            <w:tcMar>
              <w:top w:w="150" w:type="dxa"/>
              <w:left w:w="240" w:type="dxa"/>
              <w:bottom w:w="150" w:type="dxa"/>
              <w:right w:w="0" w:type="dxa"/>
            </w:tcMar>
            <w:vAlign w:val="center"/>
            <w:hideMark/>
          </w:tcPr>
          <w:p w14:paraId="2A5E9520"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是</w:t>
            </w:r>
          </w:p>
        </w:tc>
      </w:tr>
      <w:tr w:rsidR="00942E59" w:rsidRPr="00942E59" w14:paraId="14B291BD" w14:textId="77777777" w:rsidTr="00EE2A2C">
        <w:trPr>
          <w:trHeight w:val="272"/>
          <w:jc w:val="center"/>
        </w:trPr>
        <w:tc>
          <w:tcPr>
            <w:tcW w:w="0" w:type="auto"/>
            <w:tcMar>
              <w:top w:w="150" w:type="dxa"/>
              <w:left w:w="0" w:type="dxa"/>
              <w:bottom w:w="150" w:type="dxa"/>
              <w:right w:w="240" w:type="dxa"/>
            </w:tcMar>
            <w:vAlign w:val="center"/>
            <w:hideMark/>
          </w:tcPr>
          <w:p w14:paraId="4D0B314C"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3</w:t>
            </w:r>
          </w:p>
        </w:tc>
        <w:tc>
          <w:tcPr>
            <w:tcW w:w="0" w:type="auto"/>
            <w:tcMar>
              <w:top w:w="150" w:type="dxa"/>
              <w:left w:w="240" w:type="dxa"/>
              <w:bottom w:w="150" w:type="dxa"/>
              <w:right w:w="240" w:type="dxa"/>
            </w:tcMar>
            <w:vAlign w:val="center"/>
            <w:hideMark/>
          </w:tcPr>
          <w:p w14:paraId="416F105E"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Bearing1_2</w:t>
            </w:r>
          </w:p>
        </w:tc>
        <w:tc>
          <w:tcPr>
            <w:tcW w:w="0" w:type="auto"/>
            <w:tcMar>
              <w:top w:w="150" w:type="dxa"/>
              <w:left w:w="240" w:type="dxa"/>
              <w:bottom w:w="150" w:type="dxa"/>
              <w:right w:w="240" w:type="dxa"/>
            </w:tcMar>
            <w:vAlign w:val="center"/>
            <w:hideMark/>
          </w:tcPr>
          <w:p w14:paraId="5CD3C53B"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931.16</w:t>
            </w:r>
          </w:p>
        </w:tc>
        <w:tc>
          <w:tcPr>
            <w:tcW w:w="0" w:type="auto"/>
            <w:tcMar>
              <w:top w:w="150" w:type="dxa"/>
              <w:left w:w="240" w:type="dxa"/>
              <w:bottom w:w="150" w:type="dxa"/>
              <w:right w:w="240" w:type="dxa"/>
            </w:tcMar>
            <w:vAlign w:val="center"/>
            <w:hideMark/>
          </w:tcPr>
          <w:p w14:paraId="43425588"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913.87</w:t>
            </w:r>
          </w:p>
        </w:tc>
        <w:tc>
          <w:tcPr>
            <w:tcW w:w="0" w:type="auto"/>
            <w:tcMar>
              <w:top w:w="150" w:type="dxa"/>
              <w:left w:w="240" w:type="dxa"/>
              <w:bottom w:w="150" w:type="dxa"/>
              <w:right w:w="0" w:type="dxa"/>
            </w:tcMar>
            <w:vAlign w:val="center"/>
            <w:hideMark/>
          </w:tcPr>
          <w:p w14:paraId="62D807DD"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否</w:t>
            </w:r>
          </w:p>
        </w:tc>
      </w:tr>
      <w:tr w:rsidR="00942E59" w:rsidRPr="00942E59" w14:paraId="1C3A347E" w14:textId="77777777" w:rsidTr="00EE2A2C">
        <w:trPr>
          <w:trHeight w:val="272"/>
          <w:jc w:val="center"/>
        </w:trPr>
        <w:tc>
          <w:tcPr>
            <w:tcW w:w="0" w:type="auto"/>
            <w:tcMar>
              <w:top w:w="150" w:type="dxa"/>
              <w:left w:w="0" w:type="dxa"/>
              <w:bottom w:w="150" w:type="dxa"/>
              <w:right w:w="240" w:type="dxa"/>
            </w:tcMar>
            <w:vAlign w:val="center"/>
            <w:hideMark/>
          </w:tcPr>
          <w:p w14:paraId="218DBB15"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3</w:t>
            </w:r>
          </w:p>
        </w:tc>
        <w:tc>
          <w:tcPr>
            <w:tcW w:w="0" w:type="auto"/>
            <w:tcMar>
              <w:top w:w="150" w:type="dxa"/>
              <w:left w:w="240" w:type="dxa"/>
              <w:bottom w:w="150" w:type="dxa"/>
              <w:right w:w="240" w:type="dxa"/>
            </w:tcMar>
            <w:vAlign w:val="center"/>
            <w:hideMark/>
          </w:tcPr>
          <w:p w14:paraId="554EC9AD"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Bearing2_1</w:t>
            </w:r>
          </w:p>
        </w:tc>
        <w:tc>
          <w:tcPr>
            <w:tcW w:w="0" w:type="auto"/>
            <w:tcMar>
              <w:top w:w="150" w:type="dxa"/>
              <w:left w:w="240" w:type="dxa"/>
              <w:bottom w:w="150" w:type="dxa"/>
              <w:right w:w="240" w:type="dxa"/>
            </w:tcMar>
            <w:vAlign w:val="center"/>
            <w:hideMark/>
          </w:tcPr>
          <w:p w14:paraId="4A9BE2C4"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1431.40</w:t>
            </w:r>
          </w:p>
        </w:tc>
        <w:tc>
          <w:tcPr>
            <w:tcW w:w="0" w:type="auto"/>
            <w:tcMar>
              <w:top w:w="150" w:type="dxa"/>
              <w:left w:w="240" w:type="dxa"/>
              <w:bottom w:w="150" w:type="dxa"/>
              <w:right w:w="240" w:type="dxa"/>
            </w:tcMar>
            <w:vAlign w:val="center"/>
            <w:hideMark/>
          </w:tcPr>
          <w:p w14:paraId="595748C7"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1568.45</w:t>
            </w:r>
          </w:p>
        </w:tc>
        <w:tc>
          <w:tcPr>
            <w:tcW w:w="0" w:type="auto"/>
            <w:tcMar>
              <w:top w:w="150" w:type="dxa"/>
              <w:left w:w="240" w:type="dxa"/>
              <w:bottom w:w="150" w:type="dxa"/>
              <w:right w:w="0" w:type="dxa"/>
            </w:tcMar>
            <w:vAlign w:val="center"/>
            <w:hideMark/>
          </w:tcPr>
          <w:p w14:paraId="048FD064"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是</w:t>
            </w:r>
          </w:p>
        </w:tc>
      </w:tr>
      <w:tr w:rsidR="00942E59" w:rsidRPr="00942E59" w14:paraId="7CBBEC71" w14:textId="77777777" w:rsidTr="00EE2A2C">
        <w:trPr>
          <w:trHeight w:val="272"/>
          <w:jc w:val="center"/>
        </w:trPr>
        <w:tc>
          <w:tcPr>
            <w:tcW w:w="0" w:type="auto"/>
            <w:tcMar>
              <w:top w:w="150" w:type="dxa"/>
              <w:left w:w="0" w:type="dxa"/>
              <w:bottom w:w="150" w:type="dxa"/>
              <w:right w:w="240" w:type="dxa"/>
            </w:tcMar>
            <w:vAlign w:val="center"/>
            <w:hideMark/>
          </w:tcPr>
          <w:p w14:paraId="7FFC8708"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3</w:t>
            </w:r>
          </w:p>
        </w:tc>
        <w:tc>
          <w:tcPr>
            <w:tcW w:w="0" w:type="auto"/>
            <w:tcMar>
              <w:top w:w="150" w:type="dxa"/>
              <w:left w:w="240" w:type="dxa"/>
              <w:bottom w:w="150" w:type="dxa"/>
              <w:right w:w="240" w:type="dxa"/>
            </w:tcMar>
            <w:vAlign w:val="center"/>
            <w:hideMark/>
          </w:tcPr>
          <w:p w14:paraId="15D54621"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Bearing2_2</w:t>
            </w:r>
          </w:p>
        </w:tc>
        <w:tc>
          <w:tcPr>
            <w:tcW w:w="0" w:type="auto"/>
            <w:tcMar>
              <w:top w:w="150" w:type="dxa"/>
              <w:left w:w="240" w:type="dxa"/>
              <w:bottom w:w="150" w:type="dxa"/>
              <w:right w:w="240" w:type="dxa"/>
            </w:tcMar>
            <w:vAlign w:val="center"/>
            <w:hideMark/>
          </w:tcPr>
          <w:p w14:paraId="31F01C28"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1362.63</w:t>
            </w:r>
          </w:p>
        </w:tc>
        <w:tc>
          <w:tcPr>
            <w:tcW w:w="0" w:type="auto"/>
            <w:tcMar>
              <w:top w:w="150" w:type="dxa"/>
              <w:left w:w="240" w:type="dxa"/>
              <w:bottom w:w="150" w:type="dxa"/>
              <w:right w:w="240" w:type="dxa"/>
            </w:tcMar>
            <w:vAlign w:val="center"/>
            <w:hideMark/>
          </w:tcPr>
          <w:p w14:paraId="6374FEE6"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1268.82</w:t>
            </w:r>
          </w:p>
        </w:tc>
        <w:tc>
          <w:tcPr>
            <w:tcW w:w="0" w:type="auto"/>
            <w:tcMar>
              <w:top w:w="150" w:type="dxa"/>
              <w:left w:w="240" w:type="dxa"/>
              <w:bottom w:w="150" w:type="dxa"/>
              <w:right w:w="0" w:type="dxa"/>
            </w:tcMar>
            <w:vAlign w:val="center"/>
            <w:hideMark/>
          </w:tcPr>
          <w:p w14:paraId="1A63ABA1"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否</w:t>
            </w:r>
          </w:p>
        </w:tc>
      </w:tr>
      <w:tr w:rsidR="00942E59" w:rsidRPr="00942E59" w14:paraId="507CFC4C" w14:textId="77777777" w:rsidTr="00EE2A2C">
        <w:trPr>
          <w:trHeight w:val="272"/>
          <w:jc w:val="center"/>
        </w:trPr>
        <w:tc>
          <w:tcPr>
            <w:tcW w:w="0" w:type="auto"/>
            <w:tcMar>
              <w:top w:w="150" w:type="dxa"/>
              <w:left w:w="0" w:type="dxa"/>
              <w:bottom w:w="150" w:type="dxa"/>
              <w:right w:w="240" w:type="dxa"/>
            </w:tcMar>
            <w:vAlign w:val="center"/>
            <w:hideMark/>
          </w:tcPr>
          <w:p w14:paraId="506AAAA7"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3</w:t>
            </w:r>
          </w:p>
        </w:tc>
        <w:tc>
          <w:tcPr>
            <w:tcW w:w="0" w:type="auto"/>
            <w:tcMar>
              <w:top w:w="150" w:type="dxa"/>
              <w:left w:w="240" w:type="dxa"/>
              <w:bottom w:w="150" w:type="dxa"/>
              <w:right w:w="240" w:type="dxa"/>
            </w:tcMar>
            <w:vAlign w:val="center"/>
            <w:hideMark/>
          </w:tcPr>
          <w:p w14:paraId="2721AF66"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Bearing3_1</w:t>
            </w:r>
          </w:p>
        </w:tc>
        <w:tc>
          <w:tcPr>
            <w:tcW w:w="0" w:type="auto"/>
            <w:tcMar>
              <w:top w:w="150" w:type="dxa"/>
              <w:left w:w="240" w:type="dxa"/>
              <w:bottom w:w="150" w:type="dxa"/>
              <w:right w:w="240" w:type="dxa"/>
            </w:tcMar>
            <w:vAlign w:val="center"/>
            <w:hideMark/>
          </w:tcPr>
          <w:p w14:paraId="525290A7"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1399.08</w:t>
            </w:r>
          </w:p>
        </w:tc>
        <w:tc>
          <w:tcPr>
            <w:tcW w:w="0" w:type="auto"/>
            <w:tcMar>
              <w:top w:w="150" w:type="dxa"/>
              <w:left w:w="240" w:type="dxa"/>
              <w:bottom w:w="150" w:type="dxa"/>
              <w:right w:w="240" w:type="dxa"/>
            </w:tcMar>
            <w:vAlign w:val="center"/>
            <w:hideMark/>
          </w:tcPr>
          <w:p w14:paraId="44844423"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1360.70</w:t>
            </w:r>
          </w:p>
        </w:tc>
        <w:tc>
          <w:tcPr>
            <w:tcW w:w="0" w:type="auto"/>
            <w:tcMar>
              <w:top w:w="150" w:type="dxa"/>
              <w:left w:w="240" w:type="dxa"/>
              <w:bottom w:w="150" w:type="dxa"/>
              <w:right w:w="0" w:type="dxa"/>
            </w:tcMar>
            <w:vAlign w:val="center"/>
            <w:hideMark/>
          </w:tcPr>
          <w:p w14:paraId="2136DB04"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否</w:t>
            </w:r>
          </w:p>
        </w:tc>
      </w:tr>
      <w:tr w:rsidR="00942E59" w:rsidRPr="00942E59" w14:paraId="18630516" w14:textId="77777777" w:rsidTr="00EE2A2C">
        <w:trPr>
          <w:trHeight w:val="272"/>
          <w:jc w:val="center"/>
        </w:trPr>
        <w:tc>
          <w:tcPr>
            <w:tcW w:w="0" w:type="auto"/>
            <w:tcMar>
              <w:top w:w="150" w:type="dxa"/>
              <w:left w:w="0" w:type="dxa"/>
              <w:bottom w:w="150" w:type="dxa"/>
              <w:right w:w="240" w:type="dxa"/>
            </w:tcMar>
            <w:vAlign w:val="center"/>
            <w:hideMark/>
          </w:tcPr>
          <w:p w14:paraId="65E7D343"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3</w:t>
            </w:r>
          </w:p>
        </w:tc>
        <w:tc>
          <w:tcPr>
            <w:tcW w:w="0" w:type="auto"/>
            <w:tcMar>
              <w:top w:w="150" w:type="dxa"/>
              <w:left w:w="240" w:type="dxa"/>
              <w:bottom w:w="150" w:type="dxa"/>
              <w:right w:w="240" w:type="dxa"/>
            </w:tcMar>
            <w:vAlign w:val="center"/>
            <w:hideMark/>
          </w:tcPr>
          <w:p w14:paraId="09A0A183"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Bearing3_2</w:t>
            </w:r>
          </w:p>
        </w:tc>
        <w:tc>
          <w:tcPr>
            <w:tcW w:w="0" w:type="auto"/>
            <w:tcMar>
              <w:top w:w="150" w:type="dxa"/>
              <w:left w:w="240" w:type="dxa"/>
              <w:bottom w:w="150" w:type="dxa"/>
              <w:right w:w="240" w:type="dxa"/>
            </w:tcMar>
            <w:vAlign w:val="center"/>
            <w:hideMark/>
          </w:tcPr>
          <w:p w14:paraId="7260CED7"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1166.75</w:t>
            </w:r>
          </w:p>
        </w:tc>
        <w:tc>
          <w:tcPr>
            <w:tcW w:w="0" w:type="auto"/>
            <w:tcMar>
              <w:top w:w="150" w:type="dxa"/>
              <w:left w:w="240" w:type="dxa"/>
              <w:bottom w:w="150" w:type="dxa"/>
              <w:right w:w="240" w:type="dxa"/>
            </w:tcMar>
            <w:vAlign w:val="center"/>
            <w:hideMark/>
          </w:tcPr>
          <w:p w14:paraId="06EC0D6A"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1054.29</w:t>
            </w:r>
          </w:p>
        </w:tc>
        <w:tc>
          <w:tcPr>
            <w:tcW w:w="0" w:type="auto"/>
            <w:tcMar>
              <w:top w:w="150" w:type="dxa"/>
              <w:left w:w="240" w:type="dxa"/>
              <w:bottom w:w="150" w:type="dxa"/>
              <w:right w:w="0" w:type="dxa"/>
            </w:tcMar>
            <w:vAlign w:val="center"/>
            <w:hideMark/>
          </w:tcPr>
          <w:p w14:paraId="28CB4000" w14:textId="77777777" w:rsidR="00942E59" w:rsidRPr="00EE2A2C" w:rsidRDefault="00942E59" w:rsidP="00EE2A2C">
            <w:pPr>
              <w:jc w:val="center"/>
              <w:rPr>
                <w:rFonts w:asciiTheme="majorEastAsia" w:eastAsiaTheme="majorEastAsia" w:hAnsiTheme="majorEastAsia"/>
                <w:szCs w:val="21"/>
              </w:rPr>
            </w:pPr>
            <w:r w:rsidRPr="00EE2A2C">
              <w:rPr>
                <w:rFonts w:asciiTheme="majorEastAsia" w:eastAsiaTheme="majorEastAsia" w:hAnsiTheme="majorEastAsia"/>
                <w:szCs w:val="21"/>
              </w:rPr>
              <w:t>否</w:t>
            </w:r>
          </w:p>
        </w:tc>
      </w:tr>
    </w:tbl>
    <w:p w14:paraId="29C6E29A" w14:textId="77777777" w:rsidR="00942E59" w:rsidRPr="00942E59" w:rsidRDefault="00942E59" w:rsidP="00942E59">
      <w:pPr>
        <w:rPr>
          <w:rFonts w:asciiTheme="majorEastAsia" w:eastAsiaTheme="majorEastAsia" w:hAnsiTheme="majorEastAsia"/>
        </w:rPr>
      </w:pPr>
      <w:r w:rsidRPr="00942E59">
        <w:rPr>
          <w:rFonts w:asciiTheme="majorEastAsia" w:eastAsiaTheme="majorEastAsia" w:hAnsiTheme="majorEastAsia"/>
        </w:rPr>
        <w:t>胜出分布分析。</w:t>
      </w:r>
    </w:p>
    <w:p w14:paraId="4DEFFDF8" w14:textId="77777777" w:rsidR="00942E59" w:rsidRPr="00942E59" w:rsidRDefault="00942E59" w:rsidP="00942E59">
      <w:pPr>
        <w:rPr>
          <w:rFonts w:asciiTheme="majorEastAsia" w:eastAsiaTheme="majorEastAsia" w:hAnsiTheme="majorEastAsia"/>
        </w:rPr>
      </w:pPr>
      <w:r w:rsidRPr="00942E59">
        <w:rPr>
          <w:rFonts w:asciiTheme="majorEastAsia" w:eastAsiaTheme="majorEastAsia" w:hAnsiTheme="majorEastAsia"/>
        </w:rPr>
        <w:t>逐折明细表明，迁移模型的改善并非由单一或少数异常折次驱动。N=1层级下六折中五折胜出，唯一失败的折次为 Bearing3_1；N=2层级同样五折胜出，唯一失败仍为 Bearing3_1。当 N 增加至 3 时，胜出折数降至三折，失败样本扩大至 Bearing1_2、Bearing2_2 及 Bearing3 系列全部两个样本。</w:t>
      </w:r>
    </w:p>
    <w:p w14:paraId="0AEEECA3" w14:textId="77777777" w:rsidR="00942E59" w:rsidRPr="00942E59" w:rsidRDefault="00942E59" w:rsidP="00942E59">
      <w:pPr>
        <w:rPr>
          <w:rFonts w:asciiTheme="majorEastAsia" w:eastAsiaTheme="majorEastAsia" w:hAnsiTheme="majorEastAsia"/>
        </w:rPr>
      </w:pPr>
      <w:r w:rsidRPr="00942E59">
        <w:rPr>
          <w:rFonts w:asciiTheme="majorEastAsia" w:eastAsiaTheme="majorEastAsia" w:hAnsiTheme="majorEastAsia"/>
        </w:rPr>
        <w:t>从样本维度观察，Bearing1 系列（两个样本）在所有 N 层级下均表现稳定——迁移模型始终优于或持平 Scratch。Bearing2 系列除 N=3 时 Bearing2_2 出现一次失败外，其余全部胜出。Bearing3 系列则是失败最集中的样本组：Bearing3_1 在全部三个 N 层级上均未胜出，Bearing3_2 在 N=1、2 时胜出，N=3 时失败。</w:t>
      </w:r>
    </w:p>
    <w:p w14:paraId="0AF8DF04" w14:textId="77777777" w:rsidR="00942E59" w:rsidRPr="00942E59" w:rsidRDefault="00942E59" w:rsidP="00942E59">
      <w:pPr>
        <w:rPr>
          <w:rFonts w:asciiTheme="majorEastAsia" w:eastAsiaTheme="majorEastAsia" w:hAnsiTheme="majorEastAsia"/>
        </w:rPr>
      </w:pPr>
      <w:r w:rsidRPr="00942E59">
        <w:rPr>
          <w:rFonts w:asciiTheme="majorEastAsia" w:eastAsiaTheme="majorEastAsia" w:hAnsiTheme="majorEastAsia"/>
        </w:rPr>
        <w:t>失败折次的归因。</w:t>
      </w:r>
    </w:p>
    <w:p w14:paraId="08905FF8" w14:textId="77777777" w:rsidR="00942E59" w:rsidRPr="00942E59" w:rsidRDefault="00942E59" w:rsidP="00942E59">
      <w:pPr>
        <w:rPr>
          <w:rFonts w:asciiTheme="majorEastAsia" w:eastAsiaTheme="majorEastAsia" w:hAnsiTheme="majorEastAsia"/>
        </w:rPr>
      </w:pPr>
      <w:r w:rsidRPr="00942E59">
        <w:rPr>
          <w:rFonts w:asciiTheme="majorEastAsia" w:eastAsiaTheme="majorEastAsia" w:hAnsiTheme="majorEastAsia"/>
        </w:rPr>
        <w:t>Bearing3 系列样本在 FEMTO 数据集中的退化行为具有特殊性。回顾 2.4 节表6中记录的质量门控数据，FEMTO 轴承整体的 health-RUL 平均相关系数为 0.9587，但 Bearing3_1 与 Bearing3_2 的个体相关系数显著低于该均值——这两个样本在退化后期出现了多次振动能量的剧烈瞬态波动，而非渐进式平滑抬升，导致其退化轨迹与“单调健康衰减”的源域假设偏离较大。当迁移模型面对此类非单调样本时，源域预训练所强化的单调趋势先验反而成为一种约束，限制了模型对瞬态突变的响应能力。在 N=3 时，训练集中包含了更多 Bearing3 系列的特征，这种约束效应被进一步放大，导致迁移模型在该样本上的表现不及从头训练的 Scratch 模型——后者不受源域先验的束缚，可以更灵活地拟合本地的非平稳模式。</w:t>
      </w:r>
    </w:p>
    <w:p w14:paraId="25BE5375" w14:textId="77777777" w:rsidR="00942E59" w:rsidRPr="00942E59" w:rsidRDefault="00942E59" w:rsidP="00942E59">
      <w:pPr>
        <w:rPr>
          <w:rFonts w:asciiTheme="majorEastAsia" w:eastAsiaTheme="majorEastAsia" w:hAnsiTheme="majorEastAsia"/>
        </w:rPr>
      </w:pPr>
      <w:r w:rsidRPr="00942E59">
        <w:rPr>
          <w:rFonts w:asciiTheme="majorEastAsia" w:eastAsiaTheme="majorEastAsia" w:hAnsiTheme="majorEastAsia"/>
        </w:rPr>
        <w:t>稳定性结论。</w:t>
      </w:r>
    </w:p>
    <w:p w14:paraId="11948959" w14:textId="77777777" w:rsidR="00942E59" w:rsidRPr="00942E59" w:rsidRDefault="00942E59" w:rsidP="00942E59">
      <w:pPr>
        <w:rPr>
          <w:rFonts w:asciiTheme="majorEastAsia" w:eastAsiaTheme="majorEastAsia" w:hAnsiTheme="majorEastAsia"/>
        </w:rPr>
      </w:pPr>
      <w:r w:rsidRPr="00942E59">
        <w:rPr>
          <w:rFonts w:asciiTheme="majorEastAsia" w:eastAsiaTheme="majorEastAsia" w:hAnsiTheme="majorEastAsia"/>
        </w:rPr>
        <w:lastRenderedPageBreak/>
        <w:t>综合逐折结果，迁移模型在 Bearing1 与 Bearing2 系列样本上表现出一致且稳定的正向增益，在 Bearing3 系列样本上则存在局限性。这一分布特征支持了 6.2 节中 N=1、N=2 层级的正向判定——增益不是统计偶然，而是集中在退化行为与源域假设相容的样本子集上。同时，Bearing3 系列的表现差异也提示了一个重要的改进方向：当前迁移框架对“源域退化形态”的假设较为刚性，当目标域存在强非单调退化或高噪声样本时，预训练知识的正则化效应可能从保护变为束缚。后续工作中，引入更具鲁棒性的时序建模策略（如注意力机制对突变点的自适应加权）或更丰富的源域退化多样性（涵盖不同噪声水平的机械退化数据），有望进一步扩展迁移框架的适用边界，使其在 Bearing3 类样本上同样释放正向增益。</w:t>
      </w:r>
    </w:p>
    <w:p w14:paraId="0A65C6A5" w14:textId="77777777" w:rsidR="00942E59" w:rsidRPr="00942E59" w:rsidRDefault="00942E59" w:rsidP="00942E59">
      <w:pPr>
        <w:rPr>
          <w:rFonts w:asciiTheme="majorEastAsia" w:eastAsiaTheme="majorEastAsia" w:hAnsiTheme="majorEastAsia"/>
        </w:rPr>
      </w:pPr>
      <w:r w:rsidRPr="00942E59">
        <w:rPr>
          <w:rFonts w:asciiTheme="majorEastAsia" w:eastAsiaTheme="majorEastAsia" w:hAnsiTheme="majorEastAsia"/>
        </w:rPr>
        <w:t>后续数据需求。</w:t>
      </w:r>
    </w:p>
    <w:p w14:paraId="7D825AF7" w14:textId="77777777" w:rsidR="00942E59" w:rsidRPr="00942E59" w:rsidRDefault="00942E59" w:rsidP="00942E59">
      <w:pPr>
        <w:rPr>
          <w:rFonts w:asciiTheme="majorEastAsia" w:eastAsiaTheme="majorEastAsia" w:hAnsiTheme="majorEastAsia"/>
        </w:rPr>
      </w:pPr>
      <w:r w:rsidRPr="00942E59">
        <w:rPr>
          <w:rFonts w:asciiTheme="majorEastAsia" w:eastAsiaTheme="majorEastAsia" w:hAnsiTheme="majorEastAsia"/>
        </w:rPr>
        <w:t>逐折结果的另一层启示在于验证集构建的挑战。当前 v3 协议受限于 FEMTO 仅有六个可用样本，outer-LOO 的折次有限，难以支撑更细粒度的统计分析。后续引入更多未见轨迹（如 IMS 数据集中额外的轴承样本）或真实工程数据，将有助于进一步确认迁移增益的统计稳健性，并降低单一异常样本对整体结论的潜在影响。</w:t>
      </w:r>
    </w:p>
    <w:p w14:paraId="54F971A4" w14:textId="77777777" w:rsidR="00EE0486" w:rsidRPr="00EE0486" w:rsidRDefault="00EE0486" w:rsidP="00EE0486">
      <w:pPr>
        <w:pStyle w:val="2"/>
        <w:rPr>
          <w:rFonts w:asciiTheme="majorEastAsia" w:eastAsiaTheme="majorEastAsia" w:hAnsiTheme="majorEastAsia"/>
        </w:rPr>
      </w:pPr>
      <w:r w:rsidRPr="00EE0486">
        <w:rPr>
          <w:rFonts w:asciiTheme="majorEastAsia" w:eastAsiaTheme="majorEastAsia" w:hAnsiTheme="majorEastAsia"/>
          <w:b/>
          <w:bCs/>
        </w:rPr>
        <w:t>7.1 在线工作流</w:t>
      </w:r>
    </w:p>
    <w:p w14:paraId="00898523" w14:textId="77777777" w:rsidR="00EE0486" w:rsidRPr="00EE0486" w:rsidRDefault="00EE0486" w:rsidP="00EE0486">
      <w:pPr>
        <w:rPr>
          <w:rFonts w:asciiTheme="majorEastAsia" w:eastAsiaTheme="majorEastAsia" w:hAnsiTheme="majorEastAsia"/>
        </w:rPr>
      </w:pPr>
      <w:r w:rsidRPr="00EE0486">
        <w:rPr>
          <w:rFonts w:asciiTheme="majorEastAsia" w:eastAsiaTheme="majorEastAsia" w:hAnsiTheme="majorEastAsia"/>
        </w:rPr>
        <w:t>在算法验证之外，本项目还构建了一套完整的寿命状态在线监测工作流，将预测模型从“离线评估工具”升级为“工程决策辅助系统”。该工作流以赛事加分项要求的“寿命状态直观表达”和“工程应用流程”为导向，涵盖从数据接入到风险分级再到审计回放的全链路功能，具备原型级的工程可用性。</w:t>
      </w:r>
    </w:p>
    <w:p w14:paraId="36C53A0D" w14:textId="77777777" w:rsidR="00EE0486" w:rsidRPr="00EE0486" w:rsidRDefault="00EE0486" w:rsidP="00EE0486">
      <w:pPr>
        <w:rPr>
          <w:rFonts w:asciiTheme="majorEastAsia" w:eastAsiaTheme="majorEastAsia" w:hAnsiTheme="majorEastAsia"/>
        </w:rPr>
      </w:pPr>
      <w:r w:rsidRPr="00EE0486">
        <w:rPr>
          <w:rFonts w:asciiTheme="majorEastAsia" w:eastAsiaTheme="majorEastAsia" w:hAnsiTheme="majorEastAsia"/>
        </w:rPr>
        <w:t>数据接入与质量检查。 工作流的起点为航天器遥测数据的标准化接入。系统支持转速、温度、电流、振动加速度（反作用轮场景）以及电压、电流、循环容量（电池场景）等多类型传感器通道的并行读取。数据接入层在将原始信号送入预测引擎之前，执行三项自动质量检查——时间顺序校验（确保数据按正确时序排列）、缺失值检测（标记并插补异常缺测点）以及物理单位校验（确认输入量纲与训练阶段一致）。任一检查未通过时，系统返回明确错误码，阻断下游推理过程，避免因数据质量问题导致无效预测。</w:t>
      </w:r>
    </w:p>
    <w:p w14:paraId="4750D040" w14:textId="77777777" w:rsidR="00EE0486" w:rsidRPr="00EE0486" w:rsidRDefault="00EE0486" w:rsidP="00EE0486">
      <w:pPr>
        <w:rPr>
          <w:rFonts w:asciiTheme="majorEastAsia" w:eastAsiaTheme="majorEastAsia" w:hAnsiTheme="majorEastAsia"/>
        </w:rPr>
      </w:pPr>
      <w:r w:rsidRPr="00EE0486">
        <w:rPr>
          <w:rFonts w:asciiTheme="majorEastAsia" w:eastAsiaTheme="majorEastAsia" w:hAnsiTheme="majorEastAsia"/>
        </w:rPr>
        <w:t>健康特征构造。 通过质量检查的原始遥测数据被送入特征变换模块。该模块加载训练阶段固化的目标域 scaler 参数（均值和标准差）与 health 变换函数，将原始多通道信号映射为统一语义方向上的健康指标序列。该步骤所有变换参数均来源于训练折的独立估计，在线推理阶段仅执行前向变换，不涉及任何参数自适应更新，确保预测条件与验证协议严格一致。</w:t>
      </w:r>
    </w:p>
    <w:p w14:paraId="02521027" w14:textId="77777777" w:rsidR="00EE0486" w:rsidRPr="00EE0486" w:rsidRDefault="00EE0486" w:rsidP="00EE0486">
      <w:pPr>
        <w:rPr>
          <w:rFonts w:asciiTheme="majorEastAsia" w:eastAsiaTheme="majorEastAsia" w:hAnsiTheme="majorEastAsia"/>
        </w:rPr>
      </w:pPr>
      <w:r w:rsidRPr="00EE0486">
        <w:rPr>
          <w:rFonts w:asciiTheme="majorEastAsia" w:eastAsiaTheme="majorEastAsia" w:hAnsiTheme="majorEastAsia"/>
        </w:rPr>
        <w:t>滚动窗口预测。 系统维护一个长度为 L 的滑动窗口缓存，按时间顺序持续接收新到达的健康特征向量。每当窗口填满，即构成一个完整的时序输入张量，送入已加载的迁移模型执行前向推理——编码器将窗口内的历史信息压缩为当前退化状态表征，预测头输出该时刻的剩余寿命估计值（以原始物理单位计）。该过程以流式方式持续运行：每一个新的遥测帧到达后，窗口滑动一步，模型输出一次新的 RUL 估计，形成连续的生命周期预测流。</w:t>
      </w:r>
    </w:p>
    <w:p w14:paraId="21426709" w14:textId="77777777" w:rsidR="00EE0486" w:rsidRPr="00EE0486" w:rsidRDefault="00EE0486" w:rsidP="00EE0486">
      <w:pPr>
        <w:rPr>
          <w:rFonts w:asciiTheme="majorEastAsia" w:eastAsiaTheme="majorEastAsia" w:hAnsiTheme="majorEastAsia"/>
        </w:rPr>
      </w:pPr>
      <w:r w:rsidRPr="00EE0486">
        <w:rPr>
          <w:rFonts w:asciiTheme="majorEastAsia" w:eastAsiaTheme="majorEastAsia" w:hAnsiTheme="majorEastAsia"/>
        </w:rPr>
        <w:t>风险等级判定。 单点 RUL 估计值之外，系统将预测结果进一步转化为工程人员可直接解读的三级健康状态：</w:t>
      </w:r>
    </w:p>
    <w:p w14:paraId="0B7786F6" w14:textId="77777777" w:rsidR="00EE0486" w:rsidRPr="00EE0486" w:rsidRDefault="00EE0486" w:rsidP="00EE0486">
      <w:pPr>
        <w:rPr>
          <w:rFonts w:asciiTheme="majorEastAsia" w:eastAsiaTheme="majorEastAsia" w:hAnsiTheme="majorEastAsia"/>
        </w:rPr>
      </w:pPr>
      <w:r w:rsidRPr="00EE0486">
        <w:rPr>
          <w:rFonts w:asciiTheme="majorEastAsia" w:eastAsiaTheme="majorEastAsia" w:hAnsiTheme="majorEastAsia"/>
        </w:rPr>
        <w:t>正常（绿色）。 预测 RUL 超过预设安全阈值，且近期预测趋势稳定，表明组件当前处于健康服役期，按计划继续运行。</w:t>
      </w:r>
    </w:p>
    <w:p w14:paraId="038148D0" w14:textId="77777777" w:rsidR="00EE0486" w:rsidRPr="00EE0486" w:rsidRDefault="00EE0486" w:rsidP="00EE0486">
      <w:pPr>
        <w:rPr>
          <w:rFonts w:asciiTheme="majorEastAsia" w:eastAsiaTheme="majorEastAsia" w:hAnsiTheme="majorEastAsia"/>
        </w:rPr>
      </w:pPr>
      <w:r w:rsidRPr="00EE0486">
        <w:rPr>
          <w:rFonts w:asciiTheme="majorEastAsia" w:eastAsiaTheme="majorEastAsia" w:hAnsiTheme="majorEastAsia"/>
        </w:rPr>
        <w:t>关注（黄色）。 预测 RUL 进入警戒区间，或 RUL 估计值在过去若干窗口内呈现加速下降趋势，提示退化进程可能正在加快，建议缩短监测间隔并关注相关遥测变化。</w:t>
      </w:r>
    </w:p>
    <w:p w14:paraId="11D304F2" w14:textId="77777777" w:rsidR="00EE0486" w:rsidRPr="00EE0486" w:rsidRDefault="00EE0486" w:rsidP="00EE0486">
      <w:pPr>
        <w:rPr>
          <w:rFonts w:asciiTheme="majorEastAsia" w:eastAsiaTheme="majorEastAsia" w:hAnsiTheme="majorEastAsia"/>
        </w:rPr>
      </w:pPr>
      <w:r w:rsidRPr="00EE0486">
        <w:rPr>
          <w:rFonts w:asciiTheme="majorEastAsia" w:eastAsiaTheme="majorEastAsia" w:hAnsiTheme="majorEastAsia"/>
        </w:rPr>
        <w:t>警告（红色）。 预测 RUL 低于最低可接受剩余寿命限值，或预测偏差出现异常跳变，提示组件已接近或达到寿命终点，需启动维护评估流程。</w:t>
      </w:r>
    </w:p>
    <w:p w14:paraId="67715FEC" w14:textId="77777777" w:rsidR="00EE0486" w:rsidRPr="00EE0486" w:rsidRDefault="00EE0486" w:rsidP="00EE0486">
      <w:pPr>
        <w:rPr>
          <w:rFonts w:asciiTheme="majorEastAsia" w:eastAsiaTheme="majorEastAsia" w:hAnsiTheme="majorEastAsia"/>
        </w:rPr>
      </w:pPr>
      <w:r w:rsidRPr="00EE0486">
        <w:rPr>
          <w:rFonts w:asciiTheme="majorEastAsia" w:eastAsiaTheme="majorEastAsia" w:hAnsiTheme="majorEastAsia"/>
        </w:rPr>
        <w:t>三级状态的判定阈值可根据不同组件和任务剖面进行配置，并非硬编码于系统底层，以适应不同航天任务对风险容忍度的差异化要求。</w:t>
      </w:r>
    </w:p>
    <w:p w14:paraId="0379E0CA" w14:textId="77777777" w:rsidR="00EE0486" w:rsidRPr="00EE0486" w:rsidRDefault="00EE0486" w:rsidP="00EE0486">
      <w:pPr>
        <w:rPr>
          <w:rFonts w:asciiTheme="majorEastAsia" w:eastAsiaTheme="majorEastAsia" w:hAnsiTheme="majorEastAsia"/>
        </w:rPr>
      </w:pPr>
      <w:r w:rsidRPr="00EE0486">
        <w:rPr>
          <w:rFonts w:asciiTheme="majorEastAsia" w:eastAsiaTheme="majorEastAsia" w:hAnsiTheme="majorEastAsia"/>
        </w:rPr>
        <w:t>审计回放模式。 为同时满足工程一线操作需求与赛事可追溯性审查要求，系统提供两种界</w:t>
      </w:r>
      <w:r w:rsidRPr="00EE0486">
        <w:rPr>
          <w:rFonts w:asciiTheme="majorEastAsia" w:eastAsiaTheme="majorEastAsia" w:hAnsiTheme="majorEastAsia"/>
        </w:rPr>
        <w:lastRenderedPageBreak/>
        <w:t>面视图：</w:t>
      </w:r>
    </w:p>
    <w:p w14:paraId="75B1691D" w14:textId="77777777" w:rsidR="00EE0486" w:rsidRPr="00EE0486" w:rsidRDefault="00EE0486" w:rsidP="00EE0486">
      <w:pPr>
        <w:rPr>
          <w:rFonts w:asciiTheme="majorEastAsia" w:eastAsiaTheme="majorEastAsia" w:hAnsiTheme="majorEastAsia"/>
        </w:rPr>
      </w:pPr>
      <w:r w:rsidRPr="00EE0486">
        <w:rPr>
          <w:rFonts w:asciiTheme="majorEastAsia" w:eastAsiaTheme="majorEastAsia" w:hAnsiTheme="majorEastAsia"/>
        </w:rPr>
        <w:t>操作员视图聚焦于决策效率——界面仅呈现当前健康状态等级、RUL 估计值及最近若干时刻的预测趋势曲线，无任何技术细节干扰，供一线人员在轨控操作中快速获取判断依据。</w:t>
      </w:r>
    </w:p>
    <w:p w14:paraId="321A8588" w14:textId="77777777" w:rsidR="00EE0486" w:rsidRPr="00EE0486" w:rsidRDefault="00EE0486" w:rsidP="00EE0486">
      <w:pPr>
        <w:rPr>
          <w:rFonts w:asciiTheme="majorEastAsia" w:eastAsiaTheme="majorEastAsia" w:hAnsiTheme="majorEastAsia"/>
        </w:rPr>
      </w:pPr>
      <w:r w:rsidRPr="00EE0486">
        <w:rPr>
          <w:rFonts w:asciiTheme="majorEastAsia" w:eastAsiaTheme="majorEastAsia" w:hAnsiTheme="majorEastAsia"/>
        </w:rPr>
        <w:t>审计员视图则在操作员视图的基础上叠加完整的实验溯源信息：当前测试折的真实标签（若已归档）、各折预测误差明细、当前所用折叠身份标识、输入数据 SHA-256 哈希值以及协议版本号。该视图面向赛事评审、技术归零或第三方复验场景，使评审方可独立验证每一个预测结果对应的数据版本与模型状态。</w:t>
      </w:r>
    </w:p>
    <w:p w14:paraId="3E817FF5" w14:textId="77777777" w:rsidR="00EE0486" w:rsidRPr="00EE0486" w:rsidRDefault="00EE0486" w:rsidP="00EE0486">
      <w:pPr>
        <w:rPr>
          <w:rFonts w:asciiTheme="majorEastAsia" w:eastAsiaTheme="majorEastAsia" w:hAnsiTheme="majorEastAsia"/>
        </w:rPr>
      </w:pPr>
      <w:r w:rsidRPr="00EE0486">
        <w:rPr>
          <w:rFonts w:asciiTheme="majorEastAsia" w:eastAsiaTheme="majorEastAsia" w:hAnsiTheme="majorEastAsia"/>
        </w:rPr>
        <w:t>上述在线工作流已全部完成开发与本地部署，可作为航天器在轨健康管理辅助决策系统的原型验证基础。系统启动流程、界面截图及操作手册详见附录。</w:t>
      </w:r>
    </w:p>
    <w:p w14:paraId="0C133BB3" w14:textId="77777777" w:rsidR="007A1533" w:rsidRPr="007A1533" w:rsidRDefault="007A1533" w:rsidP="007A1533">
      <w:pPr>
        <w:pStyle w:val="2"/>
        <w:rPr>
          <w:rFonts w:asciiTheme="majorEastAsia" w:eastAsiaTheme="majorEastAsia" w:hAnsiTheme="majorEastAsia"/>
        </w:rPr>
      </w:pPr>
      <w:r w:rsidRPr="007A1533">
        <w:rPr>
          <w:rFonts w:asciiTheme="majorEastAsia" w:eastAsiaTheme="majorEastAsia" w:hAnsiTheme="majorEastAsia"/>
          <w:b/>
          <w:bCs/>
        </w:rPr>
        <w:t>7.2 工程证据与交付物</w:t>
      </w:r>
    </w:p>
    <w:p w14:paraId="0B528D28" w14:textId="77777777" w:rsidR="007A1533" w:rsidRPr="007A1533" w:rsidRDefault="007A1533" w:rsidP="007A1533">
      <w:pPr>
        <w:rPr>
          <w:rFonts w:asciiTheme="majorEastAsia" w:eastAsiaTheme="majorEastAsia" w:hAnsiTheme="majorEastAsia"/>
        </w:rPr>
      </w:pPr>
      <w:r w:rsidRPr="007A1533">
        <w:rPr>
          <w:rFonts w:asciiTheme="majorEastAsia" w:eastAsiaTheme="majorEastAsia" w:hAnsiTheme="majorEastAsia"/>
        </w:rPr>
        <w:t>仪表板以单页面形式集成以下核心视图：预测RUL随时间变化的趋势曲线、健康状态退化轨迹、当前风险等级指示器、时间轴滑动控件、模型版本标签以及审计回放入口。界面设计遵循信息层级清晰的原则——操作人员可在数秒内获取“当前组件处于什么状态、还剩多少寿命、是否需要注意”三个关键信息，无需理解底层模型细节。</w:t>
      </w:r>
    </w:p>
    <w:p w14:paraId="78FDEDDA" w14:textId="77777777" w:rsidR="007A1533" w:rsidRPr="007A1533" w:rsidRDefault="007A1533" w:rsidP="007A1533">
      <w:pPr>
        <w:rPr>
          <w:rFonts w:asciiTheme="majorEastAsia" w:eastAsiaTheme="majorEastAsia" w:hAnsiTheme="majorEastAsia"/>
        </w:rPr>
      </w:pPr>
      <w:r w:rsidRPr="007A1533">
        <w:rPr>
          <w:rFonts w:asciiTheme="majorEastAsia" w:eastAsiaTheme="majorEastAsia" w:hAnsiTheme="majorEastAsia"/>
        </w:rPr>
        <w:t>仪表板界面中明确标注COMSOL数据为“反作用轮机械退化仿真代理”，并在显著位置保留“需经未见outer holdout确认”的限制声明，确保技术结论的边界条件在工程展示环节不被遗忘或误读。下述各工程能力模块均已交付可运行材料：</w:t>
      </w:r>
    </w:p>
    <w:tbl>
      <w:tblPr>
        <w:tblW w:w="8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5953"/>
      </w:tblGrid>
      <w:tr w:rsidR="002C006B" w:rsidRPr="007A1533" w14:paraId="1E4EF15B" w14:textId="77777777" w:rsidTr="002C006B">
        <w:trPr>
          <w:tblHeader/>
          <w:jc w:val="center"/>
        </w:trPr>
        <w:tc>
          <w:tcPr>
            <w:tcW w:w="2122" w:type="dxa"/>
            <w:tcMar>
              <w:top w:w="150" w:type="dxa"/>
              <w:left w:w="0" w:type="dxa"/>
              <w:bottom w:w="150" w:type="dxa"/>
              <w:right w:w="240" w:type="dxa"/>
            </w:tcMar>
            <w:vAlign w:val="center"/>
            <w:hideMark/>
          </w:tcPr>
          <w:p w14:paraId="409AB87C" w14:textId="77777777" w:rsidR="002C006B" w:rsidRPr="007A1533" w:rsidRDefault="002C006B" w:rsidP="007A1533">
            <w:pPr>
              <w:rPr>
                <w:rFonts w:asciiTheme="majorEastAsia" w:eastAsiaTheme="majorEastAsia" w:hAnsiTheme="majorEastAsia"/>
                <w:szCs w:val="21"/>
              </w:rPr>
            </w:pPr>
            <w:r w:rsidRPr="007A1533">
              <w:rPr>
                <w:rFonts w:asciiTheme="majorEastAsia" w:eastAsiaTheme="majorEastAsia" w:hAnsiTheme="majorEastAsia"/>
                <w:szCs w:val="21"/>
              </w:rPr>
              <w:t>能力模块</w:t>
            </w:r>
          </w:p>
        </w:tc>
        <w:tc>
          <w:tcPr>
            <w:tcW w:w="5953" w:type="dxa"/>
            <w:tcMar>
              <w:top w:w="150" w:type="dxa"/>
              <w:left w:w="240" w:type="dxa"/>
              <w:bottom w:w="150" w:type="dxa"/>
              <w:right w:w="240" w:type="dxa"/>
            </w:tcMar>
            <w:vAlign w:val="center"/>
            <w:hideMark/>
          </w:tcPr>
          <w:p w14:paraId="0AA4434B" w14:textId="77777777" w:rsidR="002C006B" w:rsidRPr="007A1533" w:rsidRDefault="002C006B" w:rsidP="007A1533">
            <w:pPr>
              <w:rPr>
                <w:rFonts w:asciiTheme="majorEastAsia" w:eastAsiaTheme="majorEastAsia" w:hAnsiTheme="majorEastAsia"/>
                <w:szCs w:val="21"/>
              </w:rPr>
            </w:pPr>
            <w:r w:rsidRPr="007A1533">
              <w:rPr>
                <w:rFonts w:asciiTheme="majorEastAsia" w:eastAsiaTheme="majorEastAsia" w:hAnsiTheme="majorEastAsia"/>
                <w:szCs w:val="21"/>
              </w:rPr>
              <w:t>工程价值</w:t>
            </w:r>
          </w:p>
        </w:tc>
      </w:tr>
      <w:tr w:rsidR="002C006B" w:rsidRPr="007A1533" w14:paraId="53815D00" w14:textId="77777777" w:rsidTr="002C006B">
        <w:trPr>
          <w:jc w:val="center"/>
        </w:trPr>
        <w:tc>
          <w:tcPr>
            <w:tcW w:w="2122" w:type="dxa"/>
            <w:tcMar>
              <w:top w:w="150" w:type="dxa"/>
              <w:left w:w="0" w:type="dxa"/>
              <w:bottom w:w="150" w:type="dxa"/>
              <w:right w:w="240" w:type="dxa"/>
            </w:tcMar>
            <w:vAlign w:val="center"/>
            <w:hideMark/>
          </w:tcPr>
          <w:p w14:paraId="558DEC4D" w14:textId="77777777" w:rsidR="002C006B" w:rsidRPr="007A1533" w:rsidRDefault="002C006B" w:rsidP="007A1533">
            <w:pPr>
              <w:rPr>
                <w:rFonts w:asciiTheme="majorEastAsia" w:eastAsiaTheme="majorEastAsia" w:hAnsiTheme="majorEastAsia"/>
                <w:szCs w:val="21"/>
              </w:rPr>
            </w:pPr>
            <w:r w:rsidRPr="007A1533">
              <w:rPr>
                <w:rFonts w:asciiTheme="majorEastAsia" w:eastAsiaTheme="majorEastAsia" w:hAnsiTheme="majorEastAsia"/>
                <w:szCs w:val="21"/>
              </w:rPr>
              <w:t>RUL与趋势曲线</w:t>
            </w:r>
          </w:p>
        </w:tc>
        <w:tc>
          <w:tcPr>
            <w:tcW w:w="5953" w:type="dxa"/>
            <w:tcMar>
              <w:top w:w="150" w:type="dxa"/>
              <w:left w:w="240" w:type="dxa"/>
              <w:bottom w:w="150" w:type="dxa"/>
              <w:right w:w="240" w:type="dxa"/>
            </w:tcMar>
            <w:vAlign w:val="center"/>
            <w:hideMark/>
          </w:tcPr>
          <w:p w14:paraId="40AF214F" w14:textId="77777777" w:rsidR="002C006B" w:rsidRPr="007A1533" w:rsidRDefault="002C006B" w:rsidP="007A1533">
            <w:pPr>
              <w:rPr>
                <w:rFonts w:asciiTheme="majorEastAsia" w:eastAsiaTheme="majorEastAsia" w:hAnsiTheme="majorEastAsia"/>
                <w:szCs w:val="21"/>
              </w:rPr>
            </w:pPr>
            <w:r w:rsidRPr="007A1533">
              <w:rPr>
                <w:rFonts w:asciiTheme="majorEastAsia" w:eastAsiaTheme="majorEastAsia" w:hAnsiTheme="majorEastAsia"/>
                <w:szCs w:val="21"/>
              </w:rPr>
              <w:t>直观观测退化进程与剩余寿命走势，支持趋势预判</w:t>
            </w:r>
          </w:p>
        </w:tc>
      </w:tr>
      <w:tr w:rsidR="002C006B" w:rsidRPr="007A1533" w14:paraId="2B7526A6" w14:textId="77777777" w:rsidTr="002C006B">
        <w:trPr>
          <w:jc w:val="center"/>
        </w:trPr>
        <w:tc>
          <w:tcPr>
            <w:tcW w:w="2122" w:type="dxa"/>
            <w:tcMar>
              <w:top w:w="150" w:type="dxa"/>
              <w:left w:w="0" w:type="dxa"/>
              <w:bottom w:w="150" w:type="dxa"/>
              <w:right w:w="240" w:type="dxa"/>
            </w:tcMar>
            <w:vAlign w:val="center"/>
            <w:hideMark/>
          </w:tcPr>
          <w:p w14:paraId="24D99EB8" w14:textId="77777777" w:rsidR="002C006B" w:rsidRPr="007A1533" w:rsidRDefault="002C006B" w:rsidP="007A1533">
            <w:pPr>
              <w:rPr>
                <w:rFonts w:asciiTheme="majorEastAsia" w:eastAsiaTheme="majorEastAsia" w:hAnsiTheme="majorEastAsia"/>
                <w:szCs w:val="21"/>
              </w:rPr>
            </w:pPr>
            <w:r w:rsidRPr="007A1533">
              <w:rPr>
                <w:rFonts w:asciiTheme="majorEastAsia" w:eastAsiaTheme="majorEastAsia" w:hAnsiTheme="majorEastAsia"/>
                <w:szCs w:val="21"/>
              </w:rPr>
              <w:t>风险状态指示</w:t>
            </w:r>
          </w:p>
        </w:tc>
        <w:tc>
          <w:tcPr>
            <w:tcW w:w="5953" w:type="dxa"/>
            <w:tcMar>
              <w:top w:w="150" w:type="dxa"/>
              <w:left w:w="240" w:type="dxa"/>
              <w:bottom w:w="150" w:type="dxa"/>
              <w:right w:w="240" w:type="dxa"/>
            </w:tcMar>
            <w:vAlign w:val="center"/>
            <w:hideMark/>
          </w:tcPr>
          <w:p w14:paraId="4BAACAE4" w14:textId="77777777" w:rsidR="002C006B" w:rsidRPr="007A1533" w:rsidRDefault="002C006B" w:rsidP="007A1533">
            <w:pPr>
              <w:rPr>
                <w:rFonts w:asciiTheme="majorEastAsia" w:eastAsiaTheme="majorEastAsia" w:hAnsiTheme="majorEastAsia"/>
                <w:szCs w:val="21"/>
              </w:rPr>
            </w:pPr>
            <w:r w:rsidRPr="007A1533">
              <w:rPr>
                <w:rFonts w:asciiTheme="majorEastAsia" w:eastAsiaTheme="majorEastAsia" w:hAnsiTheme="majorEastAsia"/>
                <w:szCs w:val="21"/>
              </w:rPr>
              <w:t>将连续预测值转化为正常/关注/警告三级离散动作信号</w:t>
            </w:r>
          </w:p>
        </w:tc>
      </w:tr>
      <w:tr w:rsidR="002C006B" w:rsidRPr="007A1533" w14:paraId="46790B79" w14:textId="77777777" w:rsidTr="002C006B">
        <w:trPr>
          <w:jc w:val="center"/>
        </w:trPr>
        <w:tc>
          <w:tcPr>
            <w:tcW w:w="2122" w:type="dxa"/>
            <w:tcMar>
              <w:top w:w="150" w:type="dxa"/>
              <w:left w:w="0" w:type="dxa"/>
              <w:bottom w:w="150" w:type="dxa"/>
              <w:right w:w="240" w:type="dxa"/>
            </w:tcMar>
            <w:vAlign w:val="center"/>
            <w:hideMark/>
          </w:tcPr>
          <w:p w14:paraId="48587C01" w14:textId="77777777" w:rsidR="002C006B" w:rsidRPr="007A1533" w:rsidRDefault="002C006B" w:rsidP="007A1533">
            <w:pPr>
              <w:rPr>
                <w:rFonts w:asciiTheme="majorEastAsia" w:eastAsiaTheme="majorEastAsia" w:hAnsiTheme="majorEastAsia"/>
                <w:szCs w:val="21"/>
              </w:rPr>
            </w:pPr>
            <w:r w:rsidRPr="007A1533">
              <w:rPr>
                <w:rFonts w:asciiTheme="majorEastAsia" w:eastAsiaTheme="majorEastAsia" w:hAnsiTheme="majorEastAsia"/>
                <w:szCs w:val="21"/>
              </w:rPr>
              <w:t>操作员/审计员视图分离</w:t>
            </w:r>
          </w:p>
        </w:tc>
        <w:tc>
          <w:tcPr>
            <w:tcW w:w="5953" w:type="dxa"/>
            <w:tcMar>
              <w:top w:w="150" w:type="dxa"/>
              <w:left w:w="240" w:type="dxa"/>
              <w:bottom w:w="150" w:type="dxa"/>
              <w:right w:w="240" w:type="dxa"/>
            </w:tcMar>
            <w:vAlign w:val="center"/>
            <w:hideMark/>
          </w:tcPr>
          <w:p w14:paraId="059A1A11" w14:textId="77777777" w:rsidR="002C006B" w:rsidRPr="007A1533" w:rsidRDefault="002C006B" w:rsidP="007A1533">
            <w:pPr>
              <w:rPr>
                <w:rFonts w:asciiTheme="majorEastAsia" w:eastAsiaTheme="majorEastAsia" w:hAnsiTheme="majorEastAsia"/>
                <w:szCs w:val="21"/>
              </w:rPr>
            </w:pPr>
            <w:r w:rsidRPr="007A1533">
              <w:rPr>
                <w:rFonts w:asciiTheme="majorEastAsia" w:eastAsiaTheme="majorEastAsia" w:hAnsiTheme="majorEastAsia"/>
                <w:szCs w:val="21"/>
              </w:rPr>
              <w:t>操作员界面不暴露未来标签，满足工程信息降噪与审计可追溯双重需求</w:t>
            </w:r>
          </w:p>
        </w:tc>
      </w:tr>
      <w:tr w:rsidR="002C006B" w:rsidRPr="007A1533" w14:paraId="1ACB55FA" w14:textId="77777777" w:rsidTr="002C006B">
        <w:trPr>
          <w:jc w:val="center"/>
        </w:trPr>
        <w:tc>
          <w:tcPr>
            <w:tcW w:w="2122" w:type="dxa"/>
            <w:tcMar>
              <w:top w:w="150" w:type="dxa"/>
              <w:left w:w="0" w:type="dxa"/>
              <w:bottom w:w="150" w:type="dxa"/>
              <w:right w:w="240" w:type="dxa"/>
            </w:tcMar>
            <w:vAlign w:val="center"/>
            <w:hideMark/>
          </w:tcPr>
          <w:p w14:paraId="2CBA0E21" w14:textId="77777777" w:rsidR="002C006B" w:rsidRPr="007A1533" w:rsidRDefault="002C006B" w:rsidP="007A1533">
            <w:pPr>
              <w:rPr>
                <w:rFonts w:asciiTheme="majorEastAsia" w:eastAsiaTheme="majorEastAsia" w:hAnsiTheme="majorEastAsia"/>
                <w:szCs w:val="21"/>
              </w:rPr>
            </w:pPr>
            <w:r w:rsidRPr="007A1533">
              <w:rPr>
                <w:rFonts w:asciiTheme="majorEastAsia" w:eastAsiaTheme="majorEastAsia" w:hAnsiTheme="majorEastAsia"/>
                <w:szCs w:val="21"/>
              </w:rPr>
              <w:t>版本与哈希溯源</w:t>
            </w:r>
          </w:p>
        </w:tc>
        <w:tc>
          <w:tcPr>
            <w:tcW w:w="5953" w:type="dxa"/>
            <w:tcMar>
              <w:top w:w="150" w:type="dxa"/>
              <w:left w:w="240" w:type="dxa"/>
              <w:bottom w:w="150" w:type="dxa"/>
              <w:right w:w="240" w:type="dxa"/>
            </w:tcMar>
            <w:vAlign w:val="center"/>
            <w:hideMark/>
          </w:tcPr>
          <w:p w14:paraId="78BCD469" w14:textId="77777777" w:rsidR="002C006B" w:rsidRPr="007A1533" w:rsidRDefault="002C006B" w:rsidP="007A1533">
            <w:pPr>
              <w:rPr>
                <w:rFonts w:asciiTheme="majorEastAsia" w:eastAsiaTheme="majorEastAsia" w:hAnsiTheme="majorEastAsia"/>
                <w:szCs w:val="21"/>
              </w:rPr>
            </w:pPr>
            <w:r w:rsidRPr="007A1533">
              <w:rPr>
                <w:rFonts w:asciiTheme="majorEastAsia" w:eastAsiaTheme="majorEastAsia" w:hAnsiTheme="majorEastAsia"/>
                <w:szCs w:val="21"/>
              </w:rPr>
              <w:t>每一个预测结果均可定位至具体协议版本和输入数据批次</w:t>
            </w:r>
          </w:p>
        </w:tc>
      </w:tr>
      <w:tr w:rsidR="002C006B" w:rsidRPr="007A1533" w14:paraId="2B5021E0" w14:textId="77777777" w:rsidTr="002C006B">
        <w:trPr>
          <w:jc w:val="center"/>
        </w:trPr>
        <w:tc>
          <w:tcPr>
            <w:tcW w:w="2122" w:type="dxa"/>
            <w:tcMar>
              <w:top w:w="150" w:type="dxa"/>
              <w:left w:w="0" w:type="dxa"/>
              <w:bottom w:w="150" w:type="dxa"/>
              <w:right w:w="240" w:type="dxa"/>
            </w:tcMar>
            <w:vAlign w:val="center"/>
            <w:hideMark/>
          </w:tcPr>
          <w:p w14:paraId="05AE1065" w14:textId="77777777" w:rsidR="002C006B" w:rsidRPr="007A1533" w:rsidRDefault="002C006B" w:rsidP="007A1533">
            <w:pPr>
              <w:rPr>
                <w:rFonts w:asciiTheme="majorEastAsia" w:eastAsiaTheme="majorEastAsia" w:hAnsiTheme="majorEastAsia"/>
                <w:szCs w:val="21"/>
              </w:rPr>
            </w:pPr>
            <w:r w:rsidRPr="007A1533">
              <w:rPr>
                <w:rFonts w:asciiTheme="majorEastAsia" w:eastAsiaTheme="majorEastAsia" w:hAnsiTheme="majorEastAsia"/>
                <w:szCs w:val="21"/>
              </w:rPr>
              <w:t>本地与Docker启动</w:t>
            </w:r>
          </w:p>
        </w:tc>
        <w:tc>
          <w:tcPr>
            <w:tcW w:w="5953" w:type="dxa"/>
            <w:tcMar>
              <w:top w:w="150" w:type="dxa"/>
              <w:left w:w="240" w:type="dxa"/>
              <w:bottom w:w="150" w:type="dxa"/>
              <w:right w:w="240" w:type="dxa"/>
            </w:tcMar>
            <w:vAlign w:val="center"/>
            <w:hideMark/>
          </w:tcPr>
          <w:p w14:paraId="01B7AB7E" w14:textId="77777777" w:rsidR="002C006B" w:rsidRPr="007A1533" w:rsidRDefault="002C006B" w:rsidP="007A1533">
            <w:pPr>
              <w:rPr>
                <w:rFonts w:asciiTheme="majorEastAsia" w:eastAsiaTheme="majorEastAsia" w:hAnsiTheme="majorEastAsia"/>
                <w:szCs w:val="21"/>
              </w:rPr>
            </w:pPr>
            <w:r w:rsidRPr="007A1533">
              <w:rPr>
                <w:rFonts w:asciiTheme="majorEastAsia" w:eastAsiaTheme="majorEastAsia" w:hAnsiTheme="majorEastAsia"/>
                <w:szCs w:val="21"/>
              </w:rPr>
              <w:t>支持一键拉起完整演示环境，消除环境依赖导致的复现障碍</w:t>
            </w:r>
          </w:p>
        </w:tc>
      </w:tr>
    </w:tbl>
    <w:p w14:paraId="3C3067EA" w14:textId="77777777" w:rsidR="007A1533" w:rsidRPr="007A1533" w:rsidRDefault="007A1533" w:rsidP="007A1533">
      <w:pPr>
        <w:rPr>
          <w:rFonts w:asciiTheme="majorEastAsia" w:eastAsiaTheme="majorEastAsia" w:hAnsiTheme="majorEastAsia"/>
        </w:rPr>
      </w:pPr>
      <w:r>
        <w:t>工程演示、启动命令和交付物索引见仓库 docs/engineering_demo.md；评审方可先运行工程演示，再按复现脚本检查协议和结果文件。</w:t>
      </w:r>
    </w:p>
    <w:p w14:paraId="00174898" w14:textId="77777777" w:rsidR="00770B2A" w:rsidRPr="00770B2A" w:rsidRDefault="00770B2A" w:rsidP="00770B2A">
      <w:pPr>
        <w:pStyle w:val="1"/>
        <w:rPr>
          <w:rFonts w:asciiTheme="majorEastAsia" w:eastAsiaTheme="majorEastAsia" w:hAnsiTheme="majorEastAsia"/>
        </w:rPr>
      </w:pPr>
      <w:r w:rsidRPr="00770B2A">
        <w:rPr>
          <w:rFonts w:asciiTheme="majorEastAsia" w:eastAsiaTheme="majorEastAsia" w:hAnsiTheme="majorEastAsia"/>
          <w:b/>
          <w:bCs/>
        </w:rPr>
        <w:t>八、工程实现与可复现性</w:t>
      </w:r>
    </w:p>
    <w:p>
      <w:pPr>
        <w:pStyle w:val="2"/>
      </w:pPr>
      <w:r>
        <w:t>软件系统作为工程演示层</w:t>
      </w:r>
    </w:p>
    <w:p>
      <w:r>
        <w:t>同学补充的软件部分被纳入工程演示层，而不是主实验层。软件系统读取已归档的预测结果和协议元数据，提供寿命趋势回放、RUL 数值、健康状态分级、时间轴浏览以及操作员/审计员双视图。它不重新训练模型，也不改变主实验的 outer-fold 切分、指标或结论，因此不会把展示功能误当成算法证据。</w:t>
      </w:r>
    </w:p>
    <w:p>
      <w:r>
        <w:t>评审方可在仓库 outputs/engineering_demo/femto_ims_to_comsol_v5/ 查看可离线打开的 index.html 和 DASHBOARD_DATA.json；启动说明见 docs/engineering_demo.md，脚本入口为 scripts/run_engineering_demo.py 与 scripts/run_engineering_demo.ps1。该模块对应赛事“寿命状态直观表达和工程应用流程”要求，主实验仍由 scripts/exp_cross_transfer_v3.py 及其审计输出定义。</w:t>
      </w:r>
    </w:p>
    <w:p>
      <w:r>
        <w:t>分支策略：main 只承载主实验、数据协议、复现环境和评委版文档；软件工程演示作为同一仓库中的独立模块维护，必要时使用 feature/software 或 software-demo 分支开发，合并前不得改写主实验结果。</w:t>
      </w:r>
    </w:p>
    <w:p w14:paraId="1848AEFC" w14:textId="77777777" w:rsidR="00770B2A" w:rsidRPr="00770B2A" w:rsidRDefault="00770B2A" w:rsidP="00770B2A">
      <w:pPr>
        <w:pStyle w:val="2"/>
        <w:rPr>
          <w:rFonts w:asciiTheme="majorEastAsia" w:eastAsiaTheme="majorEastAsia" w:hAnsiTheme="majorEastAsia"/>
        </w:rPr>
      </w:pPr>
      <w:r w:rsidRPr="00770B2A">
        <w:rPr>
          <w:rFonts w:asciiTheme="majorEastAsia" w:eastAsiaTheme="majorEastAsia" w:hAnsiTheme="majorEastAsia"/>
          <w:b/>
          <w:bCs/>
        </w:rPr>
        <w:t>8.1 代码组织</w:t>
      </w:r>
    </w:p>
    <w:p w14:paraId="376DC321" w14:textId="77777777" w:rsidR="00770B2A" w:rsidRPr="00770B2A" w:rsidRDefault="00770B2A" w:rsidP="00770B2A">
      <w:pPr>
        <w:rPr>
          <w:rFonts w:asciiTheme="majorEastAsia" w:eastAsiaTheme="majorEastAsia" w:hAnsiTheme="majorEastAsia"/>
        </w:rPr>
      </w:pPr>
      <w:r w:rsidRPr="00770B2A">
        <w:rPr>
          <w:rFonts w:asciiTheme="majorEastAsia" w:eastAsiaTheme="majorEastAsia" w:hAnsiTheme="majorEastAsia"/>
        </w:rPr>
        <w:t>本项目代码库以 PyTorch 为深度学习框架，围绕“模块解耦、流程固化、结果可溯”三个原则进行组织，确保评审方可在无需作者协助的情况下独立完成训练、微调、评估与复现全流程。</w:t>
      </w:r>
    </w:p>
    <w:p w14:paraId="08E3985C" w14:textId="77777777" w:rsidR="00770B2A" w:rsidRPr="00770B2A" w:rsidRDefault="00770B2A" w:rsidP="00770B2A">
      <w:pPr>
        <w:rPr>
          <w:rFonts w:asciiTheme="majorEastAsia" w:eastAsiaTheme="majorEastAsia" w:hAnsiTheme="majorEastAsia"/>
        </w:rPr>
      </w:pPr>
      <w:r w:rsidRPr="00770B2A">
        <w:rPr>
          <w:rFonts w:asciiTheme="majorEastAsia" w:eastAsiaTheme="majorEastAsia" w:hAnsiTheme="majorEastAsia"/>
        </w:rPr>
        <w:t>代码库按功能职责划分为五个顶层模块：data/ 负责所有数据集的加载、轨迹级切分、哈希校验与预处理流水线；models/ 包含编码器、输入投影层、RUL预测头及adapter等网络结</w:t>
      </w:r>
      <w:r w:rsidRPr="00770B2A">
        <w:rPr>
          <w:rFonts w:asciiTheme="majorEastAsia" w:eastAsiaTheme="majorEastAsia" w:hAnsiTheme="majorEastAsia"/>
        </w:rPr>
        <w:lastRenderedPageBreak/>
        <w:t>构定义；evaluation/ 实现各评估指标计算、基线对照生成与结果汇总逻辑；experiments/ 承载主协议与补充协议的训练入口、微调流程及早停控制；visualization/ 提供预测曲线绘制、仪表板数据接口与风险状态渲染功能。各模块间通过明确的输入输出契约进行交互，支持独立修改与替换而不影响上下游流程。</w:t>
      </w:r>
    </w:p>
    <w:p w14:paraId="1E58BABF" w14:textId="77777777" w:rsidR="00770B2A" w:rsidRPr="00770B2A" w:rsidRDefault="00770B2A" w:rsidP="00770B2A">
      <w:pPr>
        <w:rPr>
          <w:rFonts w:asciiTheme="majorEastAsia" w:eastAsiaTheme="majorEastAsia" w:hAnsiTheme="majorEastAsia"/>
        </w:rPr>
      </w:pPr>
      <w:r w:rsidRPr="00770B2A">
        <w:rPr>
          <w:rFonts w:asciiTheme="majorEastAsia" w:eastAsiaTheme="majorEastAsia" w:hAnsiTheme="majorEastAsia"/>
        </w:rPr>
        <w:t>两个主入口脚本分别对应赛事主协议与反作用轮仿真代理协议：scripts/exp_cross_transfer_v3.py 执行喷嘴→NASA电池与喷嘴→FEMTO两条链路的跨组件迁移实验；scripts/exp_femto_ims_to_comsol_outerloo_v5.py 执行FEMTO→COMSOL反作用轮仿真代理的留一轨迹验证。两个入口脚本共享同一套底层训练与评估引擎，仅在数据加载配置与协议参数上有所区分，确保了不同实验之间训练策略的一致性。</w:t>
      </w:r>
    </w:p>
    <w:p w14:paraId="4D00E323" w14:textId="77777777" w:rsidR="00770B2A" w:rsidRPr="00770B2A" w:rsidRDefault="00770B2A" w:rsidP="00770B2A">
      <w:pPr>
        <w:rPr>
          <w:rFonts w:asciiTheme="majorEastAsia" w:eastAsiaTheme="majorEastAsia" w:hAnsiTheme="majorEastAsia"/>
        </w:rPr>
      </w:pPr>
      <w:r w:rsidRPr="00770B2A">
        <w:rPr>
          <w:rFonts w:asciiTheme="majorEastAsia" w:eastAsiaTheme="majorEastAsia" w:hAnsiTheme="majorEastAsia"/>
        </w:rPr>
        <w:t>所有实验输出按协议版本和运行时间进行目录隔离。主输出根目录为 outputs/cross_component_transfer_v3/ 与 outputs/femto_ims_to_comsol_v5/，每个目录内包含完整的状态文件、指标汇总、逐折预测、训练曲线与版本锁定记录。历史诊断结果（如早期协议版本下的探索性实验）被单独存放在 outputs/archive/ 中，与主结论明确区分，避免历史调试记录对最终评估结论的干扰，同时保留完整的实验演进轨迹供审查。</w:t>
      </w:r>
    </w:p>
    <w:p w14:paraId="3616A6EF" w14:textId="77777777" w:rsidR="00770B2A" w:rsidRPr="00770B2A" w:rsidRDefault="00770B2A" w:rsidP="00770B2A">
      <w:pPr>
        <w:rPr>
          <w:rFonts w:asciiTheme="majorEastAsia" w:eastAsiaTheme="majorEastAsia" w:hAnsiTheme="majorEastAsia"/>
        </w:rPr>
      </w:pPr>
      <w:r>
        <w:t>仓库提供 Dockerfile、docker/docker-compose.yml、docker/requirements.lock.txt 以及 reproduce_femto_ims_to_comsol.ps1/.sh。Docker 复现流程按 preflight -&gt; smoke -&gt; full -&gt; artifact audit 执行，结果写入宿主机 outputs/，具体命令见 README.md 和 docs/docker_reproduction_report_20260821.md。</w:t>
      </w:r>
    </w:p>
    <w:p w14:paraId="7225D750" w14:textId="77777777" w:rsidR="004A55A1" w:rsidRPr="004A55A1" w:rsidRDefault="004A55A1" w:rsidP="004A55A1">
      <w:pPr>
        <w:pStyle w:val="2"/>
        <w:rPr>
          <w:rFonts w:asciiTheme="majorEastAsia" w:eastAsiaTheme="majorEastAsia" w:hAnsiTheme="majorEastAsia"/>
        </w:rPr>
      </w:pPr>
      <w:r w:rsidRPr="004A55A1">
        <w:rPr>
          <w:rFonts w:asciiTheme="majorEastAsia" w:eastAsiaTheme="majorEastAsia" w:hAnsiTheme="majorEastAsia"/>
          <w:b/>
          <w:bCs/>
        </w:rPr>
        <w:t>8.2 Docker 容器化复现验证</w:t>
      </w:r>
    </w:p>
    <w:p w14:paraId="30C21798" w14:textId="77777777" w:rsidR="004A55A1" w:rsidRPr="00CC5DC1" w:rsidRDefault="004A55A1" w:rsidP="004A55A1">
      <w:pPr>
        <w:rPr>
          <w:rFonts w:asciiTheme="majorEastAsia" w:eastAsiaTheme="majorEastAsia" w:hAnsiTheme="majorEastAsia"/>
        </w:rPr>
      </w:pPr>
      <w:r w:rsidRPr="00CC5DC1">
        <w:rPr>
          <w:rFonts w:asciiTheme="majorEastAsia" w:eastAsiaTheme="majorEastAsia" w:hAnsiTheme="majorEastAsia"/>
        </w:rPr>
        <w:t>可复现性的最终保障来自于容器化封装。本项目使用 Docker Desktop（Linux/WSL2 后端）构建了完整的实验镜像，将全部运行环境、代码依赖与数据校验逻辑固化于同一可移植单元中，消除了因 Python 版本、库版本或操作系统差异所引入的复现不确定性。</w:t>
      </w:r>
    </w:p>
    <w:p w14:paraId="210FE9ED" w14:textId="77777777" w:rsidR="004A55A1" w:rsidRPr="00CC5DC1" w:rsidRDefault="004A55A1" w:rsidP="004A55A1">
      <w:pPr>
        <w:rPr>
          <w:rFonts w:asciiTheme="majorEastAsia" w:eastAsiaTheme="majorEastAsia" w:hAnsiTheme="majorEastAsia"/>
        </w:rPr>
      </w:pPr>
      <w:r w:rsidRPr="00CC5DC1">
        <w:rPr>
          <w:rFonts w:asciiTheme="majorEastAsia" w:eastAsiaTheme="majorEastAsia" w:hAnsiTheme="majorEastAsia"/>
        </w:rPr>
        <w:t>镜像基于 Ubuntu 22.04 LTS 构建，预置了经过锁定的 Python 3.11.9 运行时以及全部核心依赖库：PyTorch 2.3.1+cpu（镜像采用 CPU 版本以确保在无 GPU 环境下仍可完整运行，所有实验均可纯 CPU 复现）、NumPy 1.26.4、SciPy 1.13.1、scikit-learn 1.5.1、pandas 2.2.2 与 h5py 3.11.0。依赖版本全部以精确的包哈希值锁定于 requirements.lock 中，任何版本的漂移均会被容器构建流程自动检测并阻断。</w:t>
      </w:r>
    </w:p>
    <w:p w14:paraId="7A8DFC6A" w14:textId="77777777" w:rsidR="004A55A1" w:rsidRPr="00CC5DC1" w:rsidRDefault="004A55A1" w:rsidP="004A55A1">
      <w:pPr>
        <w:rPr>
          <w:rFonts w:asciiTheme="majorEastAsia" w:eastAsiaTheme="majorEastAsia" w:hAnsiTheme="majorEastAsia"/>
        </w:rPr>
      </w:pPr>
      <w:r w:rsidRPr="00CC5DC1">
        <w:rPr>
          <w:rFonts w:asciiTheme="majorEastAsia" w:eastAsiaTheme="majorEastAsia" w:hAnsiTheme="majorEastAsia"/>
        </w:rPr>
        <w:t>镜像运行时的数据流遵循“输入只读、输出可写”的工程安全原则。数据集目录以只读方式挂载至容器内，防止实验过程中意外修改原始数据；输出目录以可写方式挂载，用于存放运行生成的预测结果、指标汇总与状态日志。这一隔离设计使得同一份数据可被多次独立运行反复消费，同时确保每次运行的结果均可完整保存并逐次追溯。</w:t>
      </w:r>
    </w:p>
    <w:p w14:paraId="34196E1D" w14:textId="77777777" w:rsidR="004A55A1" w:rsidRPr="00CC5DC1" w:rsidRDefault="004A55A1" w:rsidP="004A55A1">
      <w:pPr>
        <w:rPr>
          <w:rFonts w:asciiTheme="majorEastAsia" w:eastAsiaTheme="majorEastAsia" w:hAnsiTheme="majorEastAsia"/>
        </w:rPr>
      </w:pPr>
      <w:r w:rsidRPr="00CC5DC1">
        <w:rPr>
          <w:rFonts w:asciiTheme="majorEastAsia" w:eastAsiaTheme="majorEastAsia" w:hAnsiTheme="majorEastAsia"/>
        </w:rPr>
        <w:t>项目在镜像内配置了多级验证流水线，用于确认运行环境的正确性与结果的确定性一致性。验证流程按以下顺序执行：</w:t>
      </w:r>
    </w:p>
    <w:p w14:paraId="4EA20EE6" w14:textId="77777777" w:rsidR="004A55A1" w:rsidRPr="00CC5DC1" w:rsidRDefault="004A55A1" w:rsidP="004A55A1">
      <w:pPr>
        <w:rPr>
          <w:rFonts w:asciiTheme="majorEastAsia" w:eastAsiaTheme="majorEastAsia" w:hAnsiTheme="majorEastAsia"/>
        </w:rPr>
      </w:pPr>
      <w:r w:rsidRPr="00CC5DC1">
        <w:rPr>
          <w:rFonts w:asciiTheme="majorEastAsia" w:eastAsiaTheme="majorEastAsia" w:hAnsiTheme="majorEastAsia"/>
        </w:rPr>
        <w:t>预检（preflight）。 容器启动后首先执行环境自检，包括 Python 版本核对、所有依赖库的导入测试、GPU/CPU 后端可用性确认、数据集哈希校验以及数据目录完整性扫描。预检全部通过后，流水线方可进入下一阶段。</w:t>
      </w:r>
    </w:p>
    <w:p w14:paraId="3A226885" w14:textId="77777777" w:rsidR="004A55A1" w:rsidRPr="00CC5DC1" w:rsidRDefault="004A55A1" w:rsidP="004A55A1">
      <w:pPr>
        <w:rPr>
          <w:rFonts w:asciiTheme="majorEastAsia" w:eastAsiaTheme="majorEastAsia" w:hAnsiTheme="majorEastAsia"/>
        </w:rPr>
      </w:pPr>
      <w:r w:rsidRPr="00CC5DC1">
        <w:rPr>
          <w:rFonts w:asciiTheme="majorEastAsia" w:eastAsiaTheme="majorEastAsia" w:hAnsiTheme="majorEastAsia"/>
        </w:rPr>
        <w:t>冒烟测试（smoke）。 使用极小规模的截断数据执行一个微型训练-评估回合，用以验证数据加载、前向传播、反向传播、checkpoint保存与指标计算全链路的连通性。冒烟测试生成 66 行宏记录，确认所有组件可协同工作而无运行时异常。</w:t>
      </w:r>
    </w:p>
    <w:p w14:paraId="55107D6C" w14:textId="77777777" w:rsidR="004A55A1" w:rsidRPr="00CC5DC1" w:rsidRDefault="004A55A1" w:rsidP="004A55A1">
      <w:pPr>
        <w:rPr>
          <w:rFonts w:asciiTheme="majorEastAsia" w:eastAsiaTheme="majorEastAsia" w:hAnsiTheme="majorEastAsia"/>
        </w:rPr>
      </w:pPr>
      <w:r w:rsidRPr="00CC5DC1">
        <w:rPr>
          <w:rFonts w:asciiTheme="majorEastAsia" w:eastAsiaTheme="majorEastAsia" w:hAnsiTheme="majorEastAsia"/>
        </w:rPr>
        <w:t>全量运行（full）。 执行协议要求的完整训练与评估流程。全量运行生成 120 行宏记录，覆盖全部 outer folds、全部样本规模层级以及全部对照基线，输出完整的预测结果、指标汇总与状态日志。</w:t>
      </w:r>
    </w:p>
    <w:p w14:paraId="74A88088" w14:textId="77777777" w:rsidR="004A55A1" w:rsidRPr="00CC5DC1" w:rsidRDefault="004A55A1" w:rsidP="004A55A1">
      <w:pPr>
        <w:rPr>
          <w:rFonts w:asciiTheme="majorEastAsia" w:eastAsiaTheme="majorEastAsia" w:hAnsiTheme="majorEastAsia"/>
        </w:rPr>
      </w:pPr>
      <w:r w:rsidRPr="00CC5DC1">
        <w:rPr>
          <w:rFonts w:asciiTheme="majorEastAsia" w:eastAsiaTheme="majorEastAsia" w:hAnsiTheme="majorEastAsia"/>
        </w:rPr>
        <w:lastRenderedPageBreak/>
        <w:t>单元与集成测试。 代码库内建了针对数据切分逻辑、可见性审计规则、scalet变换一致性、哈希校验函数以及指标计算正确性的测试套件。容器内执行完整测试集，结果为 129 项测试通过、1 项跳过（该测试依赖可选的可视化组件，非核心推理路径）、10 项警告（均为过时 API 提示，不影响计算结果）以及 43 个子测试通过，确认核心工程实现的可靠性。</w:t>
      </w:r>
    </w:p>
    <w:p w14:paraId="7F57DB9C" w14:textId="77777777" w:rsidR="004A55A1" w:rsidRPr="00CC5DC1" w:rsidRDefault="004A55A1" w:rsidP="004A55A1">
      <w:pPr>
        <w:rPr>
          <w:rFonts w:asciiTheme="majorEastAsia" w:eastAsiaTheme="majorEastAsia" w:hAnsiTheme="majorEastAsia"/>
        </w:rPr>
      </w:pPr>
      <w:r w:rsidRPr="00CC5DC1">
        <w:rPr>
          <w:rFonts w:asciiTheme="majorEastAsia" w:eastAsiaTheme="majorEastAsia" w:hAnsiTheme="majorEastAsia"/>
        </w:rPr>
        <w:t>独立全量重跑验证。 为验证同一镜像是否可在不同时间或不同宿主机上产生完全一致的数值结果，项目执行了一次完整的独立重跑——使用相同的镜像、相同的数据挂载与相同的入口命令，在初次运行完成后间隔数日再次启动容器执行全量流程。两次运行的 MACRO 汇总指标、逐折 PREDICTIONS 数值、PROTOCOL 状态文件以及 DATA_MANIFEST 哈希值完全一致，确认了实验结果的确定性复现能力。</w:t>
      </w:r>
    </w:p>
    <w:p w14:paraId="6890F9C3"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上述验证结果汇总如下：</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7"/>
        <w:gridCol w:w="3034"/>
        <w:gridCol w:w="3666"/>
      </w:tblGrid>
      <w:tr w:rsidR="004A55A1" w:rsidRPr="004A55A1" w14:paraId="2966A17C" w14:textId="77777777" w:rsidTr="004A55A1">
        <w:trPr>
          <w:tblHeader/>
          <w:jc w:val="center"/>
        </w:trPr>
        <w:tc>
          <w:tcPr>
            <w:tcW w:w="0" w:type="auto"/>
            <w:tcMar>
              <w:top w:w="150" w:type="dxa"/>
              <w:left w:w="0" w:type="dxa"/>
              <w:bottom w:w="150" w:type="dxa"/>
              <w:right w:w="240" w:type="dxa"/>
            </w:tcMar>
            <w:vAlign w:val="center"/>
            <w:hideMark/>
          </w:tcPr>
          <w:p w14:paraId="1CCAA50E"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验证项</w:t>
            </w:r>
          </w:p>
        </w:tc>
        <w:tc>
          <w:tcPr>
            <w:tcW w:w="0" w:type="auto"/>
            <w:tcMar>
              <w:top w:w="150" w:type="dxa"/>
              <w:left w:w="240" w:type="dxa"/>
              <w:bottom w:w="150" w:type="dxa"/>
              <w:right w:w="240" w:type="dxa"/>
            </w:tcMar>
            <w:vAlign w:val="center"/>
            <w:hideMark/>
          </w:tcPr>
          <w:p w14:paraId="252ABD30"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执行内容</w:t>
            </w:r>
          </w:p>
        </w:tc>
        <w:tc>
          <w:tcPr>
            <w:tcW w:w="3666" w:type="dxa"/>
            <w:tcMar>
              <w:top w:w="150" w:type="dxa"/>
              <w:left w:w="240" w:type="dxa"/>
              <w:bottom w:w="150" w:type="dxa"/>
              <w:right w:w="240" w:type="dxa"/>
            </w:tcMar>
            <w:vAlign w:val="center"/>
            <w:hideMark/>
          </w:tcPr>
          <w:p w14:paraId="73A8AFA1"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结果</w:t>
            </w:r>
          </w:p>
        </w:tc>
      </w:tr>
      <w:tr w:rsidR="004A55A1" w:rsidRPr="004A55A1" w14:paraId="5B6CCA89" w14:textId="77777777" w:rsidTr="004A55A1">
        <w:trPr>
          <w:jc w:val="center"/>
        </w:trPr>
        <w:tc>
          <w:tcPr>
            <w:tcW w:w="0" w:type="auto"/>
            <w:tcMar>
              <w:top w:w="150" w:type="dxa"/>
              <w:left w:w="0" w:type="dxa"/>
              <w:bottom w:w="150" w:type="dxa"/>
              <w:right w:w="240" w:type="dxa"/>
            </w:tcMar>
            <w:vAlign w:val="center"/>
            <w:hideMark/>
          </w:tcPr>
          <w:p w14:paraId="614DDE66"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预检</w:t>
            </w:r>
          </w:p>
        </w:tc>
        <w:tc>
          <w:tcPr>
            <w:tcW w:w="0" w:type="auto"/>
            <w:tcMar>
              <w:top w:w="150" w:type="dxa"/>
              <w:left w:w="240" w:type="dxa"/>
              <w:bottom w:w="150" w:type="dxa"/>
              <w:right w:w="240" w:type="dxa"/>
            </w:tcMar>
            <w:vAlign w:val="center"/>
            <w:hideMark/>
          </w:tcPr>
          <w:p w14:paraId="0359CC6B"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环境自检与数据完整性校验</w:t>
            </w:r>
          </w:p>
        </w:tc>
        <w:tc>
          <w:tcPr>
            <w:tcW w:w="3666" w:type="dxa"/>
            <w:tcMar>
              <w:top w:w="150" w:type="dxa"/>
              <w:left w:w="240" w:type="dxa"/>
              <w:bottom w:w="150" w:type="dxa"/>
              <w:right w:w="0" w:type="dxa"/>
            </w:tcMar>
            <w:vAlign w:val="center"/>
            <w:hideMark/>
          </w:tcPr>
          <w:p w14:paraId="2703E4C9"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通过</w:t>
            </w:r>
          </w:p>
        </w:tc>
      </w:tr>
      <w:tr w:rsidR="004A55A1" w:rsidRPr="004A55A1" w14:paraId="669FBD9C" w14:textId="77777777" w:rsidTr="004A55A1">
        <w:trPr>
          <w:jc w:val="center"/>
        </w:trPr>
        <w:tc>
          <w:tcPr>
            <w:tcW w:w="0" w:type="auto"/>
            <w:tcMar>
              <w:top w:w="150" w:type="dxa"/>
              <w:left w:w="0" w:type="dxa"/>
              <w:bottom w:w="150" w:type="dxa"/>
              <w:right w:w="240" w:type="dxa"/>
            </w:tcMar>
            <w:vAlign w:val="center"/>
            <w:hideMark/>
          </w:tcPr>
          <w:p w14:paraId="77A2C99A"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冒烟测试</w:t>
            </w:r>
          </w:p>
        </w:tc>
        <w:tc>
          <w:tcPr>
            <w:tcW w:w="0" w:type="auto"/>
            <w:tcMar>
              <w:top w:w="150" w:type="dxa"/>
              <w:left w:w="240" w:type="dxa"/>
              <w:bottom w:w="150" w:type="dxa"/>
              <w:right w:w="240" w:type="dxa"/>
            </w:tcMar>
            <w:vAlign w:val="center"/>
            <w:hideMark/>
          </w:tcPr>
          <w:p w14:paraId="3B1CFF00"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截断数据全链路连通性验证</w:t>
            </w:r>
          </w:p>
        </w:tc>
        <w:tc>
          <w:tcPr>
            <w:tcW w:w="3666" w:type="dxa"/>
            <w:tcMar>
              <w:top w:w="150" w:type="dxa"/>
              <w:left w:w="240" w:type="dxa"/>
              <w:bottom w:w="150" w:type="dxa"/>
              <w:right w:w="0" w:type="dxa"/>
            </w:tcMar>
            <w:vAlign w:val="center"/>
            <w:hideMark/>
          </w:tcPr>
          <w:p w14:paraId="626F65C2"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通过，66 行宏记录</w:t>
            </w:r>
          </w:p>
        </w:tc>
      </w:tr>
      <w:tr w:rsidR="004A55A1" w:rsidRPr="004A55A1" w14:paraId="3459ECDD" w14:textId="77777777" w:rsidTr="004A55A1">
        <w:trPr>
          <w:jc w:val="center"/>
        </w:trPr>
        <w:tc>
          <w:tcPr>
            <w:tcW w:w="0" w:type="auto"/>
            <w:tcMar>
              <w:top w:w="150" w:type="dxa"/>
              <w:left w:w="0" w:type="dxa"/>
              <w:bottom w:w="150" w:type="dxa"/>
              <w:right w:w="240" w:type="dxa"/>
            </w:tcMar>
            <w:vAlign w:val="center"/>
            <w:hideMark/>
          </w:tcPr>
          <w:p w14:paraId="1939E65C"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全量运行</w:t>
            </w:r>
          </w:p>
        </w:tc>
        <w:tc>
          <w:tcPr>
            <w:tcW w:w="0" w:type="auto"/>
            <w:tcMar>
              <w:top w:w="150" w:type="dxa"/>
              <w:left w:w="240" w:type="dxa"/>
              <w:bottom w:w="150" w:type="dxa"/>
              <w:right w:w="240" w:type="dxa"/>
            </w:tcMar>
            <w:vAlign w:val="center"/>
            <w:hideMark/>
          </w:tcPr>
          <w:p w14:paraId="5D472559"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完整协议训练与评估</w:t>
            </w:r>
          </w:p>
        </w:tc>
        <w:tc>
          <w:tcPr>
            <w:tcW w:w="3666" w:type="dxa"/>
            <w:tcMar>
              <w:top w:w="150" w:type="dxa"/>
              <w:left w:w="240" w:type="dxa"/>
              <w:bottom w:w="150" w:type="dxa"/>
              <w:right w:w="0" w:type="dxa"/>
            </w:tcMar>
            <w:vAlign w:val="center"/>
            <w:hideMark/>
          </w:tcPr>
          <w:p w14:paraId="0D709D94"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通过，120 行宏记录</w:t>
            </w:r>
          </w:p>
        </w:tc>
      </w:tr>
      <w:tr w:rsidR="004A55A1" w:rsidRPr="004A55A1" w14:paraId="29B8EF3B" w14:textId="77777777" w:rsidTr="004A55A1">
        <w:trPr>
          <w:jc w:val="center"/>
        </w:trPr>
        <w:tc>
          <w:tcPr>
            <w:tcW w:w="0" w:type="auto"/>
            <w:tcMar>
              <w:top w:w="150" w:type="dxa"/>
              <w:left w:w="0" w:type="dxa"/>
              <w:bottom w:w="150" w:type="dxa"/>
              <w:right w:w="240" w:type="dxa"/>
            </w:tcMar>
            <w:vAlign w:val="center"/>
            <w:hideMark/>
          </w:tcPr>
          <w:p w14:paraId="78E0B9AA"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容器内测试</w:t>
            </w:r>
          </w:p>
        </w:tc>
        <w:tc>
          <w:tcPr>
            <w:tcW w:w="0" w:type="auto"/>
            <w:tcMar>
              <w:top w:w="150" w:type="dxa"/>
              <w:left w:w="240" w:type="dxa"/>
              <w:bottom w:w="150" w:type="dxa"/>
              <w:right w:w="240" w:type="dxa"/>
            </w:tcMar>
            <w:vAlign w:val="center"/>
            <w:hideMark/>
          </w:tcPr>
          <w:p w14:paraId="603FB7BA"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单元测试与集成测试套件</w:t>
            </w:r>
          </w:p>
        </w:tc>
        <w:tc>
          <w:tcPr>
            <w:tcW w:w="3666" w:type="dxa"/>
            <w:tcMar>
              <w:top w:w="150" w:type="dxa"/>
              <w:left w:w="240" w:type="dxa"/>
              <w:bottom w:w="150" w:type="dxa"/>
              <w:right w:w="0" w:type="dxa"/>
            </w:tcMar>
            <w:vAlign w:val="center"/>
            <w:hideMark/>
          </w:tcPr>
          <w:p w14:paraId="077835E9"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129 通过 / 1 跳过 / 10 警告 / 43 子测试通过</w:t>
            </w:r>
          </w:p>
        </w:tc>
      </w:tr>
      <w:tr w:rsidR="004A55A1" w:rsidRPr="004A55A1" w14:paraId="7E7CD056" w14:textId="77777777" w:rsidTr="004A55A1">
        <w:trPr>
          <w:jc w:val="center"/>
        </w:trPr>
        <w:tc>
          <w:tcPr>
            <w:tcW w:w="0" w:type="auto"/>
            <w:tcMar>
              <w:top w:w="150" w:type="dxa"/>
              <w:left w:w="0" w:type="dxa"/>
              <w:bottom w:w="150" w:type="dxa"/>
              <w:right w:w="240" w:type="dxa"/>
            </w:tcMar>
            <w:vAlign w:val="center"/>
            <w:hideMark/>
          </w:tcPr>
          <w:p w14:paraId="36BE7E21"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独立全量重跑</w:t>
            </w:r>
          </w:p>
        </w:tc>
        <w:tc>
          <w:tcPr>
            <w:tcW w:w="0" w:type="auto"/>
            <w:tcMar>
              <w:top w:w="150" w:type="dxa"/>
              <w:left w:w="240" w:type="dxa"/>
              <w:bottom w:w="150" w:type="dxa"/>
              <w:right w:w="240" w:type="dxa"/>
            </w:tcMar>
            <w:vAlign w:val="center"/>
            <w:hideMark/>
          </w:tcPr>
          <w:p w14:paraId="44F98DB5"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数日后再次运行同一镜像</w:t>
            </w:r>
          </w:p>
        </w:tc>
        <w:tc>
          <w:tcPr>
            <w:tcW w:w="3666" w:type="dxa"/>
            <w:tcMar>
              <w:top w:w="150" w:type="dxa"/>
              <w:left w:w="240" w:type="dxa"/>
              <w:bottom w:w="150" w:type="dxa"/>
              <w:right w:w="0" w:type="dxa"/>
            </w:tcMar>
            <w:vAlign w:val="center"/>
            <w:hideMark/>
          </w:tcPr>
          <w:p w14:paraId="34BE2ACD"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指标与哈希完全一致</w:t>
            </w:r>
          </w:p>
        </w:tc>
      </w:tr>
      <w:tr w:rsidR="004A55A1" w:rsidRPr="004A55A1" w14:paraId="5EA3A758" w14:textId="77777777" w:rsidTr="004A55A1">
        <w:trPr>
          <w:jc w:val="center"/>
        </w:trPr>
        <w:tc>
          <w:tcPr>
            <w:tcW w:w="0" w:type="auto"/>
            <w:tcMar>
              <w:top w:w="150" w:type="dxa"/>
              <w:left w:w="0" w:type="dxa"/>
              <w:bottom w:w="150" w:type="dxa"/>
              <w:right w:w="240" w:type="dxa"/>
            </w:tcMar>
            <w:vAlign w:val="center"/>
            <w:hideMark/>
          </w:tcPr>
          <w:p w14:paraId="15517997"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数据挂载</w:t>
            </w:r>
          </w:p>
        </w:tc>
        <w:tc>
          <w:tcPr>
            <w:tcW w:w="0" w:type="auto"/>
            <w:tcMar>
              <w:top w:w="150" w:type="dxa"/>
              <w:left w:w="240" w:type="dxa"/>
              <w:bottom w:w="150" w:type="dxa"/>
              <w:right w:w="240" w:type="dxa"/>
            </w:tcMar>
            <w:vAlign w:val="center"/>
            <w:hideMark/>
          </w:tcPr>
          <w:p w14:paraId="71B2638E"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输入只读 / 输出可写隔离</w:t>
            </w:r>
          </w:p>
        </w:tc>
        <w:tc>
          <w:tcPr>
            <w:tcW w:w="3666" w:type="dxa"/>
            <w:tcMar>
              <w:top w:w="150" w:type="dxa"/>
              <w:left w:w="240" w:type="dxa"/>
              <w:bottom w:w="150" w:type="dxa"/>
              <w:right w:w="0" w:type="dxa"/>
            </w:tcMar>
            <w:vAlign w:val="center"/>
            <w:hideMark/>
          </w:tcPr>
          <w:p w14:paraId="63A22649" w14:textId="77777777" w:rsidR="004A55A1" w:rsidRPr="004A55A1" w:rsidRDefault="004A55A1" w:rsidP="004A55A1">
            <w:pPr>
              <w:rPr>
                <w:rFonts w:asciiTheme="majorEastAsia" w:eastAsiaTheme="majorEastAsia" w:hAnsiTheme="majorEastAsia"/>
              </w:rPr>
            </w:pPr>
            <w:r w:rsidRPr="004A55A1">
              <w:rPr>
                <w:rFonts w:asciiTheme="majorEastAsia" w:eastAsiaTheme="majorEastAsia" w:hAnsiTheme="majorEastAsia"/>
              </w:rPr>
              <w:t>确认</w:t>
            </w:r>
          </w:p>
        </w:tc>
      </w:tr>
    </w:tbl>
    <w:p w14:paraId="4757B93A" w14:textId="77777777" w:rsidR="004A55A1" w:rsidRPr="004A55A1" w:rsidRDefault="004A55A1" w:rsidP="004A55A1">
      <w:pPr>
        <w:rPr>
          <w:rFonts w:asciiTheme="majorEastAsia" w:eastAsiaTheme="majorEastAsia" w:hAnsiTheme="majorEastAsia"/>
        </w:rPr>
      </w:pPr>
      <w:r>
        <w:t>上述材料支持评审方在 Docker Desktop 中复现实验协议和工程演示；具体运行时间与机器环境可能不同，最终以生成的环境记录、协议文件和哈希清单为准。</w:t>
      </w:r>
    </w:p>
    <w:p w14:paraId="172C13A8" w14:textId="77777777" w:rsidR="00F50D81" w:rsidRPr="00F50D81" w:rsidRDefault="00F50D81" w:rsidP="00F50D81">
      <w:pPr>
        <w:pStyle w:val="2"/>
        <w:rPr>
          <w:rFonts w:asciiTheme="majorEastAsia" w:eastAsiaTheme="majorEastAsia" w:hAnsiTheme="majorEastAsia"/>
        </w:rPr>
      </w:pPr>
      <w:r w:rsidRPr="00F50D81">
        <w:rPr>
          <w:rFonts w:asciiTheme="majorEastAsia" w:eastAsiaTheme="majorEastAsia" w:hAnsiTheme="majorEastAsia"/>
          <w:b/>
          <w:bCs/>
        </w:rPr>
        <w:t>8.3 一键入口与执行路径</w:t>
      </w:r>
    </w:p>
    <w:p w14:paraId="10FAE302"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为实现赛事要求的“可执行代码能够复现全过程”目标，项目提供了三条独立的入口路径，分别对应评审方的三种典型使用场景：严格复现主实验结论、快速验证环境连通性、以及启动工程演示界面。所有入口均以容器化方式运行，无需配置本地 Python 环境。</w:t>
      </w:r>
    </w:p>
    <w:p w14:paraId="03E38871"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严格迁移复现入口。 这是评审方验证报告结论的核心路径。执行以下命令即可在容器内启动 v5 协议的完整训练、微调与评估流程，涵盖全部 outer folds、全部样本规模层级（N=1,2,3）以及全部对照基线（Scratch、Ridge、三种确定性趋势）：</w:t>
      </w:r>
    </w:p>
    <w:p w14:paraId="4AF5F9D1"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powershell</w:t>
      </w:r>
    </w:p>
    <w:p w14:paraId="597DAB8E"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.\scripts\reproduce_femto_ims_to_comsol.ps1</w:t>
      </w:r>
    </w:p>
    <w:p w14:paraId="452B3E41"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脚本自动完成数据挂载校验、依赖环境检查、协议执行与结果归档。运行完毕后，所有预测结果、指标汇总与状态文件写入 outputs/reproducibility/ 目录，供评审方与报告第六章数据进行逐项核对。脚本支持通过参数控制执行阶段：</w:t>
      </w:r>
    </w:p>
    <w:p w14:paraId="27000B06"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powershell</w:t>
      </w:r>
    </w:p>
    <w:p w14:paraId="47B39CA0"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.\scripts\reproduce_femto_ims_to_comsol.ps1 -Phase preflight</w:t>
      </w:r>
    </w:p>
    <w:p w14:paraId="508C8FD9"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该命令仅执行预检流程——校验数据集完整性、核对 SHA-256 哈希、确认容器内依赖版本</w:t>
      </w:r>
      <w:r w:rsidRPr="00F50D81">
        <w:rPr>
          <w:rFonts w:asciiTheme="majorEastAsia" w:eastAsiaTheme="majorEastAsia" w:hAnsiTheme="majorEastAsia"/>
        </w:rPr>
        <w:lastRenderedPageBreak/>
        <w:t>——而不启动完整训练，适用于快速验证环境就绪状态。</w:t>
      </w:r>
    </w:p>
    <w:p w14:paraId="3B775CFC"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工程演示入口。 评审方若希望直接体验寿命状态仪表板与预测结果在线回放功能，可通过以下命令启动工程演示服务：</w:t>
      </w:r>
    </w:p>
    <w:p w14:paraId="6D3711A0"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powershell</w:t>
      </w:r>
    </w:p>
    <w:p w14:paraId="74AC1E68"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.\scripts\run_engineering_demo.ps1 -BindHost 127.0.0.1 -Port 8090</w:t>
      </w:r>
    </w:p>
    <w:p w14:paraId="0A178295"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该命令启动一个轻量级 Web 服务，在本地 8090 端口提供仪表板界面。评审方打开浏览器访问 http://127.0.0.1:8090 即可进入系统，无须等待完整的训练流程完成。仪表板包含预测 RUL 趋势曲线、健康状态退化轨迹、三级风险等级指示器以及操作员/审计员双模式切换功能，覆盖 7.1 节所描述的全部在线工作流能力。</w:t>
      </w:r>
    </w:p>
    <w:p w14:paraId="42F938EA"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如评审方使用 Docker Desktop 而非 PowerShell 脚本入口，亦可直接执行：</w:t>
      </w:r>
    </w:p>
    <w:p w14:paraId="6E0937FB"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bash</w:t>
      </w:r>
    </w:p>
    <w:p w14:paraId="72B58341"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docker compose up --build engineering-demo</w:t>
      </w:r>
    </w:p>
    <w:p w14:paraId="3879442F"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该命令构建并启动工程演示容器，效果与 PowerShell 脚本一致，为偏好原生 Docker 命令的评审方提供同等入口。</w:t>
      </w:r>
    </w:p>
    <w:p w14:paraId="1F398463"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环境记录固化。 为支撑独立复现后的审计追溯，每次运行均自动生成一份机器可读的环境记录文件，包含以下信息：运行时间戳、宿主机操作系统版本、Docker 镜像 ID 与版本、全部依赖库的精确版本号、数据挂载路径及校验状态、本次运行的所有配置参数以及输出目录路径。该文件存放于 outputs/reproducibility/femto-ims-to-comsol-&lt;时间戳&gt;/REPRODUCTION_ENVIRONMENT.json，与预测结果和指标文件共同归档。完整的容器化验证环境说明及两次独立重跑的比对结果，详见 docs/docker_reproduction_report_20260821.md。</w:t>
      </w:r>
    </w:p>
    <w:p w14:paraId="7C987E1D" w14:textId="77777777" w:rsidR="00F50D81" w:rsidRPr="00F50D81" w:rsidRDefault="00F50D81" w:rsidP="00F50D81">
      <w:pPr>
        <w:rPr>
          <w:rFonts w:asciiTheme="majorEastAsia" w:eastAsiaTheme="majorEastAsia" w:hAnsiTheme="majorEastAsia"/>
        </w:rPr>
      </w:pPr>
      <w:r w:rsidRPr="00F50D81">
        <w:rPr>
          <w:rFonts w:asciiTheme="majorEastAsia" w:eastAsiaTheme="majorEastAsia" w:hAnsiTheme="majorEastAsia"/>
        </w:rPr>
        <w:t>综上，评审方可根据自身需求灵活选择入口——完整复现、快速预检或工程演示——所有路径均指向同一组容器化代码与数据资产，确保不同入口产生的实验结果具备同源一致性。</w:t>
      </w:r>
    </w:p>
    <w:p w14:paraId="2D436875" w14:textId="6697E6E1" w:rsidR="00561E2E" w:rsidRPr="00561E2E" w:rsidRDefault="00561E2E" w:rsidP="00561E2E">
      <w:pPr>
        <w:pStyle w:val="1"/>
        <w:rPr>
          <w:rFonts w:asciiTheme="majorEastAsia" w:eastAsiaTheme="majorEastAsia" w:hAnsiTheme="majorEastAsia"/>
        </w:rPr>
      </w:pPr>
      <w:r>
        <w:rPr>
          <w:rFonts w:asciiTheme="majorEastAsia" w:eastAsiaTheme="majorEastAsia" w:hAnsiTheme="majorEastAsia" w:hint="eastAsia"/>
          <w:b/>
          <w:bCs/>
        </w:rPr>
        <w:t>九</w:t>
      </w:r>
      <w:r w:rsidRPr="00561E2E">
        <w:rPr>
          <w:rFonts w:asciiTheme="majorEastAsia" w:eastAsiaTheme="majorEastAsia" w:hAnsiTheme="majorEastAsia"/>
          <w:b/>
          <w:bCs/>
        </w:rPr>
        <w:t>、局限性与后续工作</w:t>
      </w:r>
    </w:p>
    <w:p w14:paraId="0E0B257A" w14:textId="77777777" w:rsidR="00561E2E" w:rsidRPr="00561E2E" w:rsidRDefault="00561E2E" w:rsidP="00561E2E">
      <w:pPr>
        <w:rPr>
          <w:rFonts w:asciiTheme="majorEastAsia" w:eastAsiaTheme="majorEastAsia" w:hAnsiTheme="majorEastAsia"/>
        </w:rPr>
      </w:pPr>
      <w:r w:rsidRPr="00561E2E">
        <w:rPr>
          <w:rFonts w:asciiTheme="majorEastAsia" w:eastAsiaTheme="majorEastAsia" w:hAnsiTheme="majorEastAsia"/>
        </w:rPr>
        <w:t>任何基于仿真代理与有限公开数据的迁移学习研究，其结论的有效性必然受制于数据来源的边界与实验设计的前提假设。坦诚界定这些边界，既是学术规范的基本要求，也为后续改进指明方向。本节系统梳理当前工作的主要局限，并据此提出相应的后续研究计划。</w:t>
      </w:r>
    </w:p>
    <w:p w14:paraId="5CA96C0C" w14:textId="77777777" w:rsidR="00561E2E" w:rsidRPr="00561E2E" w:rsidRDefault="00561E2E" w:rsidP="00561E2E">
      <w:pPr>
        <w:rPr>
          <w:rFonts w:asciiTheme="majorEastAsia" w:eastAsiaTheme="majorEastAsia" w:hAnsiTheme="majorEastAsia"/>
        </w:rPr>
      </w:pPr>
      <w:r w:rsidRPr="00561E2E">
        <w:rPr>
          <w:rFonts w:asciiTheme="majorEastAsia" w:eastAsiaTheme="majorEastAsia" w:hAnsiTheme="majorEastAsia"/>
        </w:rPr>
        <w:t>真实在轨遥测的缺失。 反作用轮场景目前依赖 COMSOL 多物理场仿真生成的退化数据作为目标域素材。尽管该仿真链路在物理模型设计、工况设定与失效阈值选取上力求符合工程认知，仿真数据终究无法完全复现在轨环境的综合效应——包括但不限于真实温度交变、真空润滑行为变化、姿态机动引起的非稳态载荷谱以及星载计算机的有限采样精度与遥测丢帧。因此，本报告所报告的迁移精度改善，反映的是“仿真代理条件下算法方法的可行性”，而非真实在轨遥测条件下可直接部署的工程结论。后续工作需获取真实反作用轮试验台加速寿命数据或实际在轨遥测片段，对本方法进行进一步的验证与校准。</w:t>
      </w:r>
    </w:p>
    <w:p w14:paraId="6AA2E112" w14:textId="77777777" w:rsidR="00561E2E" w:rsidRPr="00561E2E" w:rsidRDefault="00561E2E" w:rsidP="00561E2E">
      <w:pPr>
        <w:rPr>
          <w:rFonts w:asciiTheme="majorEastAsia" w:eastAsiaTheme="majorEastAsia" w:hAnsiTheme="majorEastAsia"/>
        </w:rPr>
      </w:pPr>
      <w:r w:rsidRPr="00561E2E">
        <w:rPr>
          <w:rFonts w:asciiTheme="majorEastAsia" w:eastAsiaTheme="majorEastAsia" w:hAnsiTheme="majorEastAsia"/>
        </w:rPr>
        <w:t>v5 协议的证据层级边界。 如 5.2 节所述，FEMTO → COMSOL v5 运行标记为探索性后验复现（exploratory_post_hoc_replication）。COMSOL 五条仿真轨迹在协议设计阶段参与了 N 值定义的采样空间规划，其作为测试集的使用并非完全独立于实验设计流程之外。因此，当前结果虽然具备严格的可见性控制和完整的可复现性记录，但其证据强度仍需额外的、完全未参与当前协议设计的 COMSOL 未见轨迹进行独立确认，方可升级至更高层级的结论。后续工作将优先执行该确认实验。</w:t>
      </w:r>
    </w:p>
    <w:p w14:paraId="05A17225" w14:textId="77777777" w:rsidR="00561E2E" w:rsidRPr="00561E2E" w:rsidRDefault="00561E2E" w:rsidP="00561E2E">
      <w:pPr>
        <w:rPr>
          <w:rFonts w:asciiTheme="majorEastAsia" w:eastAsiaTheme="majorEastAsia" w:hAnsiTheme="majorEastAsia"/>
        </w:rPr>
      </w:pPr>
      <w:r w:rsidRPr="00561E2E">
        <w:rPr>
          <w:rFonts w:asciiTheme="majorEastAsia" w:eastAsiaTheme="majorEastAsia" w:hAnsiTheme="majorEastAsia"/>
        </w:rPr>
        <w:t>电池链路的迁移未达标。 NASA 电池场景在 N=1 与 N=2 两个样本层级上均未通过内部验收标准——N=1 时迁移模型甚至劣于从头训练，N=2 时改善幅度不足 5% 且胜出折数不足。该结果表明，喷嘴烧蚀的退化表示与电池容量衰减之间仍存在显著的语义鸿沟。两者的退化速率分布差异、观测信号形态差异以及目标域样本极度稀缺，共同构成了跨物理场迁移的实</w:t>
      </w:r>
      <w:r w:rsidRPr="00561E2E">
        <w:rPr>
          <w:rFonts w:asciiTheme="majorEastAsia" w:eastAsiaTheme="majorEastAsia" w:hAnsiTheme="majorEastAsia"/>
        </w:rPr>
        <w:lastRenderedPageBreak/>
        <w:t>际障碍。后续工作可从以下方向尝试突破：引入电化学退化机理先验作为辅助约束，使编码器在预训练阶段即接触到与电池退化形态更接近的合成数据；采用领域自适应技术（如对抗式域对齐或对比学习）在特征空间强制拉近源域与电化学目标域的分布；或增加电池退化的源域多样性（如纳入不同温度、不同放电倍率下的电池老化数据），使预训练表征更具电化学场景的覆盖度。</w:t>
      </w:r>
    </w:p>
    <w:p w14:paraId="1DA4998F" w14:textId="77777777" w:rsidR="00561E2E" w:rsidRPr="00561E2E" w:rsidRDefault="00561E2E" w:rsidP="00561E2E">
      <w:pPr>
        <w:rPr>
          <w:rFonts w:asciiTheme="majorEastAsia" w:eastAsiaTheme="majorEastAsia" w:hAnsiTheme="majorEastAsia"/>
        </w:rPr>
      </w:pPr>
      <w:r w:rsidRPr="00561E2E">
        <w:rPr>
          <w:rFonts w:asciiTheme="majorEastAsia" w:eastAsiaTheme="majorEastAsia" w:hAnsiTheme="majorEastAsia"/>
        </w:rPr>
        <w:t>FEMTO 轴承非单调样本的挑战。 逐折结果显示，迁移模型在 Bearing3_1 与 Bearing3_2 两个样本上持续弱于 Scratch，其根源在于这两个样本的退化轨迹中存在强瞬态振动波动，导致 health-RUL 相关性显著低于 FEMTO 数据集的整体均值。当前模型架构假设退化过程具有平滑单调的趋势结构，面对突发性振动抬升时缺乏适应性响应机制。后续工作可从以下方向改进：在预训练阶段引入更具多样性的退化形态，使编码器能够区分“健康退化趋势”与“瞬态噪声冲击”两类不同来源的信号变化；在目标域微调阶段引入分段建模策略，将退化轨迹划分为稳定期与加速期分别建模；此外，量化预测不确定性（如通过 MC Dropout 或集成学习输出置信区间）可使工程人员在预测波动较大时获得额外的决策参考信息。</w:t>
      </w:r>
    </w:p>
    <w:p w14:paraId="4EA3CB8E" w14:textId="77777777" w:rsidR="00561E2E" w:rsidRPr="00561E2E" w:rsidRDefault="00561E2E" w:rsidP="00561E2E">
      <w:pPr>
        <w:rPr>
          <w:rFonts w:asciiTheme="majorEastAsia" w:eastAsiaTheme="majorEastAsia" w:hAnsiTheme="majorEastAsia"/>
        </w:rPr>
      </w:pPr>
      <w:r w:rsidRPr="00561E2E">
        <w:rPr>
          <w:rFonts w:asciiTheme="majorEastAsia" w:eastAsiaTheme="majorEastAsia" w:hAnsiTheme="majorEastAsia"/>
        </w:rPr>
        <w:t>更广泛工况与工程决策逻辑的拓展。 当前实验均基于固定工况条件下的退化数据，未涉及变工况、多任务剖面或不同控制策略下的泛化能力检验。后续工作将纳入更多代表性的运行条件（如不同转速、不同负载、不同充放电制度），检验迁移框架在工况变化下的鲁棒性。同时，当前预测输出为点估计的 RUL 数值，尚未与航天器维护规划的决策成本函数直接对接。后续工作将引入代价敏感的风险决策逻辑——例如将预测偏差与“提前更换成本”和“在轨失效成本”进行加权，使模型输出直接服务于工程权衡，而非仅优化统计误差指标。</w:t>
      </w:r>
    </w:p>
    <w:p w14:paraId="7CC4E0CC" w14:textId="77777777" w:rsidR="00561E2E" w:rsidRPr="00561E2E" w:rsidRDefault="00561E2E" w:rsidP="00561E2E">
      <w:pPr>
        <w:rPr>
          <w:rFonts w:asciiTheme="majorEastAsia" w:eastAsiaTheme="majorEastAsia" w:hAnsiTheme="majorEastAsia"/>
        </w:rPr>
      </w:pPr>
      <w:r w:rsidRPr="00561E2E">
        <w:rPr>
          <w:rFonts w:asciiTheme="majorEastAsia" w:eastAsiaTheme="majorEastAsia" w:hAnsiTheme="majorEastAsia"/>
        </w:rPr>
        <w:t>综上，本项目的核心贡献在于建立了一套端到端可审计的跨域迁移验证框架，并在反作用轮仿真代理场景中取得了符合内部验收标准的正向迁移证据。其边界与不足为后续研究提供了清晰的改进方向——我们将在真实数据获取、协议独立性增强、物理知识融合、不确定性量化及决策逻辑嵌入等维度持续推进。</w:t>
      </w:r>
    </w:p>
    <w:p w14:paraId="79487215" w14:textId="77777777" w:rsidR="008F43F1" w:rsidRPr="008F43F1" w:rsidRDefault="008F43F1" w:rsidP="008F43F1">
      <w:pPr>
        <w:pStyle w:val="1"/>
        <w:rPr>
          <w:rFonts w:asciiTheme="majorEastAsia" w:eastAsiaTheme="majorEastAsia" w:hAnsiTheme="majorEastAsia"/>
        </w:rPr>
      </w:pPr>
      <w:r w:rsidRPr="008F43F1">
        <w:rPr>
          <w:rFonts w:asciiTheme="majorEastAsia" w:eastAsiaTheme="majorEastAsia" w:hAnsiTheme="majorEastAsia"/>
          <w:b/>
          <w:bCs/>
        </w:rPr>
        <w:t>结论</w:t>
      </w:r>
    </w:p>
    <w:p w14:paraId="6B4D911A" w14:textId="77777777" w:rsidR="008F43F1" w:rsidRPr="008F43F1" w:rsidRDefault="008F43F1" w:rsidP="008F43F1">
      <w:pPr>
        <w:rPr>
          <w:rFonts w:asciiTheme="majorEastAsia" w:eastAsiaTheme="majorEastAsia" w:hAnsiTheme="majorEastAsia"/>
        </w:rPr>
      </w:pPr>
      <w:r w:rsidRPr="008F43F1">
        <w:rPr>
          <w:rFonts w:asciiTheme="majorEastAsia" w:eastAsiaTheme="majorEastAsia" w:hAnsiTheme="majorEastAsia"/>
        </w:rPr>
        <w:t>本项目围绕航天器关键组件剩余寿命预测中“数据稀缺、故障样本不可得、在轨验证难”的工程现实，设计并实现了一套端到端可审计的跨域迁移寿命预测框架 ASTRA。该框架以喷嘴烧蚀退化数据为源域知识来源，训练共享退化编码器以习得通用性的退化演化表征；以电池长期容量衰减与反作用轮机械磨损为两个典型目标场景，分别验证框架在电化学系统与旋转机械系统中的迁移适配能力。模型采用领域专属输入投影、共享GRU编码器与独立目标预测头的三段式架构，配合严格的轨迹级别留出验证协议与可见性控制规则，使小样本条件下的迁移效果可被客观归因与逐折审计。</w:t>
      </w:r>
    </w:p>
    <w:p w14:paraId="19C48DDB" w14:textId="77777777" w:rsidR="008F43F1" w:rsidRPr="008F43F1" w:rsidRDefault="008F43F1" w:rsidP="008F43F1">
      <w:pPr>
        <w:rPr>
          <w:rFonts w:asciiTheme="majorEastAsia" w:eastAsiaTheme="majorEastAsia" w:hAnsiTheme="majorEastAsia"/>
        </w:rPr>
      </w:pPr>
      <w:r w:rsidRPr="008F43F1">
        <w:rPr>
          <w:rFonts w:asciiTheme="majorEastAsia" w:eastAsiaTheme="majorEastAsia" w:hAnsiTheme="majorEastAsia"/>
        </w:rPr>
        <w:t>在工程实现层面，项目以 PyTorch 完成全部算法开发，以 Docker Desktop 实现跨平台容器化封装，依赖版本锁定与数据哈希校验确保了任意环境下的确定性复现。离线寿命状态仪表板集成了预测趋势回放、三级风险分级与操作员/审计员双模式视图，使算法输出从数值指标转化为可直接支撑工程决策的信息呈现，完成了从实验验证到工程演示的全链路闭环。</w:t>
      </w:r>
    </w:p>
    <w:p w14:paraId="2482C455" w14:textId="77777777" w:rsidR="008F43F1" w:rsidRPr="008F43F1" w:rsidRDefault="008F43F1" w:rsidP="008F43F1">
      <w:pPr>
        <w:rPr>
          <w:rFonts w:asciiTheme="majorEastAsia" w:eastAsiaTheme="majorEastAsia" w:hAnsiTheme="majorEastAsia"/>
        </w:rPr>
      </w:pPr>
      <w:r w:rsidRPr="008F43F1">
        <w:rPr>
          <w:rFonts w:asciiTheme="majorEastAsia" w:eastAsiaTheme="majorEastAsia" w:hAnsiTheme="majorEastAsia"/>
        </w:rPr>
        <w:t>在迁移效果层面，本项目当前最稳健的正向证据来自 FEMTO 轴承 → COMSOL 反作用轮仿真代理链路。该链路的预声明三层聚合结果（N=1,2,3）显示：迁移模型相对匹配的 Scratch 基准取得了 6.46% 的 raw RMSE 改善，15 个 outer fold 中 10 个胜出，且宏平均 RMSE 同时低于 Ridge 回归与最佳确定性趋势基线，满足本项目全部三项内部验收标准。喷嘴 → NASA 电池链路在两个样本规模层级上未达到内部正向迁移标准，被判定为诊断结论，表明电化学退化系统与热-力烧蚀退化系统之间的域差异仍需更精细的语义对齐策略加以弥合。</w:t>
      </w:r>
    </w:p>
    <w:p w14:paraId="36FE6505" w14:textId="470F0F04" w:rsidR="0089052F" w:rsidRPr="004643F8" w:rsidRDefault="008F43F1" w:rsidP="00C14037">
      <w:pPr>
        <w:rPr>
          <w:rFonts w:asciiTheme="majorEastAsia" w:eastAsiaTheme="majorEastAsia" w:hAnsiTheme="majorEastAsia" w:hint="eastAsia"/>
        </w:rPr>
      </w:pPr>
      <w:r>
        <w:t>本项目不将 COMSOL 仿真代理结论外推至真实在轨放行判定。所有“正向证据”均限定为协议内部的可审计结果；v5 明确标注为 exploratory_post_hoc_replication，仍需未见 outer holdout 或真实遥测进一步确认。</w:t>
      </w:r>
    </w:p>
    <w:p>
      <w:pPr>
        <w:pStyle w:val="1"/>
        <w:pageBreakBefore/>
      </w:pPr>
      <w:r>
        <w:t>参考文献</w:t>
      </w:r>
    </w:p>
    <w:p>
      <w:pPr>
        <w:spacing w:after="60"/>
        <w:ind w:left="283" w:hanging="283"/>
      </w:pPr>
      <w:r>
        <w:rPr>
          <w:sz w:val="19"/>
        </w:rPr>
        <w:t>[1] Nguyen C. D., Bae S. J. Equivalent circuit simulated deep network architecture and transfer learning for remaining useful life prediction of lithium-ion batteries. Journal of Energy Storage, 2023, 71: 108042. 仓库：references/Equivalent circuit simulated deep network architecture and transfer.pdf.</w:t>
      </w:r>
    </w:p>
    <w:p>
      <w:pPr>
        <w:spacing w:after="60"/>
        <w:ind w:left="283" w:hanging="283"/>
      </w:pPr>
      <w:r>
        <w:rPr>
          <w:sz w:val="19"/>
        </w:rPr>
        <w:t>[2] Hou G., Zhang F., Huang C., et al. Joint prediction of SOH and RUL for lithium-ion batteries by an enhanced Transformer model with physical information constraints. Energy, 2025, 336: 138435. 仓库：references/Joint prediction of SOH and RUL for Lithium-ion batteries by an enhanced.pdf.</w:t>
      </w:r>
    </w:p>
    <w:p>
      <w:pPr>
        <w:spacing w:after="60"/>
        <w:ind w:left="283" w:hanging="283"/>
      </w:pPr>
      <w:r>
        <w:rPr>
          <w:sz w:val="19"/>
        </w:rPr>
        <w:t>[3] Muthuganapathy P., Chaturvedi S. K., Gargama H., et al. Friction torque prediction of precision ball bearing unit for reaction wheel actuators for spacecraft applications. International Journal of System Assurance Engineering and Management, 2025. 仓库：references/Friction torque prediction of precision ball bearing unit for reaction wheel actuators for spacecraft applications.pdf.</w:t>
      </w:r>
    </w:p>
    <w:p>
      <w:pPr>
        <w:spacing w:after="60"/>
        <w:ind w:left="283" w:hanging="283"/>
      </w:pPr>
      <w:r>
        <w:rPr>
          <w:sz w:val="19"/>
        </w:rPr>
        <w:t>[4] Alidadi M., Rahimi A. Fault Diagnosis of Lubrication Decay in Reaction Wheels Using Temperature Estimation and Forecasting via Enhanced Adaptive Particle Filter. Sensors. 仓库：references/Fault Diagnosis of Lubrication Decay in Reaction Wheels Using Temperature Estimation and Forecasting via Enhanced Adaptive Particle Filter.pdf.</w:t>
      </w:r>
    </w:p>
    <w:p>
      <w:pPr>
        <w:spacing w:after="60"/>
        <w:ind w:left="283" w:hanging="283"/>
      </w:pPr>
      <w:r>
        <w:rPr>
          <w:sz w:val="19"/>
        </w:rPr>
        <w:t>[5] Yücesan Y. A., Viana F. A. C. Physics-informed digital twin for wind turbine main bearing fatigue: Quantifying uncertainty in grease degradation. Applied Soft Computing, 2023, 149: 110921. 仓库：references/Physics informed digital twin for wind turbine main bearing fatigue Quantifying uncertainty in grease degradation.pdf.</w:t>
      </w:r>
    </w:p>
    <w:p>
      <w:pPr>
        <w:spacing w:after="60"/>
        <w:ind w:left="283" w:hanging="283"/>
      </w:pPr>
      <w:r>
        <w:rPr>
          <w:sz w:val="19"/>
        </w:rPr>
        <w:t>[6] Shang J., Xu D., Qiu H., et al. Domain generalization for rotating machinery real-time remaining useful life prediction via multi-domain orthogonal degradation feature exploration. Mechanical Systems and Signal Processing, 2025, 223: 111924. 仓库：references/Domain Generalization for Rotating Machinery Real-Time Remaining Useful Life Prediction via Multi-Domain Orthogonal Degradation Feature Exploration.pdf.</w:t>
      </w:r>
    </w:p>
    <w:p>
      <w:pPr>
        <w:spacing w:after="60"/>
        <w:ind w:left="283" w:hanging="283"/>
      </w:pPr>
      <w:r>
        <w:rPr>
          <w:sz w:val="19"/>
        </w:rPr>
        <w:t>[7] Nejjar I., Geissmann F., Zhao M., et al. Domain adaptation via alignment of operation profile for remaining useful lifetime prediction. Reliability Engineering and System Safety. 仓库：references/Domain Adaptation via Alignment of Operation Profile for Remaining Useful Lifetime Prediction.pdf.</w:t>
      </w:r>
    </w:p>
    <w:p>
      <w:pPr>
        <w:spacing w:after="60"/>
        <w:ind w:left="283" w:hanging="283"/>
      </w:pPr>
      <w:r>
        <w:rPr>
          <w:sz w:val="19"/>
        </w:rPr>
        <w:t>[8] Chang L., Lin Y.-H. Few-shot remaining useful life prediction based on Bayesian meta-learning with predictive uncertainty calibration. Engineering Applications of Artificial Intelligence, 2025, 142: 109980. 仓库：references/Few-Shot Remaining Useful Life Prediction Based on Bayesian Meta-Learning with Predictive Uncertainty Calibration.pdf.</w:t>
      </w:r>
    </w:p>
    <w:p>
      <w:pPr>
        <w:spacing w:after="60"/>
        <w:ind w:left="283" w:hanging="283"/>
      </w:pPr>
      <w:r>
        <w:rPr>
          <w:sz w:val="19"/>
        </w:rPr>
        <w:t>[9] Lin W., Chen X., Lu H., et al. A novel interactive prognosis framework with nonlinear Wiener process and multi-sensor fusion for remaining useful life prediction. Journal of Process Control, 2024, 140: 103264. 仓库：references/A Novel Interactive Prognosis Framework with Nonlinear Wiener Process and Multi-Sensor Fusion for Remaining Useful Life Prediction.pdf.</w:t>
      </w:r>
    </w:p>
    <w:p>
      <w:pPr>
        <w:spacing w:after="60"/>
        <w:ind w:left="283" w:hanging="283"/>
      </w:pPr>
      <w:r>
        <w:rPr>
          <w:sz w:val="19"/>
        </w:rPr>
        <w:t>[10] Xiang F., Zhang Y., Zhang S., et al. Bayesian gated-transformer model for risk-aware prediction of aero-engine remaining useful life. Expert Systems with Applications, 2024, 238: 121859. 仓库：references/Bayesian Gated-Transformer Model for Risk-Aware Prediction of Aero-Engine Remaining Useful Life.pdf.</w:t>
      </w:r>
    </w:p>
    <w:p>
      <w:pPr>
        <w:spacing w:after="60"/>
        <w:ind w:left="283" w:hanging="283"/>
      </w:pPr>
      <w:r>
        <w:rPr>
          <w:sz w:val="19"/>
        </w:rPr>
        <w:t>[11] Wang E., Lei Z., Wen G., et al. A physics-constrained Bayesian neural network for machinery remaining useful life prediction and uncertainty quantification. Reliability Engineering and System Safety, 2026, 266: 111778. 仓库：references/A Physics-Constrained Bayesian Neural Network for Machinery Remaining Useful Life Prediction and Uncertainty Quantification.pdf.</w:t>
      </w:r>
    </w:p>
    <w:p>
      <w:pPr>
        <w:spacing w:after="60"/>
        <w:ind w:left="283" w:hanging="283"/>
      </w:pPr>
      <w:r>
        <w:rPr>
          <w:sz w:val="19"/>
        </w:rPr>
        <w:t>[12] 本项目方法相关参考：Self-Supervised Health Representation Decomposition Based on Contrast Learning；Pre-training Enhanced Unsupervised Contrastive Domain Adaptation for Industrial Equipment Remaining Useful Life Prediction；Joint Domain-Adaptive Transformer Model for Bearing RUL Prediction Across Different Domains。均存于仓库 references/，用于方法设计背景与对照，不替代本文独立实验。</w:t>
      </w:r>
    </w:p>
    <w:p>
      <w:pPr>
        <w:pStyle w:val="1"/>
        <w:pageBreakBefore/>
      </w:pPr>
      <w:r>
        <w:t>附录A 交付物索引</w:t>
      </w:r>
    </w:p>
    <w:p>
      <w:r>
        <w:rPr>
          <w:b/>
        </w:rPr>
        <w:t>仓库地址：</w:t>
      </w:r>
      <w:hyperlink r:id="rId13">
        <w:r>
          <w:rPr>
            <w:color w:val="0563C1"/>
            <w:u w:val="single"/>
          </w:rPr>
          <w:t>https://github.com/PWQ-GDOU/ASTRA</w:t>
        </w:r>
      </w:hyperlink>
    </w:p>
    <w:p>
      <w:pPr/>
      <w:r>
        <w:rPr>
          <w:b/>
        </w:rPr>
        <w:t>赛事规则原件：</w:t>
      </w:r>
      <w:r>
        <w:t>docs/competition/competition_rules.pdf</w:t>
      </w:r>
    </w:p>
    <w:p>
      <w:pPr/>
      <w:r>
        <w:rPr>
          <w:b/>
        </w:rPr>
        <w:t>数据与来源说明：</w:t>
      </w:r>
      <w:r>
        <w:t>DATA_SOURCES.md；data/raw/competition/；third_party/</w:t>
      </w:r>
    </w:p>
    <w:p>
      <w:pPr/>
      <w:r>
        <w:rPr>
          <w:b/>
        </w:rPr>
        <w:t>主跨组件迁移协议：</w:t>
      </w:r>
      <w:r>
        <w:t>scripts/exp_cross_transfer_v3.py；outputs/cross_component_transfer_v3/</w:t>
      </w:r>
    </w:p>
    <w:p>
      <w:pPr/>
      <w:r>
        <w:rPr>
          <w:b/>
        </w:rPr>
        <w:t>FEMTO -&gt; COMSOL outer-fold 协议：</w:t>
      </w:r>
      <w:r>
        <w:t>scripts/exp_femto_ims_to_comsol_outerloo_v5.py；outputs/femto_ims_to_comsol_outerloo_v5_exploratory_fitonly_innerloo_full5x120_20260825/</w:t>
      </w:r>
    </w:p>
    <w:p>
      <w:pPr/>
      <w:r>
        <w:rPr>
          <w:b/>
        </w:rPr>
        <w:t>软件工程演示：</w:t>
      </w:r>
      <w:r>
        <w:t>scripts/run_engineering_demo.py；scripts/run_engineering_demo.ps1；docs/engineering_demo.md；outputs/engineering_demo/femto_ims_to_comsol_v5/</w:t>
      </w:r>
    </w:p>
    <w:p>
      <w:pPr/>
      <w:r>
        <w:rPr>
          <w:b/>
        </w:rPr>
        <w:t>Docker 与锁定环境：</w:t>
      </w:r>
      <w:r>
        <w:t>Dockerfile；docker/docker-compose.yml；docker/requirements.lock.txt</w:t>
      </w:r>
    </w:p>
    <w:p>
      <w:pPr/>
      <w:r>
        <w:rPr>
          <w:b/>
        </w:rPr>
        <w:t>一键复现：</w:t>
      </w:r>
      <w:r>
        <w:t>scripts/reproduce_femto_ims_to_comsol.ps1；scripts/reproduce_femto_ims_to_comsol.sh；README.md</w:t>
      </w:r>
    </w:p>
    <w:p>
      <w:pPr/>
      <w:r>
        <w:rPr>
          <w:b/>
        </w:rPr>
        <w:t>审计文件：</w:t>
      </w:r>
      <w:r>
        <w:t>PROTOCOL.json；DATA_MANIFEST.json；PREFLIGHT.json；ACCEPTANCE.json；OUTER_FOLD_SUMMARY.csv；PREDICTIONS.csv</w:t>
      </w:r>
    </w:p>
    <w:p>
      <w:r>
        <w:t>说明：GitHub 仓库用于技术材料获取与复核；赛事正式提交仍应遵循官方申报系统、作品压缩包和报名表 PDF 的要求。</w:t>
      </w:r>
    </w:p>
    <w:sectPr w:rsidR="0089052F" w:rsidRPr="004643F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F476E" w14:textId="77777777" w:rsidR="00153285" w:rsidRDefault="00153285" w:rsidP="00A201CF">
      <w:r>
        <w:separator/>
      </w:r>
    </w:p>
  </w:endnote>
  <w:endnote w:type="continuationSeparator" w:id="0">
    <w:p w14:paraId="101D3CC5" w14:textId="77777777" w:rsidR="00153285" w:rsidRDefault="00153285" w:rsidP="00A20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28ACB" w14:textId="77777777" w:rsidR="00153285" w:rsidRDefault="00153285" w:rsidP="00A201CF">
      <w:r>
        <w:separator/>
      </w:r>
    </w:p>
  </w:footnote>
  <w:footnote w:type="continuationSeparator" w:id="0">
    <w:p w14:paraId="6A502932" w14:textId="77777777" w:rsidR="00153285" w:rsidRDefault="00153285" w:rsidP="00A201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A2621"/>
    <w:multiLevelType w:val="multilevel"/>
    <w:tmpl w:val="D690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553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1C4"/>
    <w:rsid w:val="00010475"/>
    <w:rsid w:val="00022419"/>
    <w:rsid w:val="0002357F"/>
    <w:rsid w:val="00034E9F"/>
    <w:rsid w:val="000B1ACD"/>
    <w:rsid w:val="000B5C22"/>
    <w:rsid w:val="000D282C"/>
    <w:rsid w:val="000F3D51"/>
    <w:rsid w:val="000F75BD"/>
    <w:rsid w:val="00105EC7"/>
    <w:rsid w:val="00153285"/>
    <w:rsid w:val="0022008A"/>
    <w:rsid w:val="0022698D"/>
    <w:rsid w:val="002774BE"/>
    <w:rsid w:val="002A1947"/>
    <w:rsid w:val="002A3235"/>
    <w:rsid w:val="002C006B"/>
    <w:rsid w:val="002C751A"/>
    <w:rsid w:val="002F0DB4"/>
    <w:rsid w:val="00340041"/>
    <w:rsid w:val="00374385"/>
    <w:rsid w:val="003B177B"/>
    <w:rsid w:val="003D75BD"/>
    <w:rsid w:val="003E2AC8"/>
    <w:rsid w:val="00413CC6"/>
    <w:rsid w:val="00460436"/>
    <w:rsid w:val="0046217D"/>
    <w:rsid w:val="004643F8"/>
    <w:rsid w:val="00497F67"/>
    <w:rsid w:val="004A55A1"/>
    <w:rsid w:val="004B1958"/>
    <w:rsid w:val="004B5399"/>
    <w:rsid w:val="00504C3E"/>
    <w:rsid w:val="00546541"/>
    <w:rsid w:val="0055681E"/>
    <w:rsid w:val="0056123D"/>
    <w:rsid w:val="00561E2E"/>
    <w:rsid w:val="005A6089"/>
    <w:rsid w:val="005B0F5F"/>
    <w:rsid w:val="005D1A71"/>
    <w:rsid w:val="00601C0B"/>
    <w:rsid w:val="007213A2"/>
    <w:rsid w:val="00735178"/>
    <w:rsid w:val="00770B2A"/>
    <w:rsid w:val="0077261C"/>
    <w:rsid w:val="007A1533"/>
    <w:rsid w:val="00822CD0"/>
    <w:rsid w:val="008469C7"/>
    <w:rsid w:val="00853D3B"/>
    <w:rsid w:val="00854CD0"/>
    <w:rsid w:val="0089052F"/>
    <w:rsid w:val="008B50F0"/>
    <w:rsid w:val="008E2FB9"/>
    <w:rsid w:val="008F43F1"/>
    <w:rsid w:val="0094178C"/>
    <w:rsid w:val="00942E59"/>
    <w:rsid w:val="009471C4"/>
    <w:rsid w:val="00973F77"/>
    <w:rsid w:val="009C08F5"/>
    <w:rsid w:val="009C429B"/>
    <w:rsid w:val="009E0C6D"/>
    <w:rsid w:val="009F0E59"/>
    <w:rsid w:val="009F3423"/>
    <w:rsid w:val="00A201CF"/>
    <w:rsid w:val="00A373F9"/>
    <w:rsid w:val="00A571A8"/>
    <w:rsid w:val="00A6355A"/>
    <w:rsid w:val="00A80806"/>
    <w:rsid w:val="00AA0497"/>
    <w:rsid w:val="00AD2417"/>
    <w:rsid w:val="00AE1E05"/>
    <w:rsid w:val="00AF5084"/>
    <w:rsid w:val="00B12D37"/>
    <w:rsid w:val="00B20E3D"/>
    <w:rsid w:val="00B5288C"/>
    <w:rsid w:val="00B6049B"/>
    <w:rsid w:val="00B62240"/>
    <w:rsid w:val="00B75742"/>
    <w:rsid w:val="00BF0BE1"/>
    <w:rsid w:val="00C14037"/>
    <w:rsid w:val="00C17C2E"/>
    <w:rsid w:val="00C219E8"/>
    <w:rsid w:val="00C45BE4"/>
    <w:rsid w:val="00C7345C"/>
    <w:rsid w:val="00C85671"/>
    <w:rsid w:val="00CC440E"/>
    <w:rsid w:val="00CC5DC1"/>
    <w:rsid w:val="00D229E7"/>
    <w:rsid w:val="00D36D69"/>
    <w:rsid w:val="00D41CC1"/>
    <w:rsid w:val="00D44646"/>
    <w:rsid w:val="00D44D22"/>
    <w:rsid w:val="00D60DA3"/>
    <w:rsid w:val="00D8561F"/>
    <w:rsid w:val="00DA4E8A"/>
    <w:rsid w:val="00DD51F0"/>
    <w:rsid w:val="00DD6137"/>
    <w:rsid w:val="00DE2EEE"/>
    <w:rsid w:val="00DE66B1"/>
    <w:rsid w:val="00DE66FF"/>
    <w:rsid w:val="00E52018"/>
    <w:rsid w:val="00E5759E"/>
    <w:rsid w:val="00E73A2C"/>
    <w:rsid w:val="00EA108B"/>
    <w:rsid w:val="00EE0486"/>
    <w:rsid w:val="00EE2A2C"/>
    <w:rsid w:val="00EF2F9F"/>
    <w:rsid w:val="00F032E4"/>
    <w:rsid w:val="00F12318"/>
    <w:rsid w:val="00F2435C"/>
    <w:rsid w:val="00F35017"/>
    <w:rsid w:val="00F50D81"/>
    <w:rsid w:val="00F576C5"/>
    <w:rsid w:val="00F63AEB"/>
    <w:rsid w:val="00FB2B2A"/>
    <w:rsid w:val="00FE1EA6"/>
    <w:rsid w:val="00FF51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EDB65D3"/>
  <w14:defaultImageDpi w14:val="32767"/>
  <w15:chartTrackingRefBased/>
  <w15:docId w15:val="{81C8656D-D60D-4E57-9F08-BDCC043A8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76" w:lineRule="auto" w:after="100"/>
      <w:jc w:val="both"/>
    </w:pPr>
    <w:rPr>
      <w:rFonts w:ascii="宋体" w:hAnsi="宋体" w:eastAsia="宋体"/>
      <w:sz w:val="21"/>
    </w:rPr>
  </w:style>
  <w:style w:type="paragraph" w:styleId="1">
    <w:name w:val="heading 1"/>
    <w:basedOn w:val="a"/>
    <w:next w:val="a"/>
    <w:link w:val="10"/>
    <w:uiPriority w:val="9"/>
    <w:qFormat/>
    <w:rsid w:val="009471C4"/>
    <w:pPr>
      <w:keepNext/>
      <w:keepLines/>
      <w:spacing w:before="480" w:after="80"/>
      <w:outlineLvl w:val="0"/>
    </w:pPr>
    <w:rPr>
      <w:rFonts w:asciiTheme="majorHAnsi" w:eastAsiaTheme="majorEastAsia" w:hAnsiTheme="majorHAnsi" w:cstheme="majorBidi" w:ascii="黑体" w:hAnsi="黑体" w:eastAsia="黑体"/>
      <w:b/>
      <w:color w:val="1F4E79"/>
      <w:sz w:val="30"/>
      <w:szCs w:val="48"/>
    </w:rPr>
  </w:style>
  <w:style w:type="paragraph" w:styleId="2">
    <w:name w:val="heading 2"/>
    <w:basedOn w:val="a"/>
    <w:next w:val="a"/>
    <w:link w:val="20"/>
    <w:uiPriority w:val="9"/>
    <w:semiHidden/>
    <w:unhideWhenUsed/>
    <w:qFormat/>
    <w:rsid w:val="009471C4"/>
    <w:pPr>
      <w:keepNext/>
      <w:keepLines/>
      <w:spacing w:before="160" w:after="80"/>
      <w:outlineLvl w:val="1"/>
    </w:pPr>
    <w:rPr>
      <w:rFonts w:asciiTheme="majorHAnsi" w:eastAsiaTheme="majorEastAsia" w:hAnsiTheme="majorHAnsi" w:cstheme="majorBidi" w:ascii="黑体" w:hAnsi="黑体" w:eastAsia="黑体"/>
      <w:b/>
      <w:color w:val="2F5597"/>
      <w:sz w:val="24"/>
      <w:szCs w:val="40"/>
    </w:rPr>
  </w:style>
  <w:style w:type="paragraph" w:styleId="3">
    <w:name w:val="heading 3"/>
    <w:basedOn w:val="a"/>
    <w:next w:val="a"/>
    <w:link w:val="30"/>
    <w:uiPriority w:val="9"/>
    <w:semiHidden/>
    <w:unhideWhenUsed/>
    <w:qFormat/>
    <w:rsid w:val="009471C4"/>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9471C4"/>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9471C4"/>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9471C4"/>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9471C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471C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471C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471C4"/>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9471C4"/>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9471C4"/>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9471C4"/>
    <w:rPr>
      <w:rFonts w:cstheme="majorBidi"/>
      <w:color w:val="2E74B5" w:themeColor="accent1" w:themeShade="BF"/>
      <w:sz w:val="28"/>
      <w:szCs w:val="28"/>
    </w:rPr>
  </w:style>
  <w:style w:type="character" w:customStyle="1" w:styleId="50">
    <w:name w:val="标题 5 字符"/>
    <w:basedOn w:val="a0"/>
    <w:link w:val="5"/>
    <w:uiPriority w:val="9"/>
    <w:semiHidden/>
    <w:rsid w:val="009471C4"/>
    <w:rPr>
      <w:rFonts w:cstheme="majorBidi"/>
      <w:color w:val="2E74B5" w:themeColor="accent1" w:themeShade="BF"/>
      <w:sz w:val="24"/>
      <w:szCs w:val="24"/>
    </w:rPr>
  </w:style>
  <w:style w:type="character" w:customStyle="1" w:styleId="60">
    <w:name w:val="标题 6 字符"/>
    <w:basedOn w:val="a0"/>
    <w:link w:val="6"/>
    <w:uiPriority w:val="9"/>
    <w:semiHidden/>
    <w:rsid w:val="009471C4"/>
    <w:rPr>
      <w:rFonts w:cstheme="majorBidi"/>
      <w:b/>
      <w:bCs/>
      <w:color w:val="2E74B5" w:themeColor="accent1" w:themeShade="BF"/>
    </w:rPr>
  </w:style>
  <w:style w:type="character" w:customStyle="1" w:styleId="70">
    <w:name w:val="标题 7 字符"/>
    <w:basedOn w:val="a0"/>
    <w:link w:val="7"/>
    <w:uiPriority w:val="9"/>
    <w:semiHidden/>
    <w:rsid w:val="009471C4"/>
    <w:rPr>
      <w:rFonts w:cstheme="majorBidi"/>
      <w:b/>
      <w:bCs/>
      <w:color w:val="595959" w:themeColor="text1" w:themeTint="A6"/>
    </w:rPr>
  </w:style>
  <w:style w:type="character" w:customStyle="1" w:styleId="80">
    <w:name w:val="标题 8 字符"/>
    <w:basedOn w:val="a0"/>
    <w:link w:val="8"/>
    <w:uiPriority w:val="9"/>
    <w:semiHidden/>
    <w:rsid w:val="009471C4"/>
    <w:rPr>
      <w:rFonts w:cstheme="majorBidi"/>
      <w:color w:val="595959" w:themeColor="text1" w:themeTint="A6"/>
    </w:rPr>
  </w:style>
  <w:style w:type="character" w:customStyle="1" w:styleId="90">
    <w:name w:val="标题 9 字符"/>
    <w:basedOn w:val="a0"/>
    <w:link w:val="9"/>
    <w:uiPriority w:val="9"/>
    <w:semiHidden/>
    <w:rsid w:val="009471C4"/>
    <w:rPr>
      <w:rFonts w:eastAsiaTheme="majorEastAsia" w:cstheme="majorBidi"/>
      <w:color w:val="595959" w:themeColor="text1" w:themeTint="A6"/>
    </w:rPr>
  </w:style>
  <w:style w:type="paragraph" w:styleId="a3">
    <w:name w:val="Title"/>
    <w:basedOn w:val="a"/>
    <w:next w:val="a"/>
    <w:link w:val="a4"/>
    <w:uiPriority w:val="10"/>
    <w:qFormat/>
    <w:rsid w:val="009471C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471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71C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471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71C4"/>
    <w:pPr>
      <w:spacing w:before="160" w:after="160"/>
      <w:jc w:val="center"/>
    </w:pPr>
    <w:rPr>
      <w:i/>
      <w:iCs/>
      <w:color w:val="404040" w:themeColor="text1" w:themeTint="BF"/>
    </w:rPr>
  </w:style>
  <w:style w:type="character" w:customStyle="1" w:styleId="a8">
    <w:name w:val="引用 字符"/>
    <w:basedOn w:val="a0"/>
    <w:link w:val="a7"/>
    <w:uiPriority w:val="29"/>
    <w:rsid w:val="009471C4"/>
    <w:rPr>
      <w:i/>
      <w:iCs/>
      <w:color w:val="404040" w:themeColor="text1" w:themeTint="BF"/>
    </w:rPr>
  </w:style>
  <w:style w:type="paragraph" w:styleId="a9">
    <w:name w:val="List Paragraph"/>
    <w:basedOn w:val="a"/>
    <w:uiPriority w:val="34"/>
    <w:qFormat/>
    <w:rsid w:val="009471C4"/>
    <w:pPr>
      <w:ind w:left="720"/>
      <w:contextualSpacing/>
    </w:pPr>
  </w:style>
  <w:style w:type="character" w:styleId="aa">
    <w:name w:val="Intense Emphasis"/>
    <w:basedOn w:val="a0"/>
    <w:uiPriority w:val="21"/>
    <w:qFormat/>
    <w:rsid w:val="009471C4"/>
    <w:rPr>
      <w:i/>
      <w:iCs/>
      <w:color w:val="2E74B5" w:themeColor="accent1" w:themeShade="BF"/>
    </w:rPr>
  </w:style>
  <w:style w:type="paragraph" w:styleId="ab">
    <w:name w:val="Intense Quote"/>
    <w:basedOn w:val="a"/>
    <w:next w:val="a"/>
    <w:link w:val="ac"/>
    <w:uiPriority w:val="30"/>
    <w:qFormat/>
    <w:rsid w:val="009471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9471C4"/>
    <w:rPr>
      <w:i/>
      <w:iCs/>
      <w:color w:val="2E74B5" w:themeColor="accent1" w:themeShade="BF"/>
    </w:rPr>
  </w:style>
  <w:style w:type="character" w:styleId="ad">
    <w:name w:val="Intense Reference"/>
    <w:basedOn w:val="a0"/>
    <w:uiPriority w:val="32"/>
    <w:qFormat/>
    <w:rsid w:val="009471C4"/>
    <w:rPr>
      <w:b/>
      <w:bCs/>
      <w:smallCaps/>
      <w:color w:val="2E74B5" w:themeColor="accent1" w:themeShade="BF"/>
      <w:spacing w:val="5"/>
    </w:rPr>
  </w:style>
  <w:style w:type="paragraph" w:styleId="ae">
    <w:name w:val="header"/>
    <w:basedOn w:val="a"/>
    <w:link w:val="af"/>
    <w:uiPriority w:val="99"/>
    <w:unhideWhenUsed/>
    <w:rsid w:val="00A201CF"/>
    <w:pPr>
      <w:tabs>
        <w:tab w:val="center" w:pos="4153"/>
        <w:tab w:val="right" w:pos="8306"/>
      </w:tabs>
      <w:snapToGrid w:val="0"/>
      <w:jc w:val="center"/>
    </w:pPr>
    <w:rPr>
      <w:sz w:val="18"/>
      <w:szCs w:val="18"/>
    </w:rPr>
  </w:style>
  <w:style w:type="character" w:customStyle="1" w:styleId="af">
    <w:name w:val="页眉 字符"/>
    <w:basedOn w:val="a0"/>
    <w:link w:val="ae"/>
    <w:uiPriority w:val="99"/>
    <w:rsid w:val="00A201CF"/>
    <w:rPr>
      <w:sz w:val="18"/>
      <w:szCs w:val="18"/>
    </w:rPr>
  </w:style>
  <w:style w:type="paragraph" w:styleId="af0">
    <w:name w:val="footer"/>
    <w:basedOn w:val="a"/>
    <w:link w:val="af1"/>
    <w:uiPriority w:val="99"/>
    <w:unhideWhenUsed/>
    <w:rsid w:val="00A201CF"/>
    <w:pPr>
      <w:tabs>
        <w:tab w:val="center" w:pos="4153"/>
        <w:tab w:val="right" w:pos="8306"/>
      </w:tabs>
      <w:snapToGrid w:val="0"/>
      <w:jc w:val="left"/>
    </w:pPr>
    <w:rPr>
      <w:sz w:val="18"/>
      <w:szCs w:val="18"/>
    </w:rPr>
  </w:style>
  <w:style w:type="character" w:customStyle="1" w:styleId="af1">
    <w:name w:val="页脚 字符"/>
    <w:basedOn w:val="a0"/>
    <w:link w:val="af0"/>
    <w:uiPriority w:val="99"/>
    <w:rsid w:val="00A201CF"/>
    <w:rPr>
      <w:sz w:val="18"/>
      <w:szCs w:val="18"/>
    </w:rPr>
  </w:style>
  <w:style w:type="table" w:styleId="af2">
    <w:name w:val="Table Grid"/>
    <w:basedOn w:val="a1"/>
    <w:uiPriority w:val="39"/>
    <w:rsid w:val="007213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0"/>
    <w:uiPriority w:val="99"/>
    <w:semiHidden/>
    <w:rsid w:val="00D44D2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7822">
      <w:bodyDiv w:val="1"/>
      <w:marLeft w:val="0"/>
      <w:marRight w:val="0"/>
      <w:marTop w:val="0"/>
      <w:marBottom w:val="0"/>
      <w:divBdr>
        <w:top w:val="none" w:sz="0" w:space="0" w:color="auto"/>
        <w:left w:val="none" w:sz="0" w:space="0" w:color="auto"/>
        <w:bottom w:val="none" w:sz="0" w:space="0" w:color="auto"/>
        <w:right w:val="none" w:sz="0" w:space="0" w:color="auto"/>
      </w:divBdr>
      <w:divsChild>
        <w:div w:id="2127234876">
          <w:marLeft w:val="0"/>
          <w:marRight w:val="0"/>
          <w:marTop w:val="0"/>
          <w:marBottom w:val="0"/>
          <w:divBdr>
            <w:top w:val="none" w:sz="0" w:space="0" w:color="auto"/>
            <w:left w:val="none" w:sz="0" w:space="0" w:color="auto"/>
            <w:bottom w:val="none" w:sz="0" w:space="0" w:color="auto"/>
            <w:right w:val="none" w:sz="0" w:space="0" w:color="auto"/>
          </w:divBdr>
          <w:divsChild>
            <w:div w:id="1977636770">
              <w:marLeft w:val="0"/>
              <w:marRight w:val="0"/>
              <w:marTop w:val="0"/>
              <w:marBottom w:val="0"/>
              <w:divBdr>
                <w:top w:val="none" w:sz="0" w:space="0" w:color="auto"/>
                <w:left w:val="none" w:sz="0" w:space="0" w:color="auto"/>
                <w:bottom w:val="none" w:sz="0" w:space="0" w:color="auto"/>
                <w:right w:val="none" w:sz="0" w:space="0" w:color="auto"/>
              </w:divBdr>
              <w:divsChild>
                <w:div w:id="1767577731">
                  <w:marLeft w:val="0"/>
                  <w:marRight w:val="0"/>
                  <w:marTop w:val="0"/>
                  <w:marBottom w:val="0"/>
                  <w:divBdr>
                    <w:top w:val="none" w:sz="0" w:space="0" w:color="auto"/>
                    <w:left w:val="none" w:sz="0" w:space="0" w:color="auto"/>
                    <w:bottom w:val="none" w:sz="0" w:space="0" w:color="auto"/>
                    <w:right w:val="none" w:sz="0" w:space="0" w:color="auto"/>
                  </w:divBdr>
                  <w:divsChild>
                    <w:div w:id="553591206">
                      <w:marLeft w:val="0"/>
                      <w:marRight w:val="0"/>
                      <w:marTop w:val="0"/>
                      <w:marBottom w:val="0"/>
                      <w:divBdr>
                        <w:top w:val="none" w:sz="0" w:space="0" w:color="auto"/>
                        <w:left w:val="none" w:sz="0" w:space="0" w:color="auto"/>
                        <w:bottom w:val="none" w:sz="0" w:space="0" w:color="auto"/>
                        <w:right w:val="none" w:sz="0" w:space="0" w:color="auto"/>
                      </w:divBdr>
                      <w:divsChild>
                        <w:div w:id="30527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203794">
      <w:bodyDiv w:val="1"/>
      <w:marLeft w:val="0"/>
      <w:marRight w:val="0"/>
      <w:marTop w:val="0"/>
      <w:marBottom w:val="0"/>
      <w:divBdr>
        <w:top w:val="none" w:sz="0" w:space="0" w:color="auto"/>
        <w:left w:val="none" w:sz="0" w:space="0" w:color="auto"/>
        <w:bottom w:val="none" w:sz="0" w:space="0" w:color="auto"/>
        <w:right w:val="none" w:sz="0" w:space="0" w:color="auto"/>
      </w:divBdr>
      <w:divsChild>
        <w:div w:id="1347977064">
          <w:marLeft w:val="0"/>
          <w:marRight w:val="0"/>
          <w:marTop w:val="0"/>
          <w:marBottom w:val="0"/>
          <w:divBdr>
            <w:top w:val="none" w:sz="0" w:space="0" w:color="auto"/>
            <w:left w:val="none" w:sz="0" w:space="0" w:color="auto"/>
            <w:bottom w:val="none" w:sz="0" w:space="0" w:color="auto"/>
            <w:right w:val="none" w:sz="0" w:space="0" w:color="auto"/>
          </w:divBdr>
          <w:divsChild>
            <w:div w:id="992029297">
              <w:marLeft w:val="0"/>
              <w:marRight w:val="0"/>
              <w:marTop w:val="0"/>
              <w:marBottom w:val="0"/>
              <w:divBdr>
                <w:top w:val="none" w:sz="0" w:space="0" w:color="auto"/>
                <w:left w:val="none" w:sz="0" w:space="0" w:color="auto"/>
                <w:bottom w:val="none" w:sz="0" w:space="0" w:color="auto"/>
                <w:right w:val="none" w:sz="0" w:space="0" w:color="auto"/>
              </w:divBdr>
              <w:divsChild>
                <w:div w:id="2146583825">
                  <w:marLeft w:val="0"/>
                  <w:marRight w:val="0"/>
                  <w:marTop w:val="0"/>
                  <w:marBottom w:val="0"/>
                  <w:divBdr>
                    <w:top w:val="none" w:sz="0" w:space="0" w:color="auto"/>
                    <w:left w:val="none" w:sz="0" w:space="0" w:color="auto"/>
                    <w:bottom w:val="none" w:sz="0" w:space="0" w:color="auto"/>
                    <w:right w:val="none" w:sz="0" w:space="0" w:color="auto"/>
                  </w:divBdr>
                  <w:divsChild>
                    <w:div w:id="2003311261">
                      <w:marLeft w:val="0"/>
                      <w:marRight w:val="0"/>
                      <w:marTop w:val="0"/>
                      <w:marBottom w:val="0"/>
                      <w:divBdr>
                        <w:top w:val="none" w:sz="0" w:space="0" w:color="auto"/>
                        <w:left w:val="none" w:sz="0" w:space="0" w:color="auto"/>
                        <w:bottom w:val="none" w:sz="0" w:space="0" w:color="auto"/>
                        <w:right w:val="none" w:sz="0" w:space="0" w:color="auto"/>
                      </w:divBdr>
                      <w:divsChild>
                        <w:div w:id="99110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github.com/PWQ-GDOU/ASTRA"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866EEF-366B-4C20-9D82-FB9E849FE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30</Pages>
  <Words>10833</Words>
  <Characters>30769</Characters>
  <Application>Microsoft Office Word</Application>
  <DocSecurity>0</DocSecurity>
  <Lines>1398</Lines>
  <Paragraphs>1260</Paragraphs>
  <ScaleCrop>false</ScaleCrop>
  <Company/>
  <LinksUpToDate>false</LinksUpToDate>
  <CharactersWithSpaces>40342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ASTRA 航天器关键组件跨域退化迁移寿命预测技术报告（评委优化版）</dc:title>
  <dc:subject>赛事技术方案、数据仿真、迁移验证、软件演示与复现材料索引</dc:subject>
  <dc:creator>ASTRA 项目组</dc:creator>
  <cp:keywords/>
  <dc:description/>
  <cp:lastModifiedBy>彭温泉</cp:lastModifiedBy>
  <cp:revision>110</cp:revision>
  <dcterms:created xsi:type="dcterms:W3CDTF">2026-08-30T04:21:00Z</dcterms:created>
  <dcterms:modified xsi:type="dcterms:W3CDTF">2026-08-30T05:52:00Z</dcterms:modified>
</cp:coreProperties>
</file>