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3E7A" w14:textId="77777777" w:rsidR="002C0508" w:rsidRDefault="002C0508" w:rsidP="00541877">
      <w:pPr>
        <w:pStyle w:val="NormalWeb"/>
        <w:shd w:val="clear" w:color="auto" w:fill="FFFFFF"/>
        <w:spacing w:line="480" w:lineRule="auto"/>
      </w:pPr>
      <w:r>
        <w:rPr>
          <w:rFonts w:ascii="Arial" w:hAnsi="Arial" w:cs="Arial"/>
          <w:b/>
          <w:bCs/>
          <w:sz w:val="20"/>
          <w:szCs w:val="20"/>
        </w:rPr>
        <w:t xml:space="preserve">Problem 1: </w:t>
      </w:r>
    </w:p>
    <w:p w14:paraId="5F24925B" w14:textId="77777777" w:rsidR="002C0508" w:rsidRDefault="002C0508" w:rsidP="00541877">
      <w:pPr>
        <w:pStyle w:val="NormalWeb"/>
        <w:shd w:val="clear" w:color="auto" w:fill="FFFFFF"/>
        <w:spacing w:line="480" w:lineRule="auto"/>
      </w:pPr>
      <w:r>
        <w:rPr>
          <w:rFonts w:ascii="ArialMT" w:hAnsi="ArialMT"/>
          <w:sz w:val="20"/>
          <w:szCs w:val="20"/>
        </w:rPr>
        <w:t xml:space="preserve">Use the data in problem1.csv. Fit a Normal Distribution and a Generalized T distribution to this data. Calculate the </w:t>
      </w:r>
      <w:proofErr w:type="spellStart"/>
      <w:r>
        <w:rPr>
          <w:rFonts w:ascii="ArialMT" w:hAnsi="ArialMT"/>
          <w:sz w:val="20"/>
          <w:szCs w:val="20"/>
        </w:rPr>
        <w:t>VaR</w:t>
      </w:r>
      <w:proofErr w:type="spellEnd"/>
      <w:r>
        <w:rPr>
          <w:rFonts w:ascii="ArialMT" w:hAnsi="ArialMT"/>
          <w:sz w:val="20"/>
          <w:szCs w:val="20"/>
        </w:rPr>
        <w:t xml:space="preserve"> and ES for both fitted distributions. </w:t>
      </w:r>
    </w:p>
    <w:p w14:paraId="190F8434" w14:textId="77777777" w:rsidR="002C0508" w:rsidRDefault="002C0508" w:rsidP="00541877">
      <w:pPr>
        <w:pStyle w:val="NormalWeb"/>
        <w:shd w:val="clear" w:color="auto" w:fill="FFFFFF"/>
        <w:spacing w:line="480" w:lineRule="auto"/>
      </w:pPr>
      <w:r>
        <w:rPr>
          <w:rFonts w:ascii="ArialMT" w:hAnsi="ArialMT"/>
          <w:sz w:val="20"/>
          <w:szCs w:val="20"/>
        </w:rPr>
        <w:t xml:space="preserve">Overlay the graphs the distribution PDFs, </w:t>
      </w:r>
      <w:proofErr w:type="spellStart"/>
      <w:r>
        <w:rPr>
          <w:rFonts w:ascii="ArialMT" w:hAnsi="ArialMT"/>
          <w:sz w:val="20"/>
          <w:szCs w:val="20"/>
        </w:rPr>
        <w:t>VaR</w:t>
      </w:r>
      <w:proofErr w:type="spellEnd"/>
      <w:r>
        <w:rPr>
          <w:rFonts w:ascii="ArialMT" w:hAnsi="ArialMT"/>
          <w:sz w:val="20"/>
          <w:szCs w:val="20"/>
        </w:rPr>
        <w:t xml:space="preserve">, and ES values. What do you notice? Explain the differences. </w:t>
      </w:r>
    </w:p>
    <w:p w14:paraId="1C2A96B6" w14:textId="21EC3967" w:rsidR="007B476B" w:rsidRDefault="002C0508" w:rsidP="00541877">
      <w:pPr>
        <w:spacing w:line="480" w:lineRule="auto"/>
        <w:rPr>
          <w:rFonts w:ascii="ArialMT" w:hAnsi="ArialMT"/>
          <w:sz w:val="20"/>
          <w:szCs w:val="20"/>
        </w:rPr>
      </w:pPr>
      <w:r>
        <w:t xml:space="preserve">A: the steps used here is fit problem1 by </w:t>
      </w:r>
      <w:r>
        <w:rPr>
          <w:rFonts w:ascii="ArialMT" w:hAnsi="ArialMT"/>
          <w:sz w:val="20"/>
          <w:szCs w:val="20"/>
        </w:rPr>
        <w:t>Normal Distribution and a Generalized T distribution</w:t>
      </w:r>
      <w:r>
        <w:rPr>
          <w:rFonts w:ascii="ArialMT" w:hAnsi="ArialMT"/>
          <w:sz w:val="20"/>
          <w:szCs w:val="20"/>
        </w:rPr>
        <w:t>.</w:t>
      </w:r>
    </w:p>
    <w:p w14:paraId="7E62D7E4" w14:textId="4A6D3DFB" w:rsidR="002C0508" w:rsidRDefault="002C0508" w:rsidP="00541877">
      <w:pPr>
        <w:spacing w:line="480" w:lineRule="auto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Then </w:t>
      </w:r>
      <w:r>
        <w:rPr>
          <w:rFonts w:ascii="ArialMT" w:hAnsi="ArialMT"/>
          <w:sz w:val="20"/>
          <w:szCs w:val="20"/>
        </w:rPr>
        <w:t xml:space="preserve">Calculate the </w:t>
      </w:r>
      <w:proofErr w:type="spellStart"/>
      <w:r>
        <w:rPr>
          <w:rFonts w:ascii="ArialMT" w:hAnsi="ArialMT"/>
          <w:sz w:val="20"/>
          <w:szCs w:val="20"/>
        </w:rPr>
        <w:t>VaR</w:t>
      </w:r>
      <w:proofErr w:type="spellEnd"/>
      <w:r>
        <w:rPr>
          <w:rFonts w:ascii="ArialMT" w:hAnsi="ArialMT"/>
          <w:sz w:val="20"/>
          <w:szCs w:val="20"/>
        </w:rPr>
        <w:t xml:space="preserve"> and ES for both fitted distributions</w:t>
      </w:r>
      <w:r>
        <w:rPr>
          <w:rFonts w:ascii="ArialMT" w:hAnsi="ArialMT"/>
          <w:sz w:val="20"/>
          <w:szCs w:val="20"/>
        </w:rPr>
        <w:t>. The result I got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0508" w14:paraId="2D59DD3C" w14:textId="77777777" w:rsidTr="002C0508">
        <w:tc>
          <w:tcPr>
            <w:tcW w:w="3116" w:type="dxa"/>
          </w:tcPr>
          <w:p w14:paraId="443EE0DA" w14:textId="77777777" w:rsidR="002C0508" w:rsidRDefault="002C0508" w:rsidP="00541877">
            <w:pPr>
              <w:spacing w:line="480" w:lineRule="auto"/>
            </w:pPr>
          </w:p>
        </w:tc>
        <w:tc>
          <w:tcPr>
            <w:tcW w:w="3117" w:type="dxa"/>
          </w:tcPr>
          <w:p w14:paraId="3B44DEAB" w14:textId="33BCBCC3" w:rsidR="002C0508" w:rsidRDefault="002C0508" w:rsidP="00541877">
            <w:pPr>
              <w:spacing w:line="480" w:lineRule="auto"/>
            </w:pPr>
            <w:r>
              <w:t>Normal</w:t>
            </w:r>
          </w:p>
        </w:tc>
        <w:tc>
          <w:tcPr>
            <w:tcW w:w="3117" w:type="dxa"/>
          </w:tcPr>
          <w:p w14:paraId="5C1F06EF" w14:textId="6AA240EE" w:rsidR="002C0508" w:rsidRDefault="002C0508" w:rsidP="00541877">
            <w:pPr>
              <w:spacing w:line="480" w:lineRule="auto"/>
            </w:pPr>
            <w:r>
              <w:t>t</w:t>
            </w:r>
          </w:p>
        </w:tc>
      </w:tr>
      <w:tr w:rsidR="002C0508" w14:paraId="3B73A8BD" w14:textId="77777777" w:rsidTr="002C0508">
        <w:tc>
          <w:tcPr>
            <w:tcW w:w="3116" w:type="dxa"/>
          </w:tcPr>
          <w:p w14:paraId="6B891B8A" w14:textId="5962A480" w:rsidR="002C0508" w:rsidRDefault="002C0508" w:rsidP="00541877">
            <w:pPr>
              <w:spacing w:line="480" w:lineRule="auto"/>
            </w:pPr>
            <w:proofErr w:type="spellStart"/>
            <w:r>
              <w:t>VaR</w:t>
            </w:r>
            <w:proofErr w:type="spellEnd"/>
          </w:p>
        </w:tc>
        <w:tc>
          <w:tcPr>
            <w:tcW w:w="3117" w:type="dxa"/>
          </w:tcPr>
          <w:p w14:paraId="05F267AF" w14:textId="407FDE78" w:rsidR="002C0508" w:rsidRDefault="002C0508" w:rsidP="00541877">
            <w:pPr>
              <w:spacing w:line="480" w:lineRule="auto"/>
            </w:pPr>
            <w:r>
              <w:t>0.0801</w:t>
            </w:r>
          </w:p>
        </w:tc>
        <w:tc>
          <w:tcPr>
            <w:tcW w:w="3117" w:type="dxa"/>
          </w:tcPr>
          <w:p w14:paraId="3F806370" w14:textId="6B2EEE7E" w:rsidR="002C0508" w:rsidRDefault="002C0508" w:rsidP="00541877">
            <w:pPr>
              <w:spacing w:line="480" w:lineRule="auto"/>
            </w:pPr>
            <w:r>
              <w:t>0.0776</w:t>
            </w:r>
          </w:p>
        </w:tc>
      </w:tr>
      <w:tr w:rsidR="002C0508" w14:paraId="0A64BEE6" w14:textId="77777777" w:rsidTr="002C0508">
        <w:tc>
          <w:tcPr>
            <w:tcW w:w="3116" w:type="dxa"/>
          </w:tcPr>
          <w:p w14:paraId="5F1D2776" w14:textId="14E6821B" w:rsidR="002C0508" w:rsidRDefault="002C0508" w:rsidP="00541877">
            <w:pPr>
              <w:spacing w:line="480" w:lineRule="auto"/>
            </w:pPr>
            <w:r>
              <w:t>ES</w:t>
            </w:r>
          </w:p>
        </w:tc>
        <w:tc>
          <w:tcPr>
            <w:tcW w:w="3117" w:type="dxa"/>
          </w:tcPr>
          <w:p w14:paraId="7C7FBAAC" w14:textId="5D254A7D" w:rsidR="002C0508" w:rsidRDefault="002C0508" w:rsidP="00541877">
            <w:pPr>
              <w:spacing w:line="480" w:lineRule="auto"/>
            </w:pPr>
            <w:r>
              <w:t>0.1017</w:t>
            </w:r>
          </w:p>
        </w:tc>
        <w:tc>
          <w:tcPr>
            <w:tcW w:w="3117" w:type="dxa"/>
          </w:tcPr>
          <w:p w14:paraId="4B294C66" w14:textId="2AFFF35D" w:rsidR="002C0508" w:rsidRDefault="002C0508" w:rsidP="00541877">
            <w:pPr>
              <w:spacing w:line="480" w:lineRule="auto"/>
            </w:pPr>
            <w:r>
              <w:t>0.1132</w:t>
            </w:r>
          </w:p>
        </w:tc>
      </w:tr>
    </w:tbl>
    <w:p w14:paraId="5BEFB48D" w14:textId="272AAEF5" w:rsidR="002C0508" w:rsidRDefault="002C0508" w:rsidP="00541877">
      <w:pPr>
        <w:spacing w:line="480" w:lineRule="auto"/>
      </w:pPr>
    </w:p>
    <w:p w14:paraId="2B86A3C7" w14:textId="48FC011A" w:rsidR="002C0508" w:rsidRDefault="002C0508" w:rsidP="00541877">
      <w:pPr>
        <w:spacing w:line="480" w:lineRule="auto"/>
      </w:pPr>
      <w:r>
        <w:t>By overlay the graph we have</w:t>
      </w:r>
    </w:p>
    <w:p w14:paraId="06C32654" w14:textId="1A23B263" w:rsidR="002C0508" w:rsidRDefault="002C0508" w:rsidP="00541877">
      <w:pPr>
        <w:spacing w:line="480" w:lineRule="auto"/>
        <w:jc w:val="center"/>
      </w:pPr>
      <w:r w:rsidRPr="002C0508">
        <w:drawing>
          <wp:inline distT="0" distB="0" distL="0" distR="0" wp14:anchorId="3022395E" wp14:editId="2BFF9B53">
            <wp:extent cx="49530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45A5" w14:textId="0D3C903B" w:rsidR="002C0508" w:rsidRDefault="002C0508" w:rsidP="00541877">
      <w:pPr>
        <w:spacing w:line="480" w:lineRule="auto"/>
      </w:pPr>
      <w:r>
        <w:lastRenderedPageBreak/>
        <w:t xml:space="preserve">From </w:t>
      </w:r>
      <w:proofErr w:type="spellStart"/>
      <w:r>
        <w:t>VaR</w:t>
      </w:r>
      <w:proofErr w:type="spellEnd"/>
      <w:r>
        <w:t xml:space="preserve"> and ES we can see that </w:t>
      </w:r>
      <w:r w:rsidR="00541877">
        <w:t xml:space="preserve">the </w:t>
      </w:r>
      <w:proofErr w:type="spellStart"/>
      <w:r w:rsidR="00541877">
        <w:t>VaR</w:t>
      </w:r>
      <w:proofErr w:type="spellEnd"/>
      <w:r w:rsidR="00541877">
        <w:t xml:space="preserve"> of t distribution is smaller than normal</w:t>
      </w:r>
      <w:r w:rsidR="00541877" w:rsidRPr="00541877">
        <w:t xml:space="preserve"> </w:t>
      </w:r>
      <w:r w:rsidR="00541877">
        <w:t>distribution</w:t>
      </w:r>
      <w:r w:rsidR="00541877">
        <w:t>. But the Expected shortfall</w:t>
      </w:r>
      <w:r w:rsidR="00541877">
        <w:t xml:space="preserve"> of t distribution is smaller than normal</w:t>
      </w:r>
      <w:r w:rsidR="00541877" w:rsidRPr="00541877">
        <w:t xml:space="preserve"> </w:t>
      </w:r>
      <w:r w:rsidR="00541877">
        <w:t>distribution</w:t>
      </w:r>
      <w:r w:rsidR="00541877">
        <w:t>. This means the minimum loss of t distribution is small, but the mean is larger. From the graph we can see that the figure of t distribution is fatter tailed, that leads to the result we discussed.</w:t>
      </w:r>
    </w:p>
    <w:p w14:paraId="082C2DAF" w14:textId="21E1509E" w:rsidR="00541877" w:rsidRDefault="00541877" w:rsidP="00541877">
      <w:pPr>
        <w:spacing w:line="480" w:lineRule="auto"/>
      </w:pPr>
    </w:p>
    <w:p w14:paraId="5BDE8028" w14:textId="01E778AB" w:rsidR="00541877" w:rsidRDefault="00541877" w:rsidP="00541877">
      <w:pPr>
        <w:spacing w:line="480" w:lineRule="auto"/>
      </w:pPr>
    </w:p>
    <w:p w14:paraId="68578058" w14:textId="77777777" w:rsidR="00541877" w:rsidRDefault="00541877" w:rsidP="00541877">
      <w:pPr>
        <w:pStyle w:val="NormalWeb"/>
        <w:shd w:val="clear" w:color="auto" w:fill="FFFFFF"/>
      </w:pPr>
      <w:r>
        <w:rPr>
          <w:rFonts w:ascii="Arial" w:hAnsi="Arial" w:cs="Arial"/>
          <w:b/>
          <w:bCs/>
          <w:sz w:val="20"/>
          <w:szCs w:val="20"/>
        </w:rPr>
        <w:t xml:space="preserve">Problem 2: </w:t>
      </w:r>
    </w:p>
    <w:p w14:paraId="7FE39FAF" w14:textId="77777777" w:rsidR="00541877" w:rsidRDefault="00541877" w:rsidP="00541877">
      <w:pPr>
        <w:pStyle w:val="NormalWeb"/>
        <w:shd w:val="clear" w:color="auto" w:fill="FFFFFF"/>
      </w:pPr>
      <w:r>
        <w:rPr>
          <w:rFonts w:ascii="ArialMT" w:hAnsi="ArialMT"/>
          <w:sz w:val="20"/>
          <w:szCs w:val="20"/>
        </w:rPr>
        <w:t xml:space="preserve">In your main repository, create a Library for risk management. Create modules, classes, packages, </w:t>
      </w:r>
      <w:proofErr w:type="spellStart"/>
      <w:r>
        <w:rPr>
          <w:rFonts w:ascii="ArialMT" w:hAnsi="ArialMT"/>
          <w:sz w:val="20"/>
          <w:szCs w:val="20"/>
        </w:rPr>
        <w:t>etc</w:t>
      </w:r>
      <w:proofErr w:type="spellEnd"/>
      <w:r>
        <w:rPr>
          <w:rFonts w:ascii="ArialMT" w:hAnsi="ArialMT"/>
          <w:sz w:val="20"/>
          <w:szCs w:val="20"/>
        </w:rPr>
        <w:t xml:space="preserve"> as you see fit. Include all the functionality we have discussed so far in class. Make sure it </w:t>
      </w:r>
      <w:proofErr w:type="gramStart"/>
      <w:r>
        <w:rPr>
          <w:rFonts w:ascii="ArialMT" w:hAnsi="ArialMT"/>
          <w:sz w:val="20"/>
          <w:szCs w:val="20"/>
        </w:rPr>
        <w:t>includes</w:t>
      </w:r>
      <w:proofErr w:type="gramEnd"/>
      <w:r>
        <w:rPr>
          <w:rFonts w:ascii="ArialMT" w:hAnsi="ArialMT"/>
          <w:sz w:val="20"/>
          <w:szCs w:val="20"/>
        </w:rPr>
        <w:t xml:space="preserve"> </w:t>
      </w:r>
    </w:p>
    <w:p w14:paraId="5A71F61B" w14:textId="127B57C1" w:rsidR="00541877" w:rsidRDefault="00541877" w:rsidP="00541877">
      <w:pPr>
        <w:pStyle w:val="NormalWeb"/>
        <w:numPr>
          <w:ilvl w:val="0"/>
          <w:numId w:val="1"/>
        </w:numPr>
        <w:shd w:val="clear" w:color="auto" w:fill="FFFFFF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Covariance estimation techniques. </w:t>
      </w:r>
    </w:p>
    <w:p w14:paraId="20E24CF3" w14:textId="0ACCA9F1" w:rsidR="00280438" w:rsidRDefault="00280438" w:rsidP="00280438">
      <w:pPr>
        <w:pStyle w:val="NormalWeb"/>
        <w:shd w:val="clear" w:color="auto" w:fill="FFFFFF"/>
        <w:ind w:left="720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>1.1 Exponentially weighted covariance matrix is used.</w:t>
      </w:r>
    </w:p>
    <w:p w14:paraId="60FB5B9F" w14:textId="68A0349A" w:rsidR="00541877" w:rsidRDefault="00541877" w:rsidP="00541877">
      <w:pPr>
        <w:pStyle w:val="NormalWeb"/>
        <w:numPr>
          <w:ilvl w:val="0"/>
          <w:numId w:val="1"/>
        </w:numPr>
        <w:shd w:val="clear" w:color="auto" w:fill="FFFFFF"/>
        <w:rPr>
          <w:rFonts w:ascii="ArialMT" w:hAnsi="ArialMT"/>
          <w:sz w:val="20"/>
          <w:szCs w:val="20"/>
        </w:rPr>
      </w:pPr>
      <w:proofErr w:type="gramStart"/>
      <w:r>
        <w:rPr>
          <w:rFonts w:ascii="ArialMT" w:hAnsi="ArialMT"/>
          <w:sz w:val="20"/>
          <w:szCs w:val="20"/>
        </w:rPr>
        <w:t>Non PSD</w:t>
      </w:r>
      <w:proofErr w:type="gramEnd"/>
      <w:r>
        <w:rPr>
          <w:rFonts w:ascii="ArialMT" w:hAnsi="ArialMT"/>
          <w:sz w:val="20"/>
          <w:szCs w:val="20"/>
        </w:rPr>
        <w:t xml:space="preserve"> fixes for correlation matrices </w:t>
      </w:r>
    </w:p>
    <w:p w14:paraId="650EDEAC" w14:textId="6918571E" w:rsidR="00280438" w:rsidRDefault="00280438" w:rsidP="00280438">
      <w:pPr>
        <w:pStyle w:val="NormalWeb"/>
        <w:shd w:val="clear" w:color="auto" w:fill="FFFFFF"/>
        <w:ind w:left="720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Near </w:t>
      </w:r>
      <w:proofErr w:type="spellStart"/>
      <w:r>
        <w:rPr>
          <w:rFonts w:ascii="ArialMT" w:hAnsi="ArialMT"/>
          <w:sz w:val="20"/>
          <w:szCs w:val="20"/>
        </w:rPr>
        <w:t>psd</w:t>
      </w:r>
      <w:proofErr w:type="spellEnd"/>
      <w:r>
        <w:rPr>
          <w:rFonts w:ascii="ArialMT" w:hAnsi="ArialMT"/>
          <w:sz w:val="20"/>
          <w:szCs w:val="20"/>
        </w:rPr>
        <w:t xml:space="preserve"> and </w:t>
      </w:r>
      <w:proofErr w:type="spellStart"/>
      <w:r>
        <w:rPr>
          <w:rFonts w:ascii="ArialMT" w:hAnsi="ArialMT"/>
          <w:sz w:val="20"/>
          <w:szCs w:val="20"/>
        </w:rPr>
        <w:t>Higham’s</w:t>
      </w:r>
      <w:proofErr w:type="spellEnd"/>
      <w:r>
        <w:rPr>
          <w:rFonts w:ascii="ArialMT" w:hAnsi="ArialMT"/>
          <w:sz w:val="20"/>
          <w:szCs w:val="20"/>
        </w:rPr>
        <w:t xml:space="preserve"> method is used.</w:t>
      </w:r>
    </w:p>
    <w:p w14:paraId="25F6DF98" w14:textId="65D30F02" w:rsidR="00541877" w:rsidRDefault="00541877" w:rsidP="00541877">
      <w:pPr>
        <w:pStyle w:val="NormalWeb"/>
        <w:numPr>
          <w:ilvl w:val="0"/>
          <w:numId w:val="1"/>
        </w:numPr>
        <w:shd w:val="clear" w:color="auto" w:fill="FFFFFF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Simulation Methods </w:t>
      </w:r>
    </w:p>
    <w:p w14:paraId="6CF3BC41" w14:textId="1C737130" w:rsidR="00280438" w:rsidRDefault="00280438" w:rsidP="00280438">
      <w:pPr>
        <w:pStyle w:val="NormalWeb"/>
        <w:shd w:val="clear" w:color="auto" w:fill="FFFFFF"/>
        <w:ind w:left="720"/>
        <w:rPr>
          <w:rFonts w:ascii="ArialMT" w:hAnsi="ArialMT"/>
          <w:sz w:val="20"/>
          <w:szCs w:val="20"/>
        </w:rPr>
      </w:pPr>
      <w:r w:rsidRPr="00280438">
        <w:rPr>
          <w:rFonts w:ascii="ArialMT" w:hAnsi="ArialMT"/>
          <w:sz w:val="20"/>
          <w:szCs w:val="20"/>
        </w:rPr>
        <w:t>simulation directly from a covariance matrix or using PCA with an optional parameter for % variance explained.</w:t>
      </w:r>
    </w:p>
    <w:p w14:paraId="13C9F2D1" w14:textId="48AF6C57" w:rsidR="00280438" w:rsidRDefault="00280438" w:rsidP="00280438">
      <w:pPr>
        <w:pStyle w:val="NormalWeb"/>
        <w:shd w:val="clear" w:color="auto" w:fill="FFFFFF"/>
        <w:ind w:left="720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Four combination of </w:t>
      </w:r>
      <w:r w:rsidRPr="00280438">
        <w:rPr>
          <w:rFonts w:ascii="ArialMT" w:hAnsi="ArialMT"/>
          <w:sz w:val="20"/>
          <w:szCs w:val="20"/>
        </w:rPr>
        <w:t>simulated covariance</w:t>
      </w:r>
      <w:r>
        <w:rPr>
          <w:rFonts w:ascii="ArialMT" w:hAnsi="ArialMT"/>
          <w:sz w:val="20"/>
          <w:szCs w:val="20"/>
        </w:rPr>
        <w:t xml:space="preserve"> is used.</w:t>
      </w:r>
    </w:p>
    <w:p w14:paraId="0AEC953A" w14:textId="0CDC31BB" w:rsidR="00541877" w:rsidRDefault="00541877" w:rsidP="00541877">
      <w:pPr>
        <w:pStyle w:val="NormalWeb"/>
        <w:numPr>
          <w:ilvl w:val="0"/>
          <w:numId w:val="1"/>
        </w:numPr>
        <w:shd w:val="clear" w:color="auto" w:fill="FFFFFF"/>
        <w:rPr>
          <w:rFonts w:ascii="ArialMT" w:hAnsi="ArialMT"/>
          <w:sz w:val="20"/>
          <w:szCs w:val="20"/>
        </w:rPr>
      </w:pPr>
      <w:proofErr w:type="spellStart"/>
      <w:r>
        <w:rPr>
          <w:rFonts w:ascii="ArialMT" w:hAnsi="ArialMT"/>
          <w:sz w:val="20"/>
          <w:szCs w:val="20"/>
        </w:rPr>
        <w:t>VaR</w:t>
      </w:r>
      <w:proofErr w:type="spellEnd"/>
      <w:r>
        <w:rPr>
          <w:rFonts w:ascii="ArialMT" w:hAnsi="ArialMT"/>
          <w:sz w:val="20"/>
          <w:szCs w:val="20"/>
        </w:rPr>
        <w:t xml:space="preserve"> calculation methods (all discussed) </w:t>
      </w:r>
    </w:p>
    <w:p w14:paraId="766C8A87" w14:textId="393CE92A" w:rsidR="00280438" w:rsidRDefault="00280438" w:rsidP="00280438">
      <w:pPr>
        <w:pStyle w:val="NormalWeb"/>
        <w:shd w:val="clear" w:color="auto" w:fill="FFFFFF"/>
        <w:ind w:left="720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Normal distribution, </w:t>
      </w:r>
      <w:r w:rsidRPr="00280438">
        <w:rPr>
          <w:rFonts w:ascii="ArialMT" w:hAnsi="ArialMT"/>
          <w:sz w:val="20"/>
          <w:szCs w:val="20"/>
        </w:rPr>
        <w:t>normal distribution with an Exponentially Weighted variance</w:t>
      </w:r>
      <w:r>
        <w:rPr>
          <w:rFonts w:ascii="ArialMT" w:hAnsi="ArialMT"/>
          <w:sz w:val="20"/>
          <w:szCs w:val="20"/>
        </w:rPr>
        <w:t xml:space="preserve">, </w:t>
      </w:r>
      <w:r w:rsidRPr="00280438">
        <w:rPr>
          <w:rFonts w:ascii="ArialMT" w:hAnsi="ArialMT"/>
          <w:sz w:val="20"/>
          <w:szCs w:val="20"/>
        </w:rPr>
        <w:t xml:space="preserve">MLE fitted T distribution, fitted </w:t>
      </w:r>
      <w:proofErr w:type="gramStart"/>
      <w:r w:rsidRPr="00280438">
        <w:rPr>
          <w:rFonts w:ascii="ArialMT" w:hAnsi="ArialMT"/>
          <w:sz w:val="20"/>
          <w:szCs w:val="20"/>
        </w:rPr>
        <w:t>AR(</w:t>
      </w:r>
      <w:proofErr w:type="gramEnd"/>
      <w:r w:rsidRPr="00280438">
        <w:rPr>
          <w:rFonts w:ascii="ArialMT" w:hAnsi="ArialMT"/>
          <w:sz w:val="20"/>
          <w:szCs w:val="20"/>
        </w:rPr>
        <w:t>1) model, Delta Normal, Monte Carlo simulation and</w:t>
      </w:r>
      <w:r w:rsidRPr="00280438">
        <w:rPr>
          <w:rFonts w:ascii="ArialMT" w:hAnsi="ArialMT"/>
          <w:sz w:val="20"/>
          <w:szCs w:val="20"/>
        </w:rPr>
        <w:t xml:space="preserve"> </w:t>
      </w:r>
      <w:r>
        <w:rPr>
          <w:rFonts w:ascii="ArialMT" w:hAnsi="ArialMT"/>
          <w:sz w:val="20"/>
          <w:szCs w:val="20"/>
        </w:rPr>
        <w:t>Historical</w:t>
      </w:r>
      <w:r>
        <w:rPr>
          <w:rFonts w:ascii="ArialMT" w:hAnsi="ArialMT"/>
          <w:sz w:val="20"/>
          <w:szCs w:val="20"/>
        </w:rPr>
        <w:t xml:space="preserve"> are used.</w:t>
      </w:r>
    </w:p>
    <w:p w14:paraId="31257EBB" w14:textId="70C9BBDC" w:rsidR="00541877" w:rsidRDefault="00541877" w:rsidP="00541877">
      <w:pPr>
        <w:pStyle w:val="NormalWeb"/>
        <w:numPr>
          <w:ilvl w:val="0"/>
          <w:numId w:val="1"/>
        </w:numPr>
        <w:shd w:val="clear" w:color="auto" w:fill="FFFFFF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ES calculation </w:t>
      </w:r>
    </w:p>
    <w:p w14:paraId="0638CB54" w14:textId="0B49744A" w:rsidR="00280438" w:rsidRDefault="00280438" w:rsidP="00280438">
      <w:pPr>
        <w:pStyle w:val="NormalWeb"/>
        <w:shd w:val="clear" w:color="auto" w:fill="FFFFFF"/>
        <w:ind w:left="720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Combine in </w:t>
      </w:r>
      <w:proofErr w:type="spellStart"/>
      <w:r>
        <w:rPr>
          <w:rFonts w:ascii="ArialMT" w:hAnsi="ArialMT"/>
          <w:sz w:val="20"/>
          <w:szCs w:val="20"/>
        </w:rPr>
        <w:t>VaR</w:t>
      </w:r>
      <w:proofErr w:type="spellEnd"/>
      <w:r>
        <w:rPr>
          <w:rFonts w:ascii="ArialMT" w:hAnsi="ArialMT"/>
          <w:sz w:val="20"/>
          <w:szCs w:val="20"/>
        </w:rPr>
        <w:t xml:space="preserve"> </w:t>
      </w:r>
      <w:proofErr w:type="gramStart"/>
      <w:r>
        <w:rPr>
          <w:rFonts w:ascii="ArialMT" w:hAnsi="ArialMT"/>
          <w:sz w:val="20"/>
          <w:szCs w:val="20"/>
        </w:rPr>
        <w:t>calculation</w:t>
      </w:r>
      <w:proofErr w:type="gramEnd"/>
    </w:p>
    <w:p w14:paraId="067B894E" w14:textId="77777777" w:rsidR="00541877" w:rsidRDefault="00541877" w:rsidP="00541877">
      <w:pPr>
        <w:pStyle w:val="NormalWeb"/>
        <w:shd w:val="clear" w:color="auto" w:fill="FFFFFF"/>
      </w:pPr>
      <w:r>
        <w:rPr>
          <w:rFonts w:ascii="ArialMT" w:hAnsi="ArialMT"/>
          <w:sz w:val="20"/>
          <w:szCs w:val="20"/>
        </w:rPr>
        <w:t xml:space="preserve">Create a test suite and show that each function performs as expected. </w:t>
      </w:r>
    </w:p>
    <w:p w14:paraId="280CEE72" w14:textId="601E7006" w:rsidR="00541877" w:rsidRDefault="00280438" w:rsidP="00541877">
      <w:pPr>
        <w:spacing w:line="480" w:lineRule="auto"/>
      </w:pPr>
      <w:r>
        <w:t>Teat case is what we did in the previous work and the functions are shown to be success.</w:t>
      </w:r>
    </w:p>
    <w:p w14:paraId="74844BD9" w14:textId="125EBD98" w:rsidR="00541877" w:rsidRDefault="00541877" w:rsidP="00541877">
      <w:pPr>
        <w:spacing w:line="480" w:lineRule="auto"/>
      </w:pPr>
    </w:p>
    <w:p w14:paraId="217D8D9D" w14:textId="77777777" w:rsidR="00280438" w:rsidRDefault="00280438" w:rsidP="00280438">
      <w:pPr>
        <w:pStyle w:val="NormalWeb"/>
        <w:shd w:val="clear" w:color="auto" w:fill="FFFFFF"/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Problem 3: </w:t>
      </w:r>
    </w:p>
    <w:p w14:paraId="68AE8DBC" w14:textId="77777777" w:rsidR="00280438" w:rsidRPr="003500B4" w:rsidRDefault="00280438" w:rsidP="003500B4">
      <w:pPr>
        <w:pStyle w:val="NormalWeb"/>
        <w:shd w:val="clear" w:color="auto" w:fill="FFFFFF"/>
        <w:spacing w:line="480" w:lineRule="auto"/>
        <w:rPr>
          <w:rFonts w:asciiTheme="minorHAnsi" w:eastAsiaTheme="minorEastAsia" w:hAnsiTheme="minorHAnsi" w:cstheme="minorBidi"/>
        </w:rPr>
      </w:pPr>
      <w:r w:rsidRPr="003500B4">
        <w:rPr>
          <w:rFonts w:asciiTheme="minorHAnsi" w:eastAsiaTheme="minorEastAsia" w:hAnsiTheme="minorHAnsi" w:cstheme="minorBidi"/>
        </w:rPr>
        <w:t>Use your repository from #2.</w:t>
      </w:r>
      <w:r w:rsidRPr="003500B4">
        <w:rPr>
          <w:rFonts w:asciiTheme="minorHAnsi" w:eastAsiaTheme="minorEastAsia" w:hAnsiTheme="minorHAnsi" w:cstheme="minorBidi"/>
        </w:rPr>
        <w:br/>
        <w:t xml:space="preserve">Using Portfolio.csv and DailyPrices.csv. Assume the expected return on all stocks is 0. This file contains the stock holdings of 3 portfolios. You own each of these portfolios. </w:t>
      </w:r>
    </w:p>
    <w:p w14:paraId="0B804D00" w14:textId="77777777" w:rsidR="00280438" w:rsidRPr="003500B4" w:rsidRDefault="00280438" w:rsidP="003500B4">
      <w:pPr>
        <w:pStyle w:val="NormalWeb"/>
        <w:shd w:val="clear" w:color="auto" w:fill="FFFFFF"/>
        <w:spacing w:line="480" w:lineRule="auto"/>
        <w:rPr>
          <w:rFonts w:asciiTheme="minorHAnsi" w:eastAsiaTheme="minorEastAsia" w:hAnsiTheme="minorHAnsi" w:cstheme="minorBidi"/>
        </w:rPr>
      </w:pPr>
      <w:r w:rsidRPr="003500B4">
        <w:rPr>
          <w:rFonts w:asciiTheme="minorHAnsi" w:eastAsiaTheme="minorEastAsia" w:hAnsiTheme="minorHAnsi" w:cstheme="minorBidi"/>
        </w:rPr>
        <w:t xml:space="preserve">Fit a Generalized T model to each stock and calculate the </w:t>
      </w:r>
      <w:proofErr w:type="spellStart"/>
      <w:r w:rsidRPr="003500B4">
        <w:rPr>
          <w:rFonts w:asciiTheme="minorHAnsi" w:eastAsiaTheme="minorEastAsia" w:hAnsiTheme="minorHAnsi" w:cstheme="minorBidi"/>
        </w:rPr>
        <w:t>VaR</w:t>
      </w:r>
      <w:proofErr w:type="spellEnd"/>
      <w:r w:rsidRPr="003500B4">
        <w:rPr>
          <w:rFonts w:asciiTheme="minorHAnsi" w:eastAsiaTheme="minorEastAsia" w:hAnsiTheme="minorHAnsi" w:cstheme="minorBidi"/>
        </w:rPr>
        <w:t xml:space="preserve"> and ES of each portfolio as well as your total </w:t>
      </w:r>
      <w:proofErr w:type="spellStart"/>
      <w:r w:rsidRPr="003500B4">
        <w:rPr>
          <w:rFonts w:asciiTheme="minorHAnsi" w:eastAsiaTheme="minorEastAsia" w:hAnsiTheme="minorHAnsi" w:cstheme="minorBidi"/>
        </w:rPr>
        <w:t>VaR</w:t>
      </w:r>
      <w:proofErr w:type="spellEnd"/>
      <w:r w:rsidRPr="003500B4">
        <w:rPr>
          <w:rFonts w:asciiTheme="minorHAnsi" w:eastAsiaTheme="minorEastAsia" w:hAnsiTheme="minorHAnsi" w:cstheme="minorBidi"/>
        </w:rPr>
        <w:t xml:space="preserve"> and ES. Compare the results from this to your </w:t>
      </w:r>
      <w:proofErr w:type="spellStart"/>
      <w:r w:rsidRPr="003500B4">
        <w:rPr>
          <w:rFonts w:asciiTheme="minorHAnsi" w:eastAsiaTheme="minorEastAsia" w:hAnsiTheme="minorHAnsi" w:cstheme="minorBidi"/>
        </w:rPr>
        <w:t>VaR</w:t>
      </w:r>
      <w:proofErr w:type="spellEnd"/>
      <w:r w:rsidRPr="003500B4">
        <w:rPr>
          <w:rFonts w:asciiTheme="minorHAnsi" w:eastAsiaTheme="minorEastAsia" w:hAnsiTheme="minorHAnsi" w:cstheme="minorBidi"/>
        </w:rPr>
        <w:t xml:space="preserve"> form Problem 3 from Week 4. </w:t>
      </w:r>
    </w:p>
    <w:p w14:paraId="579C2A23" w14:textId="22226615" w:rsidR="00541877" w:rsidRDefault="003500B4" w:rsidP="003500B4">
      <w:pPr>
        <w:spacing w:line="480" w:lineRule="auto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result</w:t>
      </w:r>
      <w:r>
        <w:t xml:space="preserve"> I got is shown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500B4" w14:paraId="76AC14B7" w14:textId="77777777" w:rsidTr="003500B4">
        <w:tc>
          <w:tcPr>
            <w:tcW w:w="1870" w:type="dxa"/>
          </w:tcPr>
          <w:p w14:paraId="5E5D5BC7" w14:textId="77777777" w:rsidR="003500B4" w:rsidRDefault="003500B4" w:rsidP="00541877">
            <w:pPr>
              <w:spacing w:line="480" w:lineRule="auto"/>
              <w:rPr>
                <w:rFonts w:hint="eastAsia"/>
              </w:rPr>
            </w:pPr>
          </w:p>
        </w:tc>
        <w:tc>
          <w:tcPr>
            <w:tcW w:w="1870" w:type="dxa"/>
          </w:tcPr>
          <w:p w14:paraId="3E96BAFC" w14:textId="67C077BD" w:rsidR="003500B4" w:rsidRDefault="003500B4" w:rsidP="00541877">
            <w:pPr>
              <w:spacing w:line="480" w:lineRule="auto"/>
              <w:rPr>
                <w:rFonts w:hint="eastAsia"/>
              </w:rPr>
            </w:pPr>
            <w:r>
              <w:t>A</w:t>
            </w:r>
          </w:p>
        </w:tc>
        <w:tc>
          <w:tcPr>
            <w:tcW w:w="1870" w:type="dxa"/>
          </w:tcPr>
          <w:p w14:paraId="37901948" w14:textId="5DBE7DE7" w:rsidR="003500B4" w:rsidRDefault="003500B4" w:rsidP="00541877">
            <w:pPr>
              <w:spacing w:line="480" w:lineRule="auto"/>
              <w:rPr>
                <w:rFonts w:hint="eastAsia"/>
              </w:rPr>
            </w:pPr>
            <w:r>
              <w:t>B</w:t>
            </w:r>
          </w:p>
        </w:tc>
        <w:tc>
          <w:tcPr>
            <w:tcW w:w="1870" w:type="dxa"/>
          </w:tcPr>
          <w:p w14:paraId="2E26C0CA" w14:textId="6FF0E480" w:rsidR="003500B4" w:rsidRDefault="003500B4" w:rsidP="00541877">
            <w:pPr>
              <w:spacing w:line="480" w:lineRule="auto"/>
              <w:rPr>
                <w:rFonts w:hint="eastAsia"/>
              </w:rPr>
            </w:pPr>
            <w:r>
              <w:t>C</w:t>
            </w:r>
          </w:p>
        </w:tc>
        <w:tc>
          <w:tcPr>
            <w:tcW w:w="1870" w:type="dxa"/>
          </w:tcPr>
          <w:p w14:paraId="1FBED2DC" w14:textId="3246D987" w:rsidR="003500B4" w:rsidRDefault="003500B4" w:rsidP="00541877">
            <w:pPr>
              <w:spacing w:line="480" w:lineRule="auto"/>
              <w:rPr>
                <w:rFonts w:hint="eastAsia"/>
              </w:rPr>
            </w:pPr>
            <w:r>
              <w:t>All</w:t>
            </w:r>
          </w:p>
        </w:tc>
      </w:tr>
      <w:tr w:rsidR="003500B4" w14:paraId="37E37FB7" w14:textId="77777777" w:rsidTr="003500B4">
        <w:tc>
          <w:tcPr>
            <w:tcW w:w="1870" w:type="dxa"/>
          </w:tcPr>
          <w:p w14:paraId="42A3A5AB" w14:textId="37CE22EA" w:rsidR="003500B4" w:rsidRDefault="003500B4" w:rsidP="00541877">
            <w:pPr>
              <w:spacing w:line="480" w:lineRule="auto"/>
              <w:rPr>
                <w:rFonts w:hint="eastAsia"/>
              </w:rPr>
            </w:pPr>
            <w:proofErr w:type="spellStart"/>
            <w:r>
              <w:t>VaR</w:t>
            </w:r>
            <w:proofErr w:type="spellEnd"/>
          </w:p>
        </w:tc>
        <w:tc>
          <w:tcPr>
            <w:tcW w:w="1870" w:type="dxa"/>
          </w:tcPr>
          <w:p w14:paraId="1B176E42" w14:textId="295B4652" w:rsidR="003500B4" w:rsidRDefault="003500B4" w:rsidP="00541877">
            <w:pPr>
              <w:spacing w:line="480" w:lineRule="auto"/>
              <w:rPr>
                <w:rFonts w:hint="eastAsia"/>
              </w:rPr>
            </w:pPr>
            <w:r>
              <w:t>7972</w:t>
            </w:r>
          </w:p>
        </w:tc>
        <w:tc>
          <w:tcPr>
            <w:tcW w:w="1870" w:type="dxa"/>
          </w:tcPr>
          <w:p w14:paraId="6CEDAB59" w14:textId="60143182" w:rsidR="003500B4" w:rsidRDefault="003500B4" w:rsidP="00541877">
            <w:pPr>
              <w:spacing w:line="480" w:lineRule="auto"/>
              <w:rPr>
                <w:rFonts w:hint="eastAsia"/>
              </w:rPr>
            </w:pPr>
            <w:r>
              <w:t>6760</w:t>
            </w:r>
          </w:p>
        </w:tc>
        <w:tc>
          <w:tcPr>
            <w:tcW w:w="1870" w:type="dxa"/>
          </w:tcPr>
          <w:p w14:paraId="74D35935" w14:textId="3DEC6BC8" w:rsidR="003500B4" w:rsidRDefault="003500B4" w:rsidP="00541877">
            <w:pPr>
              <w:spacing w:line="480" w:lineRule="auto"/>
              <w:rPr>
                <w:rFonts w:hint="eastAsia"/>
              </w:rPr>
            </w:pPr>
            <w:r>
              <w:t>5741</w:t>
            </w:r>
          </w:p>
        </w:tc>
        <w:tc>
          <w:tcPr>
            <w:tcW w:w="1870" w:type="dxa"/>
          </w:tcPr>
          <w:p w14:paraId="6B124B66" w14:textId="7BA1CD6A" w:rsidR="003500B4" w:rsidRDefault="003500B4" w:rsidP="00541877">
            <w:pPr>
              <w:spacing w:line="480" w:lineRule="auto"/>
              <w:rPr>
                <w:rFonts w:hint="eastAsia"/>
              </w:rPr>
            </w:pPr>
            <w:r>
              <w:t>20287</w:t>
            </w:r>
          </w:p>
        </w:tc>
      </w:tr>
      <w:tr w:rsidR="003500B4" w14:paraId="5B33A7FD" w14:textId="77777777" w:rsidTr="003500B4">
        <w:tc>
          <w:tcPr>
            <w:tcW w:w="1870" w:type="dxa"/>
          </w:tcPr>
          <w:p w14:paraId="2DA76C78" w14:textId="75C2B052" w:rsidR="003500B4" w:rsidRDefault="003500B4" w:rsidP="00541877">
            <w:pPr>
              <w:spacing w:line="480" w:lineRule="auto"/>
              <w:rPr>
                <w:rFonts w:hint="eastAsia"/>
              </w:rPr>
            </w:pPr>
            <w:r>
              <w:t>ES</w:t>
            </w:r>
          </w:p>
        </w:tc>
        <w:tc>
          <w:tcPr>
            <w:tcW w:w="1870" w:type="dxa"/>
          </w:tcPr>
          <w:p w14:paraId="0AF8FB08" w14:textId="1C840122" w:rsidR="003500B4" w:rsidRDefault="003500B4" w:rsidP="00541877">
            <w:pPr>
              <w:spacing w:line="480" w:lineRule="auto"/>
              <w:rPr>
                <w:rFonts w:hint="eastAsia"/>
              </w:rPr>
            </w:pPr>
            <w:r>
              <w:t>10512</w:t>
            </w:r>
          </w:p>
        </w:tc>
        <w:tc>
          <w:tcPr>
            <w:tcW w:w="1870" w:type="dxa"/>
          </w:tcPr>
          <w:p w14:paraId="0CC327AB" w14:textId="7DC62FF5" w:rsidR="003500B4" w:rsidRDefault="003500B4" w:rsidP="00541877">
            <w:pPr>
              <w:spacing w:line="480" w:lineRule="auto"/>
              <w:rPr>
                <w:rFonts w:hint="eastAsia"/>
              </w:rPr>
            </w:pPr>
            <w:r>
              <w:t>8756</w:t>
            </w:r>
          </w:p>
        </w:tc>
        <w:tc>
          <w:tcPr>
            <w:tcW w:w="1870" w:type="dxa"/>
          </w:tcPr>
          <w:p w14:paraId="35D582B8" w14:textId="66C93CDE" w:rsidR="003500B4" w:rsidRDefault="003500B4" w:rsidP="00541877">
            <w:pPr>
              <w:spacing w:line="480" w:lineRule="auto"/>
              <w:rPr>
                <w:rFonts w:hint="eastAsia"/>
              </w:rPr>
            </w:pPr>
            <w:r>
              <w:t>7600</w:t>
            </w:r>
          </w:p>
        </w:tc>
        <w:tc>
          <w:tcPr>
            <w:tcW w:w="1870" w:type="dxa"/>
          </w:tcPr>
          <w:p w14:paraId="5B049E24" w14:textId="6D2A5B94" w:rsidR="003500B4" w:rsidRDefault="003500B4" w:rsidP="00541877">
            <w:pPr>
              <w:spacing w:line="480" w:lineRule="auto"/>
              <w:rPr>
                <w:rFonts w:hint="eastAsia"/>
              </w:rPr>
            </w:pPr>
            <w:r>
              <w:t>26925</w:t>
            </w:r>
          </w:p>
        </w:tc>
      </w:tr>
    </w:tbl>
    <w:p w14:paraId="1CB2FA83" w14:textId="0F56805B" w:rsidR="003500B4" w:rsidRDefault="003500B4" w:rsidP="00541877">
      <w:pPr>
        <w:spacing w:line="480" w:lineRule="auto"/>
      </w:pPr>
    </w:p>
    <w:p w14:paraId="0486DD48" w14:textId="75C0E14D" w:rsidR="003500B4" w:rsidRDefault="003500B4" w:rsidP="00541877">
      <w:pPr>
        <w:spacing w:line="480" w:lineRule="auto"/>
      </w:pPr>
      <w:r>
        <w:t xml:space="preserve">Week4’s result of </w:t>
      </w:r>
      <w:proofErr w:type="spellStart"/>
      <w:r>
        <w:t>VaR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75"/>
        <w:gridCol w:w="1765"/>
        <w:gridCol w:w="1870"/>
        <w:gridCol w:w="1870"/>
        <w:gridCol w:w="1870"/>
      </w:tblGrid>
      <w:tr w:rsidR="003500B4" w:rsidRPr="009952F9" w14:paraId="4FF48898" w14:textId="77777777" w:rsidTr="002A5AFC">
        <w:tc>
          <w:tcPr>
            <w:tcW w:w="1975" w:type="dxa"/>
          </w:tcPr>
          <w:p w14:paraId="7D87E960" w14:textId="77777777" w:rsidR="003500B4" w:rsidRPr="009952F9" w:rsidRDefault="003500B4" w:rsidP="002A5AFC"/>
        </w:tc>
        <w:tc>
          <w:tcPr>
            <w:tcW w:w="1765" w:type="dxa"/>
          </w:tcPr>
          <w:p w14:paraId="6210F92A" w14:textId="77777777" w:rsidR="003500B4" w:rsidRPr="009952F9" w:rsidRDefault="003500B4" w:rsidP="002A5AFC">
            <w:r w:rsidRPr="009952F9">
              <w:t>A</w:t>
            </w:r>
          </w:p>
        </w:tc>
        <w:tc>
          <w:tcPr>
            <w:tcW w:w="1870" w:type="dxa"/>
          </w:tcPr>
          <w:p w14:paraId="4033B2AC" w14:textId="77777777" w:rsidR="003500B4" w:rsidRPr="009952F9" w:rsidRDefault="003500B4" w:rsidP="002A5AFC">
            <w:r w:rsidRPr="009952F9">
              <w:t>B</w:t>
            </w:r>
          </w:p>
        </w:tc>
        <w:tc>
          <w:tcPr>
            <w:tcW w:w="1870" w:type="dxa"/>
          </w:tcPr>
          <w:p w14:paraId="1A5A5856" w14:textId="77777777" w:rsidR="003500B4" w:rsidRPr="009952F9" w:rsidRDefault="003500B4" w:rsidP="002A5AFC">
            <w:r w:rsidRPr="009952F9">
              <w:t>C</w:t>
            </w:r>
          </w:p>
        </w:tc>
        <w:tc>
          <w:tcPr>
            <w:tcW w:w="1870" w:type="dxa"/>
          </w:tcPr>
          <w:p w14:paraId="16FBABA5" w14:textId="77777777" w:rsidR="003500B4" w:rsidRPr="009952F9" w:rsidRDefault="003500B4" w:rsidP="002A5AFC">
            <w:r w:rsidRPr="009952F9">
              <w:t>All</w:t>
            </w:r>
          </w:p>
        </w:tc>
      </w:tr>
      <w:tr w:rsidR="003500B4" w:rsidRPr="009952F9" w14:paraId="65D90739" w14:textId="77777777" w:rsidTr="002A5AFC">
        <w:tc>
          <w:tcPr>
            <w:tcW w:w="1975" w:type="dxa"/>
          </w:tcPr>
          <w:p w14:paraId="73291D23" w14:textId="77777777" w:rsidR="003500B4" w:rsidRPr="009952F9" w:rsidRDefault="003500B4" w:rsidP="002A5AFC">
            <w:r w:rsidRPr="009952F9">
              <w:t>Delta Normal</w:t>
            </w:r>
            <w:r>
              <w:t xml:space="preserve"> ($)</w:t>
            </w:r>
          </w:p>
        </w:tc>
        <w:tc>
          <w:tcPr>
            <w:tcW w:w="1765" w:type="dxa"/>
          </w:tcPr>
          <w:p w14:paraId="0B4FB377" w14:textId="77777777" w:rsidR="003500B4" w:rsidRPr="009952F9" w:rsidRDefault="003500B4" w:rsidP="002A5AFC">
            <w:r w:rsidRPr="009952F9">
              <w:t>5760.2</w:t>
            </w:r>
          </w:p>
        </w:tc>
        <w:tc>
          <w:tcPr>
            <w:tcW w:w="1870" w:type="dxa"/>
          </w:tcPr>
          <w:p w14:paraId="0BA49781" w14:textId="77777777" w:rsidR="003500B4" w:rsidRPr="009952F9" w:rsidRDefault="003500B4" w:rsidP="002A5AFC">
            <w:r w:rsidRPr="009952F9">
              <w:t>4494.6</w:t>
            </w:r>
          </w:p>
        </w:tc>
        <w:tc>
          <w:tcPr>
            <w:tcW w:w="1870" w:type="dxa"/>
          </w:tcPr>
          <w:p w14:paraId="4454D6FA" w14:textId="77777777" w:rsidR="003500B4" w:rsidRPr="009952F9" w:rsidRDefault="003500B4" w:rsidP="002A5AFC">
            <w:r w:rsidRPr="009952F9">
              <w:t>3786.6</w:t>
            </w:r>
          </w:p>
        </w:tc>
        <w:tc>
          <w:tcPr>
            <w:tcW w:w="1870" w:type="dxa"/>
          </w:tcPr>
          <w:p w14:paraId="05C8079F" w14:textId="77777777" w:rsidR="003500B4" w:rsidRPr="009952F9" w:rsidRDefault="003500B4" w:rsidP="002A5AFC">
            <w:r w:rsidRPr="009952F9">
              <w:t>13577.1</w:t>
            </w:r>
          </w:p>
        </w:tc>
      </w:tr>
      <w:tr w:rsidR="003500B4" w:rsidRPr="009952F9" w14:paraId="659E0992" w14:textId="77777777" w:rsidTr="002A5AFC">
        <w:tc>
          <w:tcPr>
            <w:tcW w:w="1975" w:type="dxa"/>
          </w:tcPr>
          <w:p w14:paraId="51F6F2D8" w14:textId="77777777" w:rsidR="003500B4" w:rsidRPr="009952F9" w:rsidRDefault="003500B4" w:rsidP="002A5AFC">
            <w:r w:rsidRPr="009952F9">
              <w:t xml:space="preserve">Historical </w:t>
            </w:r>
            <w:proofErr w:type="spellStart"/>
            <w:r w:rsidRPr="009952F9">
              <w:t>VaR</w:t>
            </w:r>
            <w:proofErr w:type="spellEnd"/>
            <w:r>
              <w:t xml:space="preserve"> ($)</w:t>
            </w:r>
          </w:p>
        </w:tc>
        <w:tc>
          <w:tcPr>
            <w:tcW w:w="1765" w:type="dxa"/>
          </w:tcPr>
          <w:p w14:paraId="09CF19D8" w14:textId="77777777" w:rsidR="003500B4" w:rsidRPr="009952F9" w:rsidRDefault="003500B4" w:rsidP="002A5AFC">
            <w:r w:rsidRPr="009952F9">
              <w:t>9005.1</w:t>
            </w:r>
          </w:p>
        </w:tc>
        <w:tc>
          <w:tcPr>
            <w:tcW w:w="1870" w:type="dxa"/>
          </w:tcPr>
          <w:p w14:paraId="691F30FC" w14:textId="77777777" w:rsidR="003500B4" w:rsidRPr="009952F9" w:rsidRDefault="003500B4" w:rsidP="002A5AFC">
            <w:r w:rsidRPr="009952F9">
              <w:t>7273.8</w:t>
            </w:r>
          </w:p>
        </w:tc>
        <w:tc>
          <w:tcPr>
            <w:tcW w:w="1870" w:type="dxa"/>
          </w:tcPr>
          <w:p w14:paraId="6CA71241" w14:textId="77777777" w:rsidR="003500B4" w:rsidRPr="009952F9" w:rsidRDefault="003500B4" w:rsidP="002A5AFC">
            <w:r w:rsidRPr="009952F9">
              <w:t>5773.5</w:t>
            </w:r>
          </w:p>
        </w:tc>
        <w:tc>
          <w:tcPr>
            <w:tcW w:w="1870" w:type="dxa"/>
          </w:tcPr>
          <w:p w14:paraId="6074383B" w14:textId="77777777" w:rsidR="003500B4" w:rsidRPr="009952F9" w:rsidRDefault="003500B4" w:rsidP="002A5AFC">
            <w:r w:rsidRPr="009952F9">
              <w:t>21103.4</w:t>
            </w:r>
          </w:p>
        </w:tc>
      </w:tr>
    </w:tbl>
    <w:p w14:paraId="05BB4D0F" w14:textId="338ABCDB" w:rsidR="003500B4" w:rsidRDefault="003500B4" w:rsidP="00541877">
      <w:pPr>
        <w:spacing w:line="480" w:lineRule="auto"/>
      </w:pPr>
    </w:p>
    <w:p w14:paraId="6C7BEBB5" w14:textId="662F01A5" w:rsidR="003500B4" w:rsidRDefault="003500B4" w:rsidP="00541877">
      <w:pPr>
        <w:spacing w:line="480" w:lineRule="auto"/>
      </w:pPr>
      <w:r>
        <w:t xml:space="preserve">From this we can see that the </w:t>
      </w:r>
      <w:proofErr w:type="spellStart"/>
      <w:r>
        <w:t>VaR</w:t>
      </w:r>
      <w:proofErr w:type="spellEnd"/>
      <w:r>
        <w:t xml:space="preserve"> calculated by </w:t>
      </w:r>
      <w:r w:rsidRPr="003500B4">
        <w:t>Generalized T model</w:t>
      </w:r>
      <w:r w:rsidRPr="003500B4">
        <w:t xml:space="preserve"> is in the bigger than the delta normal </w:t>
      </w:r>
      <w:proofErr w:type="spellStart"/>
      <w:r w:rsidRPr="003500B4">
        <w:t>VaR</w:t>
      </w:r>
      <w:proofErr w:type="spellEnd"/>
      <w:r w:rsidRPr="003500B4">
        <w:t xml:space="preserve"> but smaller than the Historical </w:t>
      </w:r>
      <w:proofErr w:type="spellStart"/>
      <w:r w:rsidRPr="003500B4">
        <w:t>VaR.</w:t>
      </w:r>
      <w:proofErr w:type="spellEnd"/>
      <w:r>
        <w:t xml:space="preserve"> And </w:t>
      </w:r>
      <w:r>
        <w:t xml:space="preserve">the </w:t>
      </w:r>
      <w:proofErr w:type="spellStart"/>
      <w:r>
        <w:t>VaR</w:t>
      </w:r>
      <w:proofErr w:type="spellEnd"/>
      <w:r>
        <w:t xml:space="preserve"> calculated by </w:t>
      </w:r>
      <w:r w:rsidRPr="003500B4">
        <w:t>Generalized T model</w:t>
      </w:r>
      <w:r>
        <w:t xml:space="preserve"> is closer to the </w:t>
      </w:r>
      <w:r w:rsidRPr="003500B4">
        <w:t xml:space="preserve">Historical </w:t>
      </w:r>
      <w:proofErr w:type="spellStart"/>
      <w:r w:rsidRPr="003500B4">
        <w:t>VaR</w:t>
      </w:r>
      <w:r>
        <w:t>.</w:t>
      </w:r>
      <w:proofErr w:type="spellEnd"/>
    </w:p>
    <w:p w14:paraId="345EF8E0" w14:textId="3A7E6C5D" w:rsidR="00AE78A7" w:rsidRDefault="00AE78A7" w:rsidP="00541877">
      <w:pPr>
        <w:spacing w:line="480" w:lineRule="auto"/>
      </w:pPr>
    </w:p>
    <w:p w14:paraId="4B8AFCE8" w14:textId="6F064A06" w:rsidR="00AE78A7" w:rsidRDefault="00AE78A7" w:rsidP="00AE78A7">
      <w:pPr>
        <w:spacing w:line="480" w:lineRule="auto"/>
      </w:pPr>
      <w:r>
        <w:t xml:space="preserve">This result may cause by the volatile of the raw data. This </w:t>
      </w:r>
      <w:proofErr w:type="gramStart"/>
      <w:r>
        <w:t>lead</w:t>
      </w:r>
      <w:proofErr w:type="gramEnd"/>
      <w:r>
        <w:t xml:space="preserve"> to the data with fat tailed. In this situation the </w:t>
      </w:r>
      <w:proofErr w:type="spellStart"/>
      <w:r>
        <w:t>VaR</w:t>
      </w:r>
      <w:proofErr w:type="spellEnd"/>
      <w:r>
        <w:t xml:space="preserve"> calculated by delta normal which based on the assumption of normal distribution might fail the assumption. And the </w:t>
      </w:r>
      <w:proofErr w:type="spellStart"/>
      <w:r>
        <w:t>VaR</w:t>
      </w:r>
      <w:proofErr w:type="spellEnd"/>
      <w:r>
        <w:t xml:space="preserve"> calculated is far from the historical result. </w:t>
      </w:r>
      <w:r>
        <w:lastRenderedPageBreak/>
        <w:t xml:space="preserve">But when the t distribution model is used, the situation is considered, so the </w:t>
      </w:r>
      <w:proofErr w:type="spellStart"/>
      <w:r>
        <w:t>VaR</w:t>
      </w:r>
      <w:proofErr w:type="spellEnd"/>
      <w:r>
        <w:t xml:space="preserve"> </w:t>
      </w:r>
      <w:r>
        <w:t xml:space="preserve">calculated by </w:t>
      </w:r>
      <w:r w:rsidRPr="003500B4">
        <w:t>Generalized T model</w:t>
      </w:r>
      <w:r>
        <w:t xml:space="preserve"> is closer to the </w:t>
      </w:r>
      <w:r w:rsidRPr="003500B4">
        <w:t xml:space="preserve">Historical </w:t>
      </w:r>
      <w:proofErr w:type="spellStart"/>
      <w:r w:rsidRPr="003500B4">
        <w:t>VaR</w:t>
      </w:r>
      <w:r>
        <w:t>.</w:t>
      </w:r>
      <w:proofErr w:type="spellEnd"/>
    </w:p>
    <w:p w14:paraId="1F0FEE19" w14:textId="2E152746" w:rsidR="00AE78A7" w:rsidRDefault="00AE78A7" w:rsidP="00541877">
      <w:pPr>
        <w:spacing w:line="480" w:lineRule="auto"/>
        <w:rPr>
          <w:rFonts w:hint="eastAsia"/>
        </w:rPr>
      </w:pPr>
    </w:p>
    <w:sectPr w:rsidR="00AE7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55385"/>
    <w:multiLevelType w:val="multilevel"/>
    <w:tmpl w:val="960CD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018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5C"/>
    <w:rsid w:val="0016605C"/>
    <w:rsid w:val="00280438"/>
    <w:rsid w:val="002C0508"/>
    <w:rsid w:val="003500B4"/>
    <w:rsid w:val="00541877"/>
    <w:rsid w:val="007B476B"/>
    <w:rsid w:val="0085016D"/>
    <w:rsid w:val="00AE78A7"/>
    <w:rsid w:val="00D3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33FC5"/>
  <w15:chartTrackingRefBased/>
  <w15:docId w15:val="{334F1F1A-6B00-D042-A4E1-B121AE67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5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C05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0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2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1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3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Yuanzhe Wang</dc:creator>
  <cp:keywords/>
  <dc:description/>
  <cp:lastModifiedBy>Yuanzhe Wang</cp:lastModifiedBy>
  <cp:revision>3</cp:revision>
  <dcterms:created xsi:type="dcterms:W3CDTF">2023-02-25T04:11:00Z</dcterms:created>
  <dcterms:modified xsi:type="dcterms:W3CDTF">2023-02-25T05:04:00Z</dcterms:modified>
</cp:coreProperties>
</file>