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DD22B" w14:textId="77777777" w:rsidR="004E515F" w:rsidRDefault="004E515F" w:rsidP="004E515F">
      <w:pPr>
        <w:pStyle w:val="Akapitzlist"/>
        <w:ind w:left="360"/>
        <w:rPr>
          <w:sz w:val="32"/>
          <w:szCs w:val="32"/>
        </w:rPr>
      </w:pPr>
    </w:p>
    <w:p w14:paraId="590A11DA" w14:textId="77777777" w:rsidR="004E515F" w:rsidRPr="002A6B05" w:rsidRDefault="004E515F" w:rsidP="004E515F">
      <w:pPr>
        <w:pStyle w:val="Akapitzlist"/>
        <w:ind w:left="360"/>
        <w:rPr>
          <w:sz w:val="32"/>
          <w:szCs w:val="32"/>
        </w:rPr>
      </w:pPr>
    </w:p>
    <w:p w14:paraId="6C01A7D1" w14:textId="3DCEFC04" w:rsidR="002A6B05" w:rsidRDefault="00373036" w:rsidP="00373036">
      <w:pPr>
        <w:pStyle w:val="Akapitzlist"/>
        <w:numPr>
          <w:ilvl w:val="1"/>
          <w:numId w:val="2"/>
        </w:numPr>
        <w:rPr>
          <w:sz w:val="32"/>
          <w:szCs w:val="32"/>
        </w:rPr>
      </w:pPr>
      <w:r>
        <w:rPr>
          <w:sz w:val="32"/>
          <w:szCs w:val="32"/>
        </w:rPr>
        <w:t>The importance of aerodynamic studies</w:t>
      </w:r>
    </w:p>
    <w:p w14:paraId="63FB6142" w14:textId="77777777" w:rsidR="00373036" w:rsidRDefault="00373036" w:rsidP="00373036">
      <w:pPr>
        <w:pStyle w:val="Akapitzlist"/>
        <w:ind w:left="1080"/>
        <w:rPr>
          <w:sz w:val="32"/>
          <w:szCs w:val="32"/>
        </w:rPr>
      </w:pPr>
    </w:p>
    <w:p w14:paraId="27E406E1" w14:textId="78F325C1" w:rsidR="002A6B05" w:rsidRDefault="002A6B05" w:rsidP="00373036">
      <w:pPr>
        <w:pStyle w:val="Akapitzlist"/>
        <w:ind w:left="360" w:firstLine="348"/>
        <w:jc w:val="both"/>
        <w:rPr>
          <w:sz w:val="24"/>
          <w:szCs w:val="24"/>
        </w:rPr>
      </w:pPr>
      <w:r w:rsidRPr="004E515F">
        <w:rPr>
          <w:sz w:val="24"/>
          <w:szCs w:val="24"/>
        </w:rPr>
        <w:t xml:space="preserve">At the beginning of writing of this appendix, we would like to emphasize the importance of </w:t>
      </w:r>
      <w:r w:rsidR="0038281F" w:rsidRPr="004E515F">
        <w:rPr>
          <w:sz w:val="24"/>
          <w:szCs w:val="24"/>
        </w:rPr>
        <w:t>aerodynamic studies in case of designing the rocket.</w:t>
      </w:r>
      <w:r w:rsidR="004E515F" w:rsidRPr="004E515F">
        <w:rPr>
          <w:sz w:val="24"/>
          <w:szCs w:val="24"/>
        </w:rPr>
        <w:t xml:space="preserve">  Not only do they decrease significantly the mass of the rocket but also they</w:t>
      </w:r>
      <w:r w:rsidR="004E515F">
        <w:rPr>
          <w:sz w:val="24"/>
          <w:szCs w:val="24"/>
        </w:rPr>
        <w:t xml:space="preserve"> take a huge part in optimization of length and usage of materials, which are beneficial to our not so enormous budget. Apart from that, they increase the safety of the rocket in regards to testing its stability. Hence,</w:t>
      </w:r>
      <w:r w:rsidR="00C4559B">
        <w:rPr>
          <w:sz w:val="24"/>
          <w:szCs w:val="24"/>
        </w:rPr>
        <w:t xml:space="preserve"> by dint of these studies,</w:t>
      </w:r>
      <w:r w:rsidR="004E515F">
        <w:rPr>
          <w:sz w:val="24"/>
          <w:szCs w:val="24"/>
        </w:rPr>
        <w:t xml:space="preserve"> you are capable of </w:t>
      </w:r>
      <w:r w:rsidR="00C4559B">
        <w:rPr>
          <w:sz w:val="24"/>
          <w:szCs w:val="24"/>
        </w:rPr>
        <w:t xml:space="preserve">determining how the whole structure would behave before launching, which is necessary bearing in mind that we check the rocket that you can’t test very often. </w:t>
      </w:r>
      <w:r w:rsidR="00995580">
        <w:rPr>
          <w:sz w:val="24"/>
          <w:szCs w:val="24"/>
        </w:rPr>
        <w:t>Our studies were</w:t>
      </w:r>
      <w:r w:rsidR="00F124CE">
        <w:rPr>
          <w:sz w:val="24"/>
          <w:szCs w:val="24"/>
        </w:rPr>
        <w:t xml:space="preserve"> mainly</w:t>
      </w:r>
      <w:r w:rsidR="00995580">
        <w:rPr>
          <w:sz w:val="24"/>
          <w:szCs w:val="24"/>
        </w:rPr>
        <w:t xml:space="preserve"> based</w:t>
      </w:r>
      <w:r w:rsidR="00F124CE">
        <w:rPr>
          <w:sz w:val="24"/>
          <w:szCs w:val="24"/>
        </w:rPr>
        <w:t xml:space="preserve"> on “The Modern Exterior Ballistic” written by Robert L. McCoy.</w:t>
      </w:r>
    </w:p>
    <w:p w14:paraId="5AE09E74" w14:textId="77777777" w:rsidR="00212EB7" w:rsidRPr="00212EB7" w:rsidRDefault="00212EB7" w:rsidP="00373036">
      <w:pPr>
        <w:pStyle w:val="Akapitzlist"/>
        <w:ind w:left="360" w:firstLine="348"/>
        <w:jc w:val="both"/>
        <w:rPr>
          <w:sz w:val="24"/>
          <w:szCs w:val="24"/>
          <w:lang w:val="pl-PL"/>
        </w:rPr>
      </w:pPr>
    </w:p>
    <w:p w14:paraId="678AF42A" w14:textId="77777777" w:rsidR="00373036" w:rsidRDefault="00373036" w:rsidP="00373036">
      <w:pPr>
        <w:pStyle w:val="Akapitzlist"/>
        <w:ind w:left="360"/>
        <w:jc w:val="both"/>
        <w:rPr>
          <w:sz w:val="24"/>
          <w:szCs w:val="24"/>
        </w:rPr>
      </w:pPr>
    </w:p>
    <w:p w14:paraId="23BA5678" w14:textId="71FCDF45" w:rsidR="005E1FDB" w:rsidRPr="00A01336" w:rsidRDefault="005E1FDB" w:rsidP="00A01336">
      <w:pPr>
        <w:pStyle w:val="Akapitzlist"/>
        <w:numPr>
          <w:ilvl w:val="1"/>
          <w:numId w:val="2"/>
        </w:numPr>
        <w:rPr>
          <w:sz w:val="32"/>
          <w:szCs w:val="32"/>
        </w:rPr>
      </w:pPr>
      <w:r w:rsidRPr="005E1FDB">
        <w:rPr>
          <w:sz w:val="32"/>
          <w:szCs w:val="32"/>
        </w:rPr>
        <w:t>The problem of aerodynamic drag</w:t>
      </w:r>
    </w:p>
    <w:p w14:paraId="001F8F8A" w14:textId="21FAB229" w:rsidR="00995580" w:rsidRDefault="005E1FDB" w:rsidP="000C10D6">
      <w:pPr>
        <w:ind w:firstLine="360"/>
        <w:jc w:val="both"/>
        <w:rPr>
          <w:sz w:val="24"/>
          <w:szCs w:val="24"/>
        </w:rPr>
      </w:pPr>
      <w:r w:rsidRPr="005E1FDB">
        <w:rPr>
          <w:sz w:val="24"/>
          <w:szCs w:val="24"/>
        </w:rPr>
        <w:t>Rockets have several aerodynamics characteristics that are worth attention in order to estimate the performance after launch. However,</w:t>
      </w:r>
      <w:r>
        <w:rPr>
          <w:sz w:val="24"/>
          <w:szCs w:val="24"/>
        </w:rPr>
        <w:t xml:space="preserve"> in the event of designing non-controlling aerodynamically rockets such as ours, the most crucial factor is aerodynamic drag</w:t>
      </w:r>
      <w:r w:rsidR="000C10D6">
        <w:rPr>
          <w:sz w:val="24"/>
          <w:szCs w:val="24"/>
        </w:rPr>
        <w:t xml:space="preserve"> coefficient</w:t>
      </w:r>
      <w:r>
        <w:rPr>
          <w:sz w:val="24"/>
          <w:szCs w:val="24"/>
        </w:rPr>
        <w:t>.</w:t>
      </w:r>
      <w:r w:rsidR="00212EB7">
        <w:rPr>
          <w:sz w:val="24"/>
          <w:szCs w:val="24"/>
        </w:rPr>
        <w:t xml:space="preserve"> Thanks to this variable we can compare different configurations of the rocket so as to be able to c</w:t>
      </w:r>
      <w:r w:rsidR="00932CB0">
        <w:rPr>
          <w:sz w:val="24"/>
          <w:szCs w:val="24"/>
        </w:rPr>
        <w:t xml:space="preserve">hoose </w:t>
      </w:r>
      <w:r w:rsidR="000C10D6">
        <w:rPr>
          <w:sz w:val="24"/>
          <w:szCs w:val="24"/>
        </w:rPr>
        <w:t>the most lightest one. Although, our</w:t>
      </w:r>
      <w:r w:rsidR="00A01336">
        <w:rPr>
          <w:sz w:val="24"/>
          <w:szCs w:val="24"/>
        </w:rPr>
        <w:t xml:space="preserve"> rocket doesn’t exceed 1 Mach, drag coefficient may</w:t>
      </w:r>
      <w:r w:rsidR="000C10D6">
        <w:rPr>
          <w:sz w:val="24"/>
          <w:szCs w:val="24"/>
        </w:rPr>
        <w:t xml:space="preserve"> slightly</w:t>
      </w:r>
      <w:r w:rsidR="00A01336">
        <w:rPr>
          <w:sz w:val="24"/>
          <w:szCs w:val="24"/>
        </w:rPr>
        <w:t xml:space="preserve"> vary depend</w:t>
      </w:r>
      <w:r w:rsidR="00995580">
        <w:rPr>
          <w:sz w:val="24"/>
          <w:szCs w:val="24"/>
        </w:rPr>
        <w:t>ing</w:t>
      </w:r>
      <w:r w:rsidR="00A01336">
        <w:rPr>
          <w:sz w:val="24"/>
          <w:szCs w:val="24"/>
        </w:rPr>
        <w:t xml:space="preserve"> on velocity of the rocket.</w:t>
      </w:r>
      <w:r w:rsidR="000C10D6">
        <w:rPr>
          <w:sz w:val="24"/>
          <w:szCs w:val="24"/>
        </w:rPr>
        <w:t xml:space="preserve"> We calculated this variable</w:t>
      </w:r>
      <w:r w:rsidR="00B4750B">
        <w:rPr>
          <w:sz w:val="24"/>
          <w:szCs w:val="24"/>
        </w:rPr>
        <w:t xml:space="preserve"> using th</w:t>
      </w:r>
      <w:r w:rsidR="00E9759F">
        <w:rPr>
          <w:sz w:val="24"/>
          <w:szCs w:val="24"/>
        </w:rPr>
        <w:t>is</w:t>
      </w:r>
      <w:r w:rsidR="00B4750B">
        <w:rPr>
          <w:sz w:val="24"/>
          <w:szCs w:val="24"/>
        </w:rPr>
        <w:t xml:space="preserve"> formula:</w:t>
      </w:r>
    </w:p>
    <w:p w14:paraId="25286AAD" w14:textId="77777777" w:rsidR="00B4750B" w:rsidRDefault="00B4750B" w:rsidP="000C10D6">
      <w:pPr>
        <w:ind w:firstLine="360"/>
        <w:jc w:val="both"/>
        <w:rPr>
          <w:sz w:val="24"/>
          <w:szCs w:val="24"/>
        </w:rPr>
      </w:pPr>
    </w:p>
    <w:p w14:paraId="669C15A9" w14:textId="77777777" w:rsidR="00373036" w:rsidRDefault="00373036" w:rsidP="002A6B05">
      <w:pPr>
        <w:pStyle w:val="Akapitzlist"/>
        <w:ind w:left="360"/>
        <w:rPr>
          <w:sz w:val="24"/>
          <w:szCs w:val="24"/>
        </w:rPr>
      </w:pPr>
    </w:p>
    <w:p w14:paraId="73FD3467" w14:textId="4684B6EB" w:rsidR="00CB613E" w:rsidRPr="00CB613E" w:rsidRDefault="00000000" w:rsidP="00CB613E">
      <w:pPr>
        <w:pStyle w:val="Akapitzlist"/>
        <w:ind w:left="360"/>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D</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D</m:t>
              </m:r>
            </m:sub>
          </m:sSub>
          <m:f>
            <m:fPr>
              <m:ctrlPr>
                <w:rPr>
                  <w:rFonts w:ascii="Cambria Math" w:hAnsi="Cambria Math"/>
                  <w:i/>
                  <w:sz w:val="32"/>
                  <w:szCs w:val="32"/>
                </w:rPr>
              </m:ctrlPr>
            </m:fPr>
            <m:num>
              <m:r>
                <w:rPr>
                  <w:rFonts w:ascii="Cambria Math" w:hAnsi="Cambria Math"/>
                  <w:sz w:val="32"/>
                  <w:szCs w:val="32"/>
                </w:rPr>
                <m:t>ρ</m:t>
              </m:r>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num>
            <m:den>
              <m:r>
                <w:rPr>
                  <w:rFonts w:ascii="Cambria Math" w:hAnsi="Cambria Math"/>
                  <w:sz w:val="32"/>
                  <w:szCs w:val="32"/>
                </w:rPr>
                <m:t>2</m:t>
              </m:r>
            </m:den>
          </m:f>
          <m:r>
            <w:rPr>
              <w:rFonts w:ascii="Cambria Math" w:hAnsi="Cambria Math"/>
              <w:sz w:val="32"/>
              <w:szCs w:val="32"/>
            </w:rPr>
            <m:t>S</m:t>
          </m:r>
        </m:oMath>
      </m:oMathPara>
    </w:p>
    <w:p w14:paraId="2EF51C9E" w14:textId="77777777" w:rsidR="00CB613E" w:rsidRDefault="00CB613E" w:rsidP="00CB613E">
      <w:pPr>
        <w:pStyle w:val="Akapitzlist"/>
        <w:ind w:left="360"/>
        <w:rPr>
          <w:rFonts w:eastAsiaTheme="minorEastAsia"/>
          <w:sz w:val="32"/>
          <w:szCs w:val="32"/>
        </w:rPr>
      </w:pPr>
    </w:p>
    <w:p w14:paraId="6D393AA6" w14:textId="01780E26" w:rsidR="00CB613E" w:rsidRPr="00796D5C" w:rsidRDefault="00CB613E" w:rsidP="00796D5C">
      <w:pPr>
        <w:pStyle w:val="Akapitzlist"/>
        <w:ind w:left="360"/>
        <w:jc w:val="both"/>
        <w:rPr>
          <w:rFonts w:eastAsiaTheme="minorEastAsia"/>
          <w:sz w:val="24"/>
          <w:szCs w:val="24"/>
        </w:rPr>
      </w:pPr>
      <w:r w:rsidRPr="00796D5C">
        <w:rPr>
          <w:rFonts w:eastAsiaTheme="minorEastAsia"/>
          <w:sz w:val="24"/>
          <w:szCs w:val="24"/>
        </w:rPr>
        <w:t>Where: F</w:t>
      </w:r>
      <w:r w:rsidRPr="00796D5C">
        <w:rPr>
          <w:rFonts w:eastAsiaTheme="minorEastAsia"/>
          <w:sz w:val="24"/>
          <w:szCs w:val="24"/>
          <w:vertAlign w:val="subscript"/>
        </w:rPr>
        <w:t>D</w:t>
      </w:r>
      <w:r w:rsidRPr="00796D5C">
        <w:rPr>
          <w:rFonts w:eastAsiaTheme="minorEastAsia"/>
          <w:sz w:val="24"/>
          <w:szCs w:val="24"/>
        </w:rPr>
        <w:t xml:space="preserve"> – drag force gained from aerodynamic simulations,</w:t>
      </w:r>
      <w:r w:rsidR="00796D5C">
        <w:rPr>
          <w:rFonts w:eastAsiaTheme="minorEastAsia"/>
          <w:sz w:val="24"/>
          <w:szCs w:val="24"/>
        </w:rPr>
        <w:t xml:space="preserve"> </w:t>
      </w:r>
      <w:proofErr w:type="spellStart"/>
      <w:r w:rsidR="00796D5C">
        <w:rPr>
          <w:rFonts w:eastAsiaTheme="minorEastAsia"/>
          <w:sz w:val="24"/>
          <w:szCs w:val="24"/>
        </w:rPr>
        <w:t>c</w:t>
      </w:r>
      <w:r w:rsidR="00796D5C">
        <w:rPr>
          <w:rFonts w:eastAsiaTheme="minorEastAsia"/>
          <w:sz w:val="24"/>
          <w:szCs w:val="24"/>
          <w:vertAlign w:val="subscript"/>
        </w:rPr>
        <w:t>D</w:t>
      </w:r>
      <w:proofErr w:type="spellEnd"/>
      <w:r w:rsidR="00796D5C">
        <w:rPr>
          <w:rFonts w:eastAsiaTheme="minorEastAsia"/>
          <w:sz w:val="24"/>
          <w:szCs w:val="24"/>
        </w:rPr>
        <w:t xml:space="preserve"> – drag coefficient,</w:t>
      </w:r>
      <w:r w:rsidRPr="00796D5C">
        <w:rPr>
          <w:rFonts w:eastAsiaTheme="minorEastAsia"/>
          <w:sz w:val="24"/>
          <w:szCs w:val="24"/>
        </w:rPr>
        <w:t xml:space="preserve"> ρ - air density, </w:t>
      </w:r>
      <w:r w:rsidR="00796D5C" w:rsidRPr="00796D5C">
        <w:rPr>
          <w:rFonts w:eastAsiaTheme="minorEastAsia"/>
          <w:sz w:val="24"/>
          <w:szCs w:val="24"/>
        </w:rPr>
        <w:t>v- velocity of the rocket, S – projectile reference area</w:t>
      </w:r>
      <w:r w:rsidR="00796D5C">
        <w:rPr>
          <w:rFonts w:eastAsiaTheme="minorEastAsia"/>
          <w:sz w:val="24"/>
          <w:szCs w:val="24"/>
        </w:rPr>
        <w:t>.</w:t>
      </w:r>
    </w:p>
    <w:p w14:paraId="4F54A082" w14:textId="77777777" w:rsidR="00CB613E" w:rsidRDefault="00CB613E" w:rsidP="00CB613E">
      <w:pPr>
        <w:pStyle w:val="Akapitzlist"/>
        <w:ind w:left="360"/>
        <w:rPr>
          <w:rFonts w:eastAsiaTheme="minorEastAsia"/>
          <w:sz w:val="32"/>
          <w:szCs w:val="32"/>
        </w:rPr>
      </w:pPr>
    </w:p>
    <w:p w14:paraId="6831457F" w14:textId="77777777" w:rsidR="00CB613E" w:rsidRPr="00CB613E" w:rsidRDefault="00CB613E" w:rsidP="00CB613E">
      <w:pPr>
        <w:pStyle w:val="Akapitzlist"/>
        <w:ind w:left="360"/>
        <w:rPr>
          <w:rFonts w:eastAsiaTheme="minorEastAsia"/>
          <w:sz w:val="32"/>
          <w:szCs w:val="32"/>
        </w:rPr>
      </w:pPr>
    </w:p>
    <w:p w14:paraId="67EBDB31" w14:textId="77777777" w:rsidR="00CB613E" w:rsidRPr="00CB613E" w:rsidRDefault="00CB613E" w:rsidP="00CB613E">
      <w:pPr>
        <w:pStyle w:val="Akapitzlist"/>
        <w:ind w:left="360"/>
        <w:rPr>
          <w:rFonts w:eastAsiaTheme="minorEastAsia"/>
          <w:sz w:val="32"/>
          <w:szCs w:val="32"/>
        </w:rPr>
      </w:pPr>
    </w:p>
    <w:p w14:paraId="00B9534D" w14:textId="0E54441C" w:rsidR="00CB613E" w:rsidRDefault="00CB613E" w:rsidP="00CB613E">
      <w:pPr>
        <w:pStyle w:val="Akapitzlist"/>
        <w:ind w:left="360"/>
        <w:rPr>
          <w:rFonts w:eastAsiaTheme="minorEastAsia"/>
          <w:sz w:val="24"/>
          <w:szCs w:val="24"/>
        </w:rPr>
      </w:pPr>
      <w:r w:rsidRPr="00CB613E">
        <w:rPr>
          <w:rFonts w:eastAsiaTheme="minorEastAsia"/>
          <w:sz w:val="24"/>
          <w:szCs w:val="24"/>
        </w:rPr>
        <w:t>After the transformation of the equation we obtain the formula of drag coefficient:</w:t>
      </w:r>
    </w:p>
    <w:p w14:paraId="279844F7" w14:textId="77777777" w:rsidR="00CB613E" w:rsidRDefault="00CB613E" w:rsidP="00CB613E">
      <w:pPr>
        <w:pStyle w:val="Akapitzlist"/>
        <w:ind w:left="360"/>
        <w:rPr>
          <w:rFonts w:eastAsiaTheme="minorEastAsia"/>
          <w:sz w:val="24"/>
          <w:szCs w:val="24"/>
        </w:rPr>
      </w:pPr>
    </w:p>
    <w:p w14:paraId="1E4B512C" w14:textId="5A562C76" w:rsidR="00CB613E" w:rsidRPr="00796D5C" w:rsidRDefault="00000000" w:rsidP="00CB613E">
      <w:pPr>
        <w:pStyle w:val="Akapitzlist"/>
        <w:ind w:left="360"/>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2F</m:t>
                  </m:r>
                </m:e>
                <m:sub>
                  <m:r>
                    <w:rPr>
                      <w:rFonts w:ascii="Cambria Math" w:eastAsiaTheme="minorEastAsia" w:hAnsi="Cambria Math"/>
                      <w:sz w:val="32"/>
                      <w:szCs w:val="32"/>
                    </w:rPr>
                    <m:t>D</m:t>
                  </m:r>
                </m:sub>
              </m:sSub>
            </m:num>
            <m:den>
              <m:r>
                <w:rPr>
                  <w:rFonts w:ascii="Cambria Math" w:eastAsiaTheme="minorEastAsia" w:hAnsi="Cambria Math"/>
                  <w:sz w:val="32"/>
                  <w:szCs w:val="32"/>
                </w:rPr>
                <m:t>ρ</m:t>
              </m:r>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2</m:t>
                  </m:r>
                </m:sup>
              </m:sSup>
              <m:r>
                <w:rPr>
                  <w:rFonts w:ascii="Cambria Math" w:eastAsiaTheme="minorEastAsia" w:hAnsi="Cambria Math"/>
                  <w:sz w:val="32"/>
                  <w:szCs w:val="32"/>
                </w:rPr>
                <m:t>S</m:t>
              </m:r>
            </m:den>
          </m:f>
        </m:oMath>
      </m:oMathPara>
    </w:p>
    <w:p w14:paraId="69CFEEA2" w14:textId="1D96F453" w:rsidR="00796D5C" w:rsidRDefault="00646B1B" w:rsidP="00646B1B">
      <w:pPr>
        <w:pStyle w:val="Akapitzlist"/>
        <w:numPr>
          <w:ilvl w:val="1"/>
          <w:numId w:val="2"/>
        </w:numPr>
        <w:rPr>
          <w:rFonts w:eastAsiaTheme="minorEastAsia"/>
          <w:sz w:val="32"/>
          <w:szCs w:val="32"/>
        </w:rPr>
      </w:pPr>
      <w:r>
        <w:rPr>
          <w:rFonts w:eastAsiaTheme="minorEastAsia"/>
          <w:sz w:val="32"/>
          <w:szCs w:val="32"/>
        </w:rPr>
        <w:t>Tested models</w:t>
      </w:r>
    </w:p>
    <w:p w14:paraId="18415643" w14:textId="7CBBB563" w:rsidR="00646B1B" w:rsidRPr="00646B1B" w:rsidRDefault="00646B1B" w:rsidP="00F124CE">
      <w:pPr>
        <w:ind w:firstLine="360"/>
        <w:jc w:val="both"/>
        <w:rPr>
          <w:rFonts w:eastAsiaTheme="minorEastAsia"/>
          <w:sz w:val="24"/>
          <w:szCs w:val="24"/>
        </w:rPr>
      </w:pPr>
      <w:r>
        <w:rPr>
          <w:rFonts w:eastAsiaTheme="minorEastAsia"/>
          <w:sz w:val="24"/>
          <w:szCs w:val="24"/>
        </w:rPr>
        <w:lastRenderedPageBreak/>
        <w:t>Before we came up with final geometry of the rocket, we tested several different variations of the rocket in order to determine the optimal configuration. Firstly, we</w:t>
      </w:r>
      <w:r w:rsidR="00E54FDA">
        <w:rPr>
          <w:rFonts w:eastAsiaTheme="minorEastAsia"/>
          <w:sz w:val="24"/>
          <w:szCs w:val="24"/>
        </w:rPr>
        <w:t xml:space="preserve"> checked ‘PrawieR5’ which is the rocket from </w:t>
      </w:r>
      <w:r w:rsidR="00F124CE">
        <w:rPr>
          <w:rFonts w:eastAsiaTheme="minorEastAsia"/>
          <w:sz w:val="24"/>
          <w:szCs w:val="24"/>
        </w:rPr>
        <w:t xml:space="preserve">the </w:t>
      </w:r>
      <w:r w:rsidR="00E54FDA">
        <w:rPr>
          <w:rFonts w:eastAsiaTheme="minorEastAsia"/>
          <w:sz w:val="24"/>
          <w:szCs w:val="24"/>
        </w:rPr>
        <w:t xml:space="preserve">last year’s edition of the competition.  Then, we carried out the research of the impact of having the endcone on the aerodynamic parametrics, thanks to testing two models, one with endcone and the other one without. Both models had the same stability. </w:t>
      </w:r>
      <w:r w:rsidR="00F124CE" w:rsidRPr="00F124CE">
        <w:rPr>
          <w:rFonts w:eastAsiaTheme="minorEastAsia"/>
          <w:sz w:val="24"/>
          <w:szCs w:val="24"/>
        </w:rPr>
        <w:t>For each set of simulations, computational domain mesh setting and graph of velocity and pressure for</w:t>
      </w:r>
      <w:r w:rsidR="00F124CE">
        <w:rPr>
          <w:rFonts w:eastAsiaTheme="minorEastAsia"/>
          <w:sz w:val="24"/>
          <w:szCs w:val="24"/>
        </w:rPr>
        <w:t xml:space="preserve"> </w:t>
      </w:r>
      <w:r w:rsidR="00F124CE" w:rsidRPr="00F124CE">
        <w:rPr>
          <w:rFonts w:eastAsiaTheme="minorEastAsia"/>
          <w:sz w:val="24"/>
          <w:szCs w:val="24"/>
        </w:rPr>
        <w:t xml:space="preserve">0.6 </w:t>
      </w:r>
      <w:r w:rsidR="00F124CE">
        <w:rPr>
          <w:rFonts w:eastAsiaTheme="minorEastAsia"/>
          <w:sz w:val="24"/>
          <w:szCs w:val="24"/>
        </w:rPr>
        <w:t>M</w:t>
      </w:r>
      <w:r w:rsidR="00F124CE" w:rsidRPr="00F124CE">
        <w:rPr>
          <w:rFonts w:eastAsiaTheme="minorEastAsia"/>
          <w:sz w:val="24"/>
          <w:szCs w:val="24"/>
        </w:rPr>
        <w:t>ach will be shown.</w:t>
      </w:r>
    </w:p>
    <w:p w14:paraId="04CB8259" w14:textId="629BDDCB" w:rsidR="00CB613E" w:rsidRDefault="00CB613E" w:rsidP="00CB613E">
      <w:pPr>
        <w:rPr>
          <w:rFonts w:eastAsiaTheme="minorEastAsia"/>
          <w:sz w:val="32"/>
          <w:szCs w:val="32"/>
        </w:rPr>
      </w:pPr>
    </w:p>
    <w:p w14:paraId="48215C79" w14:textId="3F4D935E" w:rsidR="00F124CE" w:rsidRPr="00F124CE" w:rsidRDefault="00F124CE" w:rsidP="00F124CE">
      <w:pPr>
        <w:pStyle w:val="Akapitzlist"/>
        <w:numPr>
          <w:ilvl w:val="1"/>
          <w:numId w:val="2"/>
        </w:numPr>
        <w:rPr>
          <w:rFonts w:eastAsiaTheme="minorEastAsia"/>
          <w:sz w:val="32"/>
          <w:szCs w:val="32"/>
        </w:rPr>
      </w:pPr>
      <w:r w:rsidRPr="00F124CE">
        <w:rPr>
          <w:rFonts w:eastAsiaTheme="minorEastAsia"/>
          <w:sz w:val="32"/>
          <w:szCs w:val="32"/>
        </w:rPr>
        <w:t>Summary</w:t>
      </w:r>
    </w:p>
    <w:p w14:paraId="2D44B12B" w14:textId="77777777" w:rsidR="00F124CE" w:rsidRDefault="00F124CE" w:rsidP="00F124CE">
      <w:pPr>
        <w:pStyle w:val="Akapitzlist"/>
        <w:ind w:left="1080"/>
        <w:rPr>
          <w:rFonts w:eastAsiaTheme="minorEastAsia"/>
          <w:sz w:val="24"/>
          <w:szCs w:val="24"/>
        </w:rPr>
      </w:pPr>
    </w:p>
    <w:p w14:paraId="1CE037CF" w14:textId="77777777" w:rsidR="00F124CE" w:rsidRDefault="00F124CE" w:rsidP="00F124CE">
      <w:pPr>
        <w:pStyle w:val="Akapitzlist"/>
        <w:ind w:left="1080"/>
        <w:rPr>
          <w:rFonts w:eastAsiaTheme="minorEastAsia"/>
          <w:sz w:val="24"/>
          <w:szCs w:val="24"/>
        </w:rPr>
      </w:pPr>
    </w:p>
    <w:p w14:paraId="3617D82F" w14:textId="197EF1F2" w:rsidR="00F124CE" w:rsidRPr="00F124CE" w:rsidRDefault="00F124CE" w:rsidP="00F124CE">
      <w:pPr>
        <w:pStyle w:val="Akapitzlist"/>
        <w:ind w:left="1080"/>
        <w:rPr>
          <w:rFonts w:eastAsiaTheme="minorEastAsia"/>
          <w:sz w:val="24"/>
          <w:szCs w:val="24"/>
        </w:rPr>
      </w:pPr>
      <w:r>
        <w:rPr>
          <w:rFonts w:eastAsiaTheme="minorEastAsia"/>
          <w:sz w:val="24"/>
          <w:szCs w:val="24"/>
        </w:rPr>
        <w:t xml:space="preserve">In conclusion, we determined </w:t>
      </w:r>
      <w:r w:rsidR="003E5450">
        <w:rPr>
          <w:rFonts w:eastAsiaTheme="minorEastAsia"/>
          <w:sz w:val="24"/>
          <w:szCs w:val="24"/>
        </w:rPr>
        <w:t>that the configuration with endcone is way more beneficial</w:t>
      </w:r>
      <w:r w:rsidR="00126865">
        <w:rPr>
          <w:rFonts w:eastAsiaTheme="minorEastAsia"/>
          <w:sz w:val="24"/>
          <w:szCs w:val="24"/>
        </w:rPr>
        <w:t xml:space="preserve"> than the one without regarding aerodynamic drag. What is more, our team was capable of successfully examining optimal geometry of endcone and fins which are slightly different than the final </w:t>
      </w:r>
      <w:r w:rsidR="008C5A7E">
        <w:rPr>
          <w:rFonts w:eastAsiaTheme="minorEastAsia"/>
          <w:sz w:val="24"/>
          <w:szCs w:val="24"/>
        </w:rPr>
        <w:t xml:space="preserve">configuration. </w:t>
      </w:r>
    </w:p>
    <w:p w14:paraId="1579FAEC" w14:textId="77777777" w:rsidR="00CB613E" w:rsidRDefault="00CB613E" w:rsidP="00CB613E">
      <w:pPr>
        <w:pStyle w:val="Akapitzlist"/>
        <w:ind w:left="360"/>
        <w:rPr>
          <w:rFonts w:eastAsiaTheme="minorEastAsia"/>
          <w:sz w:val="32"/>
          <w:szCs w:val="32"/>
        </w:rPr>
      </w:pPr>
    </w:p>
    <w:p w14:paraId="11AFD188" w14:textId="77777777" w:rsidR="00CB613E" w:rsidRPr="00CB613E" w:rsidRDefault="00CB613E" w:rsidP="00CB613E">
      <w:pPr>
        <w:pStyle w:val="Akapitzlist"/>
        <w:ind w:left="360"/>
        <w:rPr>
          <w:rFonts w:eastAsiaTheme="minorEastAsia"/>
          <w:sz w:val="32"/>
          <w:szCs w:val="32"/>
        </w:rPr>
      </w:pPr>
    </w:p>
    <w:p w14:paraId="3FCD45DC" w14:textId="77777777" w:rsidR="00CB613E" w:rsidRPr="004E515F" w:rsidRDefault="00CB613E" w:rsidP="002A6B05">
      <w:pPr>
        <w:pStyle w:val="Akapitzlist"/>
        <w:ind w:left="360"/>
        <w:rPr>
          <w:sz w:val="24"/>
          <w:szCs w:val="24"/>
        </w:rPr>
      </w:pPr>
    </w:p>
    <w:p w14:paraId="3EB5D90B" w14:textId="77777777" w:rsidR="002A6B05" w:rsidRDefault="002A6B05" w:rsidP="002A6B05">
      <w:pPr>
        <w:pStyle w:val="Akapitzlist"/>
        <w:ind w:left="360"/>
      </w:pPr>
    </w:p>
    <w:sectPr w:rsidR="002A6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CA7065"/>
    <w:multiLevelType w:val="multilevel"/>
    <w:tmpl w:val="62BE6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A3221E6"/>
    <w:multiLevelType w:val="multilevel"/>
    <w:tmpl w:val="4F3AD9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583683217">
    <w:abstractNumId w:val="0"/>
  </w:num>
  <w:num w:numId="2" w16cid:durableId="1276214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5"/>
    <w:rsid w:val="000C10D6"/>
    <w:rsid w:val="00126865"/>
    <w:rsid w:val="00212EB7"/>
    <w:rsid w:val="002A6B05"/>
    <w:rsid w:val="00373036"/>
    <w:rsid w:val="0038281F"/>
    <w:rsid w:val="003E5450"/>
    <w:rsid w:val="004C4678"/>
    <w:rsid w:val="004E515F"/>
    <w:rsid w:val="005E1FDB"/>
    <w:rsid w:val="00646B1B"/>
    <w:rsid w:val="00796D5C"/>
    <w:rsid w:val="008518B1"/>
    <w:rsid w:val="008612DD"/>
    <w:rsid w:val="008C5A7E"/>
    <w:rsid w:val="00932CB0"/>
    <w:rsid w:val="00995580"/>
    <w:rsid w:val="00A01336"/>
    <w:rsid w:val="00A5533A"/>
    <w:rsid w:val="00B4750B"/>
    <w:rsid w:val="00C4559B"/>
    <w:rsid w:val="00C608DE"/>
    <w:rsid w:val="00CB613E"/>
    <w:rsid w:val="00E54FDA"/>
    <w:rsid w:val="00E9759F"/>
    <w:rsid w:val="00F124CE"/>
    <w:rsid w:val="00F51E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06B4"/>
  <w15:chartTrackingRefBased/>
  <w15:docId w15:val="{4DE89E97-E24E-426A-805D-0DAC411D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2A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A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A6B0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A6B0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A6B0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A6B0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A6B0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A6B0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A6B0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A6B0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A6B0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A6B0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A6B0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A6B0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A6B0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A6B0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A6B0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A6B05"/>
    <w:rPr>
      <w:rFonts w:eastAsiaTheme="majorEastAsia" w:cstheme="majorBidi"/>
      <w:color w:val="272727" w:themeColor="text1" w:themeTint="D8"/>
    </w:rPr>
  </w:style>
  <w:style w:type="paragraph" w:styleId="Tytu">
    <w:name w:val="Title"/>
    <w:basedOn w:val="Normalny"/>
    <w:next w:val="Normalny"/>
    <w:link w:val="TytuZnak"/>
    <w:uiPriority w:val="10"/>
    <w:qFormat/>
    <w:rsid w:val="002A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A6B0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A6B0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A6B0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A6B05"/>
    <w:pPr>
      <w:spacing w:before="160"/>
      <w:jc w:val="center"/>
    </w:pPr>
    <w:rPr>
      <w:i/>
      <w:iCs/>
      <w:color w:val="404040" w:themeColor="text1" w:themeTint="BF"/>
    </w:rPr>
  </w:style>
  <w:style w:type="character" w:customStyle="1" w:styleId="CytatZnak">
    <w:name w:val="Cytat Znak"/>
    <w:basedOn w:val="Domylnaczcionkaakapitu"/>
    <w:link w:val="Cytat"/>
    <w:uiPriority w:val="29"/>
    <w:rsid w:val="002A6B05"/>
    <w:rPr>
      <w:i/>
      <w:iCs/>
      <w:color w:val="404040" w:themeColor="text1" w:themeTint="BF"/>
    </w:rPr>
  </w:style>
  <w:style w:type="paragraph" w:styleId="Akapitzlist">
    <w:name w:val="List Paragraph"/>
    <w:basedOn w:val="Normalny"/>
    <w:uiPriority w:val="34"/>
    <w:qFormat/>
    <w:rsid w:val="002A6B05"/>
    <w:pPr>
      <w:ind w:left="720"/>
      <w:contextualSpacing/>
    </w:pPr>
  </w:style>
  <w:style w:type="character" w:styleId="Wyrnienieintensywne">
    <w:name w:val="Intense Emphasis"/>
    <w:basedOn w:val="Domylnaczcionkaakapitu"/>
    <w:uiPriority w:val="21"/>
    <w:qFormat/>
    <w:rsid w:val="002A6B05"/>
    <w:rPr>
      <w:i/>
      <w:iCs/>
      <w:color w:val="0F4761" w:themeColor="accent1" w:themeShade="BF"/>
    </w:rPr>
  </w:style>
  <w:style w:type="paragraph" w:styleId="Cytatintensywny">
    <w:name w:val="Intense Quote"/>
    <w:basedOn w:val="Normalny"/>
    <w:next w:val="Normalny"/>
    <w:link w:val="CytatintensywnyZnak"/>
    <w:uiPriority w:val="30"/>
    <w:qFormat/>
    <w:rsid w:val="002A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A6B05"/>
    <w:rPr>
      <w:i/>
      <w:iCs/>
      <w:color w:val="0F4761" w:themeColor="accent1" w:themeShade="BF"/>
    </w:rPr>
  </w:style>
  <w:style w:type="character" w:styleId="Odwoanieintensywne">
    <w:name w:val="Intense Reference"/>
    <w:basedOn w:val="Domylnaczcionkaakapitu"/>
    <w:uiPriority w:val="32"/>
    <w:qFormat/>
    <w:rsid w:val="002A6B05"/>
    <w:rPr>
      <w:b/>
      <w:bCs/>
      <w:smallCaps/>
      <w:color w:val="0F4761" w:themeColor="accent1" w:themeShade="BF"/>
      <w:spacing w:val="5"/>
    </w:rPr>
  </w:style>
  <w:style w:type="character" w:styleId="Tekstzastpczy">
    <w:name w:val="Placeholder Text"/>
    <w:basedOn w:val="Domylnaczcionkaakapitu"/>
    <w:uiPriority w:val="99"/>
    <w:semiHidden/>
    <w:rsid w:val="00CB61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372</Words>
  <Characters>2233</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Krysiński (267050)</dc:creator>
  <cp:keywords/>
  <dc:description/>
  <cp:lastModifiedBy>Kacper Krysiński (267050)</cp:lastModifiedBy>
  <cp:revision>5</cp:revision>
  <dcterms:created xsi:type="dcterms:W3CDTF">2024-04-23T12:37:00Z</dcterms:created>
  <dcterms:modified xsi:type="dcterms:W3CDTF">2024-05-02T23:20:00Z</dcterms:modified>
</cp:coreProperties>
</file>