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2: Implementing 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Modify the XML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applicationContext.xml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wire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the BookService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has a setter method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the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LibraryManagementApplication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 class to verify the dependency injection.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http://www.springframework.org/schema/context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xmlns:aop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http://www.springframework.org/schema/aop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http://www.springframework.org/schema/beans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http://www.springframework.org/schema/context/spring-context.xsd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http://www.springframework.org/schema/aop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http://www.springframework.org/schema/aop/spring-aop.xsd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aop:aspectj-autoproxy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context:component-scan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base-package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loggingAspect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com.library.aspect.LoggingAspect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Monospace" w:cs="Monospace" w:eastAsia="Monospace" w:hAnsi="Monospace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com.library.service;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com.library.repository.BookRepository;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BookService {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BookRepository 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BookService(BookRepository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setBookRepository(BookRepository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addbook(String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.book(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"Book added"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Monospace" w:cs="Monospace" w:eastAsia="Monospace" w:hAnsi="Monospace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com.library.service.BookService;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u w:val="single"/>
          <w:rtl w:val="0"/>
        </w:rPr>
        <w:t xml:space="preserve">main(String[]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ApplicationContext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BookService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(BookService)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.getBean(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"bookService"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.addbook(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"The Hobbit"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Output: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Before methodaddbook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Book nameThe Hobbit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Book addedThe Hobbit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After methodaddbook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void com.library.service.BookService.addbook(String)executed in 24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