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7: Implementing Constructor and Setter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library management application requires both constructor and setter injection for better control over bean initialization.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Configure Constructor Injection: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applicationContext.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configure constructor injection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Configure Setter Injection: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has a setter method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configure it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applicationContext.xml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the Injection: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LibraryManagementApplication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 class to verify both constructor and setter injection.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u w:val="single"/>
          <w:rtl w:val="0"/>
        </w:rPr>
        <w:t xml:space="preserve">beans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http://www.springframework.org/schema/beans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https://www.springframework.org/schema/beans/spring-beans.xsd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ospace" w:cs="Monospace" w:eastAsia="Monospace" w:hAnsi="Monospace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BookService {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BookRepository 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BookService(BookRepository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"Constructor injection used"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setBookRepository(BookRepository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"Setter injection used"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addbook(String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.book(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"Book added: 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Monospace" w:cs="Monospace" w:eastAsia="Monospace" w:hAnsi="Monospace"/>
        </w:rPr>
      </w:pP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Output: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Constructor injection used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Setter injection used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Saving book: Effective Java</w:t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Book added: Effective Java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