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C55D3">
      <w:pPr>
        <w:spacing w:line="360" w:lineRule="auto"/>
        <w:jc w:val="center"/>
        <w:rPr>
          <w:sz w:val="24"/>
        </w:rPr>
      </w:pPr>
    </w:p>
    <w:p w14:paraId="44C542A3">
      <w:pPr>
        <w:spacing w:line="360" w:lineRule="auto"/>
        <w:jc w:val="center"/>
        <w:rPr>
          <w:sz w:val="24"/>
        </w:rPr>
      </w:pPr>
    </w:p>
    <w:p w14:paraId="5E9A4FE3">
      <w:pPr>
        <w:spacing w:line="360" w:lineRule="auto"/>
        <w:jc w:val="center"/>
        <w:rPr>
          <w:sz w:val="24"/>
        </w:rPr>
      </w:pPr>
    </w:p>
    <w:p w14:paraId="60F7AE26">
      <w:pPr>
        <w:spacing w:line="360" w:lineRule="auto"/>
        <w:jc w:val="center"/>
        <w:rPr>
          <w:sz w:val="24"/>
        </w:rPr>
      </w:pPr>
    </w:p>
    <w:p w14:paraId="18E0DD38">
      <w:pPr>
        <w:spacing w:line="360" w:lineRule="auto"/>
        <w:jc w:val="center"/>
        <w:rPr>
          <w:sz w:val="24"/>
        </w:rPr>
      </w:pPr>
    </w:p>
    <w:p w14:paraId="05937906">
      <w:pPr>
        <w:spacing w:line="360" w:lineRule="auto"/>
        <w:jc w:val="center"/>
        <w:rPr>
          <w:sz w:val="24"/>
        </w:rPr>
      </w:pPr>
    </w:p>
    <w:p w14:paraId="0596A031">
      <w:pPr>
        <w:spacing w:line="360" w:lineRule="auto"/>
        <w:jc w:val="center"/>
        <w:rPr>
          <w:sz w:val="24"/>
        </w:rPr>
      </w:pPr>
    </w:p>
    <w:p w14:paraId="7E8C3670">
      <w:pPr>
        <w:spacing w:line="360" w:lineRule="auto"/>
        <w:jc w:val="center"/>
        <w:rPr>
          <w:sz w:val="24"/>
        </w:rPr>
      </w:pPr>
    </w:p>
    <w:p w14:paraId="64116132">
      <w:pPr>
        <w:spacing w:line="360" w:lineRule="auto"/>
        <w:jc w:val="center"/>
        <w:rPr>
          <w:sz w:val="24"/>
        </w:rPr>
      </w:pPr>
    </w:p>
    <w:p w14:paraId="09CA9468">
      <w:pPr>
        <w:spacing w:line="360" w:lineRule="auto"/>
        <w:jc w:val="center"/>
        <w:rPr>
          <w:sz w:val="24"/>
        </w:rPr>
      </w:pPr>
    </w:p>
    <w:p w14:paraId="3BAC1A12">
      <w:pPr>
        <w:spacing w:line="360" w:lineRule="auto"/>
        <w:jc w:val="center"/>
        <w:rPr>
          <w:sz w:val="24"/>
        </w:rPr>
      </w:pPr>
    </w:p>
    <w:p w14:paraId="5470F888">
      <w:pPr>
        <w:spacing w:line="360" w:lineRule="auto"/>
        <w:jc w:val="center"/>
        <w:rPr>
          <w:sz w:val="24"/>
        </w:rPr>
      </w:pPr>
    </w:p>
    <w:p w14:paraId="0CFB6B00">
      <w:pPr>
        <w:spacing w:line="360" w:lineRule="auto"/>
        <w:jc w:val="center"/>
        <w:rPr>
          <w:sz w:val="24"/>
        </w:rPr>
      </w:pPr>
    </w:p>
    <w:p w14:paraId="2444A090">
      <w:pPr>
        <w:spacing w:line="360" w:lineRule="auto"/>
        <w:jc w:val="center"/>
        <w:rPr>
          <w:sz w:val="24"/>
        </w:rPr>
      </w:pPr>
    </w:p>
    <w:p w14:paraId="77D08BAD">
      <w:pPr>
        <w:spacing w:line="360" w:lineRule="auto"/>
        <w:jc w:val="center"/>
        <w:rPr>
          <w:sz w:val="24"/>
        </w:rPr>
      </w:pPr>
    </w:p>
    <w:p w14:paraId="168B641C">
      <w:pPr>
        <w:spacing w:line="360" w:lineRule="auto"/>
        <w:jc w:val="center"/>
        <w:rPr>
          <w:sz w:val="24"/>
        </w:rPr>
      </w:pPr>
    </w:p>
    <w:p w14:paraId="7C8C4E2D">
      <w:pPr>
        <w:spacing w:line="360" w:lineRule="auto"/>
        <w:jc w:val="center"/>
        <w:rPr>
          <w:sz w:val="24"/>
        </w:rPr>
      </w:pPr>
    </w:p>
    <w:p w14:paraId="2DA0038B">
      <w:pPr>
        <w:spacing w:line="360" w:lineRule="auto"/>
        <w:jc w:val="center"/>
        <w:rPr>
          <w:sz w:val="24"/>
        </w:rPr>
      </w:pPr>
    </w:p>
    <w:p w14:paraId="6EB4B440">
      <w:pPr>
        <w:spacing w:line="360" w:lineRule="auto"/>
        <w:jc w:val="center"/>
        <w:rPr>
          <w:sz w:val="24"/>
        </w:rPr>
      </w:pPr>
    </w:p>
    <w:p w14:paraId="589F7364">
      <w:pPr>
        <w:spacing w:line="360" w:lineRule="auto"/>
        <w:jc w:val="center"/>
        <w:rPr>
          <w:sz w:val="24"/>
        </w:rPr>
      </w:pPr>
    </w:p>
    <w:tbl>
      <w:tblPr>
        <w:tblStyle w:val="6"/>
        <w:tblW w:w="9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034"/>
        <w:gridCol w:w="715"/>
        <w:gridCol w:w="922"/>
        <w:gridCol w:w="748"/>
        <w:gridCol w:w="1359"/>
        <w:gridCol w:w="3052"/>
      </w:tblGrid>
      <w:tr w14:paraId="4DC6D4B2">
        <w:trPr>
          <w:cantSplit/>
          <w:trHeight w:val="148" w:hRule="atLeast"/>
        </w:trPr>
        <w:tc>
          <w:tcPr>
            <w:tcW w:w="1243" w:type="dxa"/>
            <w:vAlign w:val="center"/>
          </w:tcPr>
          <w:p w14:paraId="2573E367">
            <w:pPr>
              <w:spacing w:line="360" w:lineRule="auto"/>
            </w:pPr>
            <w:r>
              <w:rPr>
                <w:rFonts w:hint="eastAsia"/>
              </w:rPr>
              <w:t>姓名</w:t>
            </w:r>
          </w:p>
        </w:tc>
        <w:tc>
          <w:tcPr>
            <w:tcW w:w="1744" w:type="dxa"/>
            <w:gridSpan w:val="2"/>
          </w:tcPr>
          <w:p w14:paraId="69E7AC79">
            <w:pPr>
              <w:spacing w:line="360" w:lineRule="auto"/>
            </w:pPr>
          </w:p>
        </w:tc>
        <w:tc>
          <w:tcPr>
            <w:tcW w:w="718" w:type="dxa"/>
          </w:tcPr>
          <w:p w14:paraId="77D097CA">
            <w:pPr>
              <w:spacing w:line="360" w:lineRule="auto"/>
            </w:pPr>
            <w:r>
              <w:rPr>
                <w:rFonts w:hint="eastAsia"/>
              </w:rPr>
              <w:t>性别</w:t>
            </w:r>
          </w:p>
        </w:tc>
        <w:tc>
          <w:tcPr>
            <w:tcW w:w="705" w:type="dxa"/>
          </w:tcPr>
          <w:p w14:paraId="185C0790">
            <w:pPr>
              <w:spacing w:line="360" w:lineRule="auto"/>
            </w:pPr>
          </w:p>
        </w:tc>
        <w:tc>
          <w:tcPr>
            <w:tcW w:w="1260" w:type="dxa"/>
          </w:tcPr>
          <w:p w14:paraId="1D9AD770">
            <w:pPr>
              <w:spacing w:line="360" w:lineRule="auto"/>
            </w:pPr>
            <w:r>
              <w:rPr>
                <w:rFonts w:hint="eastAsia"/>
              </w:rPr>
              <w:t>入学时间</w:t>
            </w:r>
          </w:p>
        </w:tc>
        <w:tc>
          <w:tcPr>
            <w:tcW w:w="3360" w:type="dxa"/>
          </w:tcPr>
          <w:p w14:paraId="58479909">
            <w:pPr>
              <w:spacing w:line="360" w:lineRule="auto"/>
            </w:pPr>
          </w:p>
        </w:tc>
      </w:tr>
      <w:tr w14:paraId="7B7BAF35">
        <w:trPr>
          <w:cantSplit/>
          <w:trHeight w:val="148" w:hRule="atLeast"/>
        </w:trPr>
        <w:tc>
          <w:tcPr>
            <w:tcW w:w="1243" w:type="dxa"/>
          </w:tcPr>
          <w:p w14:paraId="5FDA961E">
            <w:pPr>
              <w:spacing w:line="360" w:lineRule="auto"/>
            </w:pPr>
            <w:r>
              <w:rPr>
                <w:rFonts w:hint="eastAsia" w:ascii="宋体" w:hAnsi="宋体" w:eastAsia="宋体"/>
                <w:sz w:val="21"/>
              </w:rPr>
              <w:t>学科</w:t>
            </w:r>
          </w:p>
        </w:tc>
        <w:tc>
          <w:tcPr>
            <w:tcW w:w="3167" w:type="dxa"/>
            <w:gridSpan w:val="4"/>
          </w:tcPr>
          <w:p>
            <w:r>
              <w:rPr>
                <w:rFonts w:ascii="宋体" w:hAnsi="宋体" w:eastAsia="宋体"/>
                <w:sz w:val="21"/>
              </w:rPr>
              <w:t>计算机网络与可信计算</w:t>
            </w:r>
          </w:p>
        </w:tc>
        <w:tc>
          <w:tcPr>
            <w:tcW w:w="1260" w:type="dxa"/>
          </w:tcPr>
          <w:p w14:paraId="108DA637">
            <w:pPr>
              <w:spacing w:line="360" w:lineRule="auto"/>
            </w:pPr>
            <w:r>
              <w:rPr>
                <w:rFonts w:hint="eastAsia" w:ascii="宋体" w:hAnsi="宋体" w:eastAsia="宋体"/>
                <w:sz w:val="21"/>
              </w:rPr>
              <w:t>研究方向</w:t>
            </w:r>
          </w:p>
        </w:tc>
        <w:tc>
          <w:tcPr>
            <w:tcW w:w="3360" w:type="dxa"/>
          </w:tcPr>
          <w:p w14:paraId="252E478D">
            <w:pPr>
              <w:spacing w:line="360" w:lineRule="auto"/>
            </w:pPr>
            <w:r>
              <w:rPr>
                <w:rFonts w:ascii="宋体" w:hAnsi="宋体" w:eastAsia="宋体"/>
                <w:sz w:val="21"/>
              </w:rPr>
              <w:t>计算机网络与可信计算</w:t>
            </w:r>
          </w:p>
        </w:tc>
      </w:tr>
      <w:tr w14:paraId="04BCAB8F">
        <w:trPr>
          <w:cantSplit/>
          <w:trHeight w:val="148" w:hRule="atLeast"/>
        </w:trPr>
        <w:tc>
          <w:tcPr>
            <w:tcW w:w="1243" w:type="dxa"/>
            <w:vMerge w:val="restart"/>
          </w:tcPr>
          <w:p w14:paraId="52FD6CEE">
            <w:pPr>
              <w:spacing w:line="360" w:lineRule="auto"/>
            </w:pPr>
            <w:r>
              <w:rPr>
                <w:rFonts w:hint="eastAsia" w:ascii="宋体" w:hAnsi="宋体" w:eastAsia="宋体"/>
                <w:sz w:val="21"/>
              </w:rPr>
              <w:t>论文</w:t>
            </w:r>
          </w:p>
          <w:p w14:paraId="5F48B6DB">
            <w:pPr>
              <w:spacing w:line="360" w:lineRule="auto"/>
            </w:pPr>
            <w:r>
              <w:rPr>
                <w:rFonts w:hint="eastAsia" w:ascii="宋体" w:hAnsi="宋体" w:eastAsia="宋体"/>
                <w:sz w:val="21"/>
              </w:rPr>
              <w:t>题目</w:t>
            </w:r>
          </w:p>
        </w:tc>
        <w:tc>
          <w:tcPr>
            <w:tcW w:w="856" w:type="dxa"/>
          </w:tcPr>
          <w:p w14:paraId="039BEBF2">
            <w:pPr>
              <w:spacing w:line="360" w:lineRule="auto"/>
            </w:pPr>
            <w:r>
              <w:rPr>
                <w:rFonts w:hint="eastAsia" w:ascii="宋体" w:hAnsi="宋体" w:eastAsia="宋体"/>
                <w:sz w:val="21"/>
              </w:rPr>
              <w:t>中文</w:t>
            </w:r>
          </w:p>
        </w:tc>
        <w:tc>
          <w:tcPr>
            <w:tcW w:w="6931" w:type="dxa"/>
            <w:gridSpan w:val="5"/>
          </w:tcPr>
          <w:p>
            <w:r>
              <w:rPr>
                <w:rFonts w:ascii="宋体" w:hAnsi="宋体" w:eastAsia="宋体"/>
                <w:sz w:val="21"/>
              </w:rPr>
              <w:t>面向工业设备异步多传感器的概率状态预测与风险评估方法研究</w:t>
            </w:r>
          </w:p>
        </w:tc>
      </w:tr>
      <w:tr w14:paraId="28089A6A">
        <w:trPr>
          <w:cantSplit/>
          <w:trHeight w:val="148" w:hRule="atLeast"/>
        </w:trPr>
        <w:tc>
          <w:tcPr>
            <w:tcW w:w="1243" w:type="dxa"/>
            <w:vMerge w:val="continue"/>
          </w:tcPr>
          <w:p w14:paraId="550E4811">
            <w:pPr>
              <w:spacing w:line="360" w:lineRule="auto"/>
            </w:pPr>
          </w:p>
        </w:tc>
        <w:tc>
          <w:tcPr>
            <w:tcW w:w="856" w:type="dxa"/>
          </w:tcPr>
          <w:p w14:paraId="1FEF9A15">
            <w:pPr>
              <w:spacing w:line="360" w:lineRule="auto"/>
            </w:pPr>
            <w:r>
              <w:rPr>
                <w:rFonts w:hint="eastAsia" w:ascii="宋体" w:hAnsi="宋体" w:eastAsia="宋体"/>
                <w:sz w:val="21"/>
              </w:rPr>
              <w:t>英文</w:t>
            </w:r>
          </w:p>
        </w:tc>
        <w:tc>
          <w:tcPr>
            <w:tcW w:w="6931" w:type="dxa"/>
            <w:gridSpan w:val="5"/>
          </w:tcPr>
          <w:p>
            <w:r>
              <w:rPr>
                <w:rFonts w:ascii="宋体" w:hAnsi="宋体" w:eastAsia="宋体"/>
                <w:sz w:val="21"/>
              </w:rPr>
              <w:t>Research on Probabilistic State Prediction and Risk Assessment for Industrial Equipment with Asynchronous Multi-sensor Data</w:t>
            </w:r>
          </w:p>
        </w:tc>
      </w:tr>
      <w:tr w14:paraId="3AFE99B8">
        <w:trPr>
          <w:trHeight w:val="6009" w:hRule="atLeast"/>
        </w:trPr>
        <w:tc>
          <w:tcPr>
            <w:tcW w:w="9030" w:type="dxa"/>
            <w:gridSpan w:val="7"/>
          </w:tcPr>
          <w:p>
            <w:pPr>
              <w:spacing w:line="300" w:lineRule="auto"/>
              <w:ind w:firstLine="0"/>
            </w:pPr>
            <w:r/>
            <w:r>
              <w:rPr>
                <w:rFonts w:ascii="宋体" w:hAnsi="宋体" w:eastAsia="宋体"/>
                <w:b/>
                <w:sz w:val="22"/>
              </w:rPr>
              <w:t>1．选题背景、国内外研究现状及述评</w:t>
            </w:r>
          </w:p>
          <w:p>
            <w:pPr>
              <w:spacing w:line="300" w:lineRule="auto"/>
              <w:ind w:firstLine="0"/>
            </w:pPr>
            <w:r>
              <w:rPr>
                <w:rFonts w:ascii="宋体" w:hAnsi="宋体" w:eastAsia="宋体"/>
                <w:b/>
                <w:sz w:val="21"/>
              </w:rPr>
              <w:t>1.1 选题背景</w:t>
            </w:r>
          </w:p>
          <w:p>
            <w:pPr>
              <w:spacing w:line="300" w:lineRule="auto"/>
              <w:ind w:firstLine="420"/>
            </w:pPr>
            <w:r>
              <w:rPr>
                <w:rFonts w:ascii="宋体" w:hAnsi="宋体" w:eastAsia="宋体"/>
                <w:b w:val="0"/>
                <w:sz w:val="21"/>
              </w:rPr>
              <w:t>工业设备运行状态正在从人工巡检和事后维修，转向由传感器数据驱动的预测性维护。空气压缩机、液压系统、发动机、轴承、轨道交通部件和过程工业装置在运行过程中会持续产生压力、温度、电流、流量、振动、转速和阀位等多源信号。这些信号既记录设备当前工况，也隐含退化趋势和潜在风险。近年来，智能液压运维、装备剩余寿命预测和区间预测综述均表明，设备健康管理已经不满足于故障发生后的分类判断，而是更关注未来状态、剩余寿命区间和维护风险的提前识别[1-3]。因此，面向工业设备的状态预测研究，核心问题不是把传感器序列简单映射为某个标签，而是利用历史观测推断未来运行状态及其不确定性。</w:t>
            </w:r>
          </w:p>
          <w:p>
            <w:pPr>
              <w:spacing w:line="300" w:lineRule="auto"/>
              <w:ind w:firstLine="420"/>
            </w:pPr>
            <w:r>
              <w:rPr>
                <w:rFonts w:ascii="宋体" w:hAnsi="宋体" w:eastAsia="宋体"/>
                <w:b w:val="0"/>
                <w:sz w:val="21"/>
              </w:rPr>
              <w:t>工业设备的多传感器数据具有明显的系统耦合特征。多源信息融合研究指出，不同传感器往往从不同侧面反映同一退化过程，单通道模型难以刻画负载变化、部件磨损和控制动作之间的关联[4,5]。基于 R-Vine copula 的发动机剩余寿命研究和机械产品多变量相依退化综述进一步说明，多退化指标之间存在随机相关和非线性依赖，若只对每个传感器独立建模，容易低估联合异常或多指标同步劣化的风险[6,7]。这类文献为本课题提供了直接依据：工业设备状态预测需要将多传感器未来状态作为一个相关整体处理，而不是把多个单变量预测结果机械拼接。</w:t>
            </w:r>
          </w:p>
          <w:p>
            <w:pPr>
              <w:spacing w:line="300" w:lineRule="auto"/>
              <w:ind w:firstLine="420"/>
            </w:pPr>
            <w:r>
              <w:rPr>
                <w:rFonts w:ascii="宋体" w:hAnsi="宋体" w:eastAsia="宋体"/>
                <w:b w:val="0"/>
                <w:sz w:val="21"/>
              </w:rPr>
              <w:t>真实工业观测还存在采样频率不一致、通信延迟、设备停机、传感器离线、局部数据包丢失和工况切换等现象。非均匀监测条件下的滚动轴承剩余寿命研究把监测间隔变化作为影响预测性能的重要因素[8]，面向随机缺失和部分故障传感器的在线剩余寿命不确定性研究也表明，缺失并不是数据清洗阶段可以完全消除的偶发现象，而是模型应用环境的一部分[9]。考虑不完美维修的随机退化研究说明，设备状态还会受维修动作和历史退化路径影响，同一设备在不同生命周期阶段的观测规律并不完全一致[10]。在这些条件下，若把所有传感器强行插值到固定网格，再使用普通规则采样预测模型，可能引入伪观测，掩盖“没有观测”本身携带的状态信息。</w:t>
            </w:r>
          </w:p>
          <w:p>
            <w:pPr>
              <w:spacing w:line="300" w:lineRule="auto"/>
              <w:ind w:firstLine="420"/>
            </w:pPr>
            <w:r>
              <w:rPr>
                <w:rFonts w:ascii="宋体" w:hAnsi="宋体" w:eastAsia="宋体"/>
                <w:b w:val="0"/>
                <w:sz w:val="21"/>
              </w:rPr>
              <w:t>从工程应用看，预测结果还需要被转化为可解释的风险判断。液压马达、转向架关键运动部件、轴承早期故障和工业过程故障检测等研究都围绕设备失效、早期异常和风险预警展开[11-14]。可解释机械智能诊断和先验赋能的工业智能诊断综述指出，工业场景中的模型输出需要服务于运维人员理解、阈值制定和维护决策，而不仅是离线测试集上的误差数值[15,16]。因此，本研究选择“概率状态预测与风险评估”作为统一目标，拟在未来多传感器状态分布的基础上计算预测区间、越界概率、风险分数和预警指标，使模型输出与工业维护流程之间建立更清楚的联系。</w:t>
            </w:r>
          </w:p>
          <w:p>
            <w:pPr>
              <w:spacing w:line="300" w:lineRule="auto"/>
              <w:ind w:firstLine="0"/>
            </w:pPr>
            <w:r>
              <w:rPr>
                <w:rFonts w:ascii="宋体" w:hAnsi="宋体" w:eastAsia="宋体"/>
                <w:b/>
                <w:sz w:val="21"/>
              </w:rPr>
              <w:t>1.2 国内外研究现状</w:t>
            </w:r>
          </w:p>
          <w:p>
            <w:pPr>
              <w:spacing w:line="300" w:lineRule="auto"/>
              <w:ind w:firstLine="0"/>
            </w:pPr>
            <w:r>
              <w:rPr>
                <w:rFonts w:ascii="宋体" w:hAnsi="宋体" w:eastAsia="宋体"/>
                <w:b/>
                <w:sz w:val="21"/>
              </w:rPr>
              <w:t>1.2.1 工业设备状态预测与剩余寿命研究</w:t>
            </w:r>
          </w:p>
          <w:p>
            <w:pPr>
              <w:spacing w:line="300" w:lineRule="auto"/>
              <w:ind w:firstLine="420"/>
            </w:pPr>
            <w:r>
              <w:rPr>
                <w:rFonts w:ascii="宋体" w:hAnsi="宋体" w:eastAsia="宋体"/>
                <w:b w:val="0"/>
                <w:sz w:val="21"/>
              </w:rPr>
              <w:t>设备状态预测和剩余寿命研究已经形成了较丰富的方法体系。早期研究多依赖物理机理、退化过程建模或统计模型，适合退化规律较明确、传感器数量有限的场景。随着工业数据规模扩大，深度学习方法被广泛用于从多通道序列中自动提取退化特征。近年的人工智能剩余寿命综述把数据驱动方法、深度模型和混合方法作为主要发展方向，说明 RUL 预测已经从单一指标回归扩展到多源信息融合、阶段性退化建模和不确定性表达[2]。自适应阶段式多传感器多特征融合方法通过区分不同退化阶段增强预测针对性[4]，多源信息融合剩余寿命研究也从随机效应角度讨论了设备个体差异对预测结果的影响[5]。</w:t>
            </w:r>
          </w:p>
          <w:p>
            <w:pPr>
              <w:spacing w:line="300" w:lineRule="auto"/>
              <w:ind w:firstLine="420"/>
            </w:pPr>
            <w:r>
              <w:rPr>
                <w:rFonts w:ascii="宋体" w:hAnsi="宋体" w:eastAsia="宋体"/>
                <w:b w:val="0"/>
                <w:sz w:val="21"/>
              </w:rPr>
              <w:t>多变量相关建模是工业状态预测中的一条重要路线。R-Vine copula 方法把多传感器间的相关结构显式纳入发动机剩余寿命预测[6]，多变量相依退化建模综述则把机械产品退化过程中的相依关系作为寿命预测模型需要处理的基本对象[7]。这说明，多传感器预测并非多个单变量任务的简单并列。若一个模型只能给出每个传感器独立的均值和方差，它可以形成可比的基线，但在联合异常、协同退化和传感器间风险传播方面存在天然边界。本课题拟采用联合概率预测的原因正是来源于这一问题：未来状态的不确定性不仅体现在单个变量的波动范围，也体现在变量间相关结构如何变化。</w:t>
            </w:r>
          </w:p>
          <w:p>
            <w:pPr>
              <w:spacing w:line="300" w:lineRule="auto"/>
              <w:ind w:firstLine="420"/>
            </w:pPr>
            <w:r>
              <w:rPr>
                <w:rFonts w:ascii="宋体" w:hAnsi="宋体" w:eastAsia="宋体"/>
                <w:b w:val="0"/>
                <w:sz w:val="21"/>
              </w:rPr>
              <w:t>工业设备数据还受到非均匀监测和维修过程影响。非均匀监测条件下滚动轴承寿命预测研究说明，监测间隔变化会改变可用信息密度[8]；随机缺失和部分故障传感器条件下的在线剩余寿命不确定性研究直接把缺失传感器作为模型鲁棒性的考察对象[9]；不完美维修下的随机退化建模则强调设备历史维护动作会改变退化轨迹[10]。这些研究共同提示，面向真实运维环境的预测模型不能只在完整、规则、平稳的数据条件下讨论性能。开题阶段拟把 C-MAPSS 和 MetroPT-3 作为主数据集，并通过人工异步缺失机制构造受控观测条件，目的在于让不同模型在同一缺失 mask、同一训练划分和同一归一化规则下比较，避免把数据处理差异误认为模型能力差异。</w:t>
            </w:r>
          </w:p>
          <w:p>
            <w:pPr>
              <w:spacing w:line="300" w:lineRule="auto"/>
              <w:ind w:firstLine="420"/>
            </w:pPr>
            <w:r>
              <w:rPr>
                <w:rFonts w:ascii="宋体" w:hAnsi="宋体" w:eastAsia="宋体"/>
                <w:b w:val="0"/>
                <w:sz w:val="21"/>
              </w:rPr>
              <w:t>工业故障诊断研究也为风险评估提供了评价边界。液压马达寿命预测、转向架部件故障诊断、轴承早期故障诊断和工业过程故障检测研究均强调故障演化具有时序性和阶段性[11-14]。在这类任务中，模型给出一次“异常/正常”分类并不足够，运维人员更需要知道风险是否持续升高、预警是否提前、误报是否可控以及模型在传感器缺失时是否仍然稳定。可解释诊断综述进一步指出，工业智能诊断需要把模型结果与机理、先验知识或可理解指标关联起来[15,16]。因此，本课题不把风险评估看作状态预测之外的独立分类任务，而是计划由预测分布样本推导风险概率、区间覆盖、校准误差和提前量指标。</w:t>
            </w:r>
          </w:p>
          <w:p>
            <w:pPr>
              <w:spacing w:line="300" w:lineRule="auto"/>
              <w:ind w:firstLine="0"/>
            </w:pPr>
            <w:r>
              <w:rPr>
                <w:rFonts w:ascii="宋体" w:hAnsi="宋体" w:eastAsia="宋体"/>
                <w:b/>
                <w:sz w:val="21"/>
              </w:rPr>
              <w:t>1.2.2 规则采样时间序列预测与异步缺失序列建模</w:t>
            </w:r>
          </w:p>
          <w:p>
            <w:pPr>
              <w:spacing w:line="300" w:lineRule="auto"/>
              <w:ind w:firstLine="420"/>
            </w:pPr>
            <w:r>
              <w:rPr>
                <w:rFonts w:ascii="宋体" w:hAnsi="宋体" w:eastAsia="宋体"/>
                <w:b w:val="0"/>
                <w:sz w:val="21"/>
              </w:rPr>
              <w:t>通用时间序列预测近年发展迅速，Transformer、频域分解、二维时序变化建模和 patch 表示等路线在长序列预测中取得了较多进展。长序列深度预测综述总结了深度模型在趋势、周期和长期依赖建模方面的进展[17]；PatchTST 将时间序列切分为 patch 来提升长期预测效果[18]，TimesNet 将一维序列映射到二维变化空间以捕捉周期内和周期间结构[19]，iTransformer 从变量维度重构注意力建模方式[20]，FEDformer 利用频域增强分解处理长时依赖[21]。这些方法适合作为规则采样强基线，但其默认输入通常是等间隔窗口，缺失值往往通过填补、掩码通道或预处理解决。针对 Transformer 是否始终优于简单线性模型的讨论也提醒研究者，通用大模型结构并不会自动带来所有时间序列任务上的优势[22]。因此，本课题会把 PatchTST 或 iTransformer 的 Gaussian 版本作为规则采样强基线，而不会把普通 Transformer 直接作为最终方法。</w:t>
            </w:r>
          </w:p>
          <w:p>
            <w:pPr>
              <w:spacing w:line="300" w:lineRule="auto"/>
              <w:ind w:firstLine="420"/>
            </w:pPr>
            <w:r>
              <w:rPr>
                <w:rFonts w:ascii="宋体" w:hAnsi="宋体" w:eastAsia="宋体"/>
                <w:b w:val="0"/>
                <w:sz w:val="21"/>
              </w:rPr>
              <w:t>缺失时间序列建模通常有两类处理方式。一类是先插补再预测，典型方法通过自注意力、双阶段结构或工具化流程恢复缺失观测；SAITS 和 PyPOTS 分别代表了自注意力插补模型和部分观测时间序列工具体系[23,24]。这类方法的优势在于接口清晰，能够为大量下游模型提供规整输入，也适合与传统预测模型组合。其局限在于，插补值会被下游模型当作可用观测，若缺失机制与设备状态相关，插补过程可能掩盖传感器离线、局部异常或通信中断本身携带的风险信息。基于这个判断，本研究不会把“插补后预测”作为主路线，而会保留其作为真实基线，用于检验异步感知模型是否在缺失条件下具有必要性。</w:t>
            </w:r>
          </w:p>
          <w:p>
            <w:pPr>
              <w:spacing w:line="300" w:lineRule="auto"/>
              <w:ind w:firstLine="420"/>
            </w:pPr>
            <w:r>
              <w:rPr>
                <w:rFonts w:ascii="宋体" w:hAnsi="宋体" w:eastAsia="宋体"/>
                <w:b w:val="0"/>
                <w:sz w:val="21"/>
              </w:rPr>
              <w:t>另一类方法直接建模不规则时间戳和部分观测。Graph-Guided Network 通过图结构处理不规则采样多元时间序列中的变量关系[25]；Neural Continuous-Discrete State Space Models 和 ODE-RSSM 从连续-离散状态空间角度学习不规则采样数据的潜在动态[26,27]；Temporal Graph ODEs 进一步将时间图结构与连续动态结合[28]；GraFITi 利用图思想面向不规则采样时间序列预测[29]；ProFITi 则使用条件流进行不规则时间序列概率预测，能够对查询点形成条件分布输出[30]。这些研究说明，异步观测不是普通缺失值处理的附属问题，而是需要在时间戳、变量关系和查询条件层面共同建模的问题。本课题计划把 GraFITi、ODE-RNN 或状态空间类模型纳入真实基线，并将 ProFITi 的条件 flow 思想作为联合概率预测头的重要来源。</w:t>
            </w:r>
          </w:p>
          <w:p>
            <w:pPr>
              <w:spacing w:line="300" w:lineRule="auto"/>
              <w:ind w:firstLine="420"/>
            </w:pPr>
            <w:r>
              <w:rPr>
                <w:rFonts w:ascii="宋体" w:hAnsi="宋体" w:eastAsia="宋体"/>
                <w:b w:val="0"/>
                <w:sz w:val="21"/>
              </w:rPr>
              <w:t>上述研究也揭示了不同路线的边界。图模型擅长表达变量关系，但在工业场景中图结构可能随工况、设备个体和故障阶段变化；连续时间 ODE/状态空间模型适合不规则采样，但训练稳定性、推理成本和多传感器联合输出维度会影响工程可复现性；先插补再预测的流程实现简单，却容易把缺失机制从建模目标中剥离。基于这些判断，本课题拟采用 KAFNet-ProFITi 的组合式方案：由 KAFNet 编码器侧重从异步历史观测中形成变量级规整表示，再由 ProFITi 条件流头对未来查询窗口的多传感器状态进行联合概率建模。该方案不是否定图模型、ODE 模型或插补模型，而是把它们放入统一实验矩阵中，用同一数据协议检验各自适用边界。</w:t>
            </w:r>
          </w:p>
          <w:p>
            <w:pPr>
              <w:spacing w:line="300" w:lineRule="auto"/>
              <w:ind w:firstLine="0"/>
            </w:pPr>
            <w:r>
              <w:rPr>
                <w:rFonts w:ascii="宋体" w:hAnsi="宋体" w:eastAsia="宋体"/>
                <w:b/>
                <w:sz w:val="21"/>
              </w:rPr>
              <w:t>1.2.3 概率预测、不确定性量化与风险评估研究</w:t>
            </w:r>
          </w:p>
          <w:p>
            <w:pPr>
              <w:spacing w:line="300" w:lineRule="auto"/>
              <w:ind w:firstLine="420"/>
            </w:pPr>
            <w:r>
              <w:rPr>
                <w:rFonts w:ascii="宋体" w:hAnsi="宋体" w:eastAsia="宋体"/>
                <w:b w:val="0"/>
                <w:sz w:val="21"/>
              </w:rPr>
              <w:t>工业设备风险评估需要概率输出，而不是只需要点预测。近年来，RUL 研究已经开始从误差指标扩展到不确定性量化。Bayesian adversarial probsparse Transformer 将贝叶斯思想和 Transformer 结构用于长时剩余寿命预测[31]，多退化指标随机相关研究把随机相关性纳入 RUL 建模[32]，广义扩散模型则从生成式概率模型角度刻画剩余寿命不确定性[33]。这些工作说明，预测分布可以为维护决策提供比单个均值更丰富的信息，包括区间宽度、置信程度和尾部风险。本课题选择概率状态预测，正是因为工业运维中的风险往往表现为“未来一段时间内超阈值概率升高”或“多变量组合状态偏离正常区域”，这类问题无法由 MAE 或 RMSE 单独回答。</w:t>
            </w:r>
          </w:p>
          <w:p>
            <w:pPr>
              <w:spacing w:line="300" w:lineRule="auto"/>
              <w:ind w:firstLine="420"/>
            </w:pPr>
            <w:r>
              <w:rPr>
                <w:rFonts w:ascii="宋体" w:hAnsi="宋体" w:eastAsia="宋体"/>
                <w:b w:val="0"/>
                <w:sz w:val="21"/>
              </w:rPr>
              <w:t>概率预测还必须关注校准。Conformal prediction 近年来被用于多步时序预测、预测区间校准和多维时间序列不确定性表达。Copula Conformal prediction 面向多步预测区间的联合校准[34]，Bellman Conformal Inference 讨论时间序列预测区间校准问题[35]，椭球集合方法关注多维时间序列的预测集合表达[36]，带语义特征的 conformalized time series 方法把语义信息引入时间序列校准[37]，面向概率机器学习的 conformal 不确定性量化研究也强调校准输出对实际应用的重要性[38]。这些研究给本课题的指标设计提供了依据：除了 MAE、RMSE、NLL 和 CRPS，还需要报告 PICP、MPIW、ECE、Reliability Curve 等校准与区间指标。只有当预测区间覆盖率、区间宽度和风险概率校准共同可接受时，概率预测结果才可能进一步用于工业风险评估。</w:t>
            </w:r>
          </w:p>
          <w:p>
            <w:pPr>
              <w:spacing w:line="300" w:lineRule="auto"/>
              <w:ind w:firstLine="420"/>
            </w:pPr>
            <w:r>
              <w:rPr>
                <w:rFonts w:ascii="宋体" w:hAnsi="宋体" w:eastAsia="宋体"/>
                <w:b w:val="0"/>
                <w:sz w:val="21"/>
              </w:rPr>
              <w:t>模型选择同样需要实证约束。时间反向模型选择研究表明，预测模型评价不应只依赖单一训练设置或单次结果[39]；PSO 优化多层 LSTM 与多源信息融合研究说明，传统深度时序模型经过调参与融合后仍可形成有竞争力的工业基线[40]；KAN 提出的可学习函数表示思想为非线性表达能力提供了新的网络结构参考[41]。这些文献提示，本课题不能只报告一个融合模型的单 seed 数值。开题后的实验应包括真实基线、消融变体、多随机种子、缺失率鲁棒性和效率分析，并将结果以 mean ± std 的形式报告。KAFNet-ProFITi 只有在统一数据协议下同时改善概率质量、风险可用性和缺失鲁棒性，才能被视为相对于基线具有研究价值。</w:t>
            </w:r>
          </w:p>
          <w:p>
            <w:pPr>
              <w:spacing w:line="300" w:lineRule="auto"/>
              <w:ind w:firstLine="0"/>
            </w:pPr>
            <w:r>
              <w:rPr>
                <w:rFonts w:ascii="宋体" w:hAnsi="宋体" w:eastAsia="宋体"/>
                <w:b/>
                <w:sz w:val="21"/>
              </w:rPr>
              <w:t>1.3 研究述评</w:t>
            </w:r>
          </w:p>
          <w:p>
            <w:pPr>
              <w:spacing w:line="300" w:lineRule="auto"/>
              <w:ind w:firstLine="420"/>
            </w:pPr>
            <w:r>
              <w:rPr>
                <w:rFonts w:ascii="宋体" w:hAnsi="宋体" w:eastAsia="宋体"/>
                <w:b w:val="0"/>
                <w:sz w:val="21"/>
              </w:rPr>
              <w:t>从现有研究看，工业设备状态预测已经从单变量寿命回归走向多传感器融合、随机退化建模和不确定性表达，但仍有三个问题没有在同一框架下得到充分解决。其一，许多工业 RUL 或故障诊断模型默认输入经过规则化处理，对传感器异步采样、连续离线和缺失机制的建模不足。若直接把缺失数据补齐，模型可能获得形式完整的输入，却失去对“何时没有观测、哪个通道长期缺失、缺失是否与风险相关”的刻画能力。</w:t>
            </w:r>
          </w:p>
          <w:p>
            <w:pPr>
              <w:spacing w:line="300" w:lineRule="auto"/>
              <w:ind w:firstLine="420"/>
            </w:pPr>
            <w:r>
              <w:rPr>
                <w:rFonts w:ascii="宋体" w:hAnsi="宋体" w:eastAsia="宋体"/>
                <w:b w:val="0"/>
                <w:sz w:val="21"/>
              </w:rPr>
              <w:t>其二，现有深度时间序列预测模型在规则采样场景中发展较快，但普通 Transformer、卷积或线性模型主要优化点预测误差，不一定适合工业异步多传感器联合风险问题。它们可以作为强基线，却难以单独解释未来多变量分布、变量间相关结构和传感器缺失条件下的不确定性变化。图模型和连续时间模型能处理一部分异步问题，但也存在图结构设定、训练稳定性、计算成本和联合概率输出形式方面的限制。</w:t>
            </w:r>
          </w:p>
          <w:p>
            <w:pPr>
              <w:spacing w:line="300" w:lineRule="auto"/>
              <w:ind w:firstLine="420"/>
            </w:pPr>
            <w:r>
              <w:rPr>
                <w:rFonts w:ascii="宋体" w:hAnsi="宋体" w:eastAsia="宋体"/>
                <w:b w:val="0"/>
                <w:sz w:val="21"/>
              </w:rPr>
              <w:t>其三，工业风险评估对模型输出提出了更高要求。预测误差较低并不等于风险概率可信，风险分类 AUROC 较高也不等于预警提前量满足运维需求。开题后需要建立从未来状态分布到风险评分的统一实验协议，把 MAE、RMSE、NLL、CRPS、PICP、ECE、AUROC、AUPRC、F1 和 lead time 放在同一评价框架中分析。基于上述不足，本研究拟围绕工业设备异步多传感器数据，探索一种兼顾规整表示、联合概率预测和风险评估的 KAFNet-ProFITi 方法，并通过真实基线、消融实验和多 seed 计划验证其可行性。</w:t>
            </w:r>
          </w:p>
        </w:tc>
      </w:tr>
      <w:tr w14:paraId="0C3A247D">
        <w:trPr>
          <w:trHeight w:val="3884" w:hRule="atLeast"/>
        </w:trPr>
        <w:tc>
          <w:tcPr>
            <w:tcW w:w="9030" w:type="dxa"/>
            <w:gridSpan w:val="7"/>
            <w:tcBorders>
              <w:bottom w:val="single" w:color="auto" w:sz="4" w:space="0"/>
            </w:tcBorders>
          </w:tcPr>
          <w:p>
            <w:pPr>
              <w:spacing w:line="300" w:lineRule="auto"/>
              <w:ind w:firstLine="0"/>
            </w:pPr>
            <w:r/>
            <w:r>
              <w:rPr>
                <w:rFonts w:ascii="宋体" w:hAnsi="宋体" w:eastAsia="宋体"/>
                <w:b/>
                <w:sz w:val="22"/>
              </w:rPr>
              <w:t>2．选题的理论意义、实践价值</w:t>
            </w:r>
          </w:p>
          <w:p>
            <w:pPr>
              <w:spacing w:line="300" w:lineRule="auto"/>
              <w:ind w:firstLine="0"/>
            </w:pPr>
            <w:r>
              <w:rPr>
                <w:rFonts w:ascii="宋体" w:hAnsi="宋体" w:eastAsia="宋体"/>
                <w:b/>
                <w:sz w:val="21"/>
              </w:rPr>
              <w:t>2.1 理论意义</w:t>
            </w:r>
          </w:p>
          <w:p>
            <w:pPr>
              <w:spacing w:line="300" w:lineRule="auto"/>
              <w:ind w:firstLine="420"/>
            </w:pPr>
            <w:r>
              <w:rPr>
                <w:rFonts w:ascii="宋体" w:hAnsi="宋体" w:eastAsia="宋体"/>
                <w:b w:val="0"/>
                <w:sz w:val="21"/>
              </w:rPr>
              <w:t>本研究的理论意义体现在对工业异步多传感器状态预测问题的重新组织。传统点预测把未来状态视为确定值，适合评价平均误差，却难以解释未来状态的不确定范围；传统多传感器融合把多个传感器作为输入特征，常把输出退化为单个 RUL 或故障标签，容易忽略未来传感器状态之间的联合关系。本课题把工业设备历史观测、未来多传感器查询和风险评估放入一个概率预测框架中，尝试从“给定异步历史观测，预测未来查询窗口联合分布”的角度刻画状态演化。这一设定有助于把不规则时间序列建模、联合分布学习和工业风险评估联系起来。</w:t>
            </w:r>
          </w:p>
          <w:p>
            <w:pPr>
              <w:spacing w:line="300" w:lineRule="auto"/>
              <w:ind w:firstLine="420"/>
            </w:pPr>
            <w:r>
              <w:rPr>
                <w:rFonts w:ascii="宋体" w:hAnsi="宋体" w:eastAsia="宋体"/>
                <w:b w:val="0"/>
                <w:sz w:val="21"/>
              </w:rPr>
              <w:t>在异步缺失建模方面，本研究拟把时间间隔、观测掩码、通道身份和工况信息作为模型输入的一部分，而不是只在预处理阶段消除缺失。这样做可以让模型区分真实观测值、缺失填充值和连续离线状态，使“观测过程”参与表示学习。该思路能够补充先插补再预测流程的不足，也能为比较插补模型、连续时间模型、图模型和条件流模型提供统一实验口径。理论上，它有助于回答一个更细的问题：在工业状态预测中，缺失模式究竟只是数据噪声，还是与设备状态和风险演化相关的信息源。</w:t>
            </w:r>
          </w:p>
          <w:p>
            <w:pPr>
              <w:spacing w:line="300" w:lineRule="auto"/>
              <w:ind w:firstLine="420"/>
            </w:pPr>
            <w:r>
              <w:rPr>
                <w:rFonts w:ascii="宋体" w:hAnsi="宋体" w:eastAsia="宋体"/>
                <w:b w:val="0"/>
                <w:sz w:val="21"/>
              </w:rPr>
              <w:t>在联合概率预测方面，本研究拟用条件 flow 对未来多传感器状态进行建模。相比独立 Gaussian 输出，联合概率模型能够表达变量间相关结构；相比单纯点预测，概率模型能够输出 NLL、CRPS、预测区间和采样分布；相比后验校准方法，条件 flow 可以在训练阶段直接学习给定历史和查询条件下的分布形状。研究过程中将通过 KAFNet + Gaussian Head、KAFNet + Marginal Flow、KAFNet + Joint Flow 等消融变体，计划验证 flow、联合建模和查询条件适配各自对概率质量与风险指标的贡献。</w:t>
            </w:r>
          </w:p>
          <w:p>
            <w:pPr>
              <w:spacing w:line="300" w:lineRule="auto"/>
              <w:ind w:firstLine="420"/>
            </w:pPr>
            <w:r>
              <w:rPr>
                <w:rFonts w:ascii="宋体" w:hAnsi="宋体" w:eastAsia="宋体"/>
                <w:b w:val="0"/>
                <w:sz w:val="21"/>
              </w:rPr>
              <w:t>在风险评估方面，本研究拟把预测分布样本转化为阈值越界概率、预警分数和校准指标。这样可以避免把风险评估简化为一个独立分类器，也能分析预测不确定性与风险判别之间的关系。若未来实验显示模型在 PICP、ECE 和 lead time 上更稳定，则可说明概率预测不仅提供误差改进，还可能提供更可用的工业风险信号；若实验结果不支持该判断，也能通过统一表格定位问题出在预测分布、风险标签还是校准环节。这样的研究设计有利于形成可检验、可复现的理论链条。</w:t>
            </w:r>
          </w:p>
          <w:p>
            <w:pPr>
              <w:spacing w:line="300" w:lineRule="auto"/>
              <w:ind w:firstLine="0"/>
            </w:pPr>
            <w:r>
              <w:rPr>
                <w:rFonts w:ascii="宋体" w:hAnsi="宋体" w:eastAsia="宋体"/>
                <w:b/>
                <w:sz w:val="21"/>
              </w:rPr>
              <w:t>2.2 实践价值</w:t>
            </w:r>
          </w:p>
          <w:p>
            <w:pPr>
              <w:spacing w:line="300" w:lineRule="auto"/>
              <w:ind w:firstLine="420"/>
            </w:pPr>
            <w:r>
              <w:rPr>
                <w:rFonts w:ascii="宋体" w:hAnsi="宋体" w:eastAsia="宋体"/>
                <w:b w:val="0"/>
                <w:sz w:val="21"/>
              </w:rPr>
              <w:t>本研究面向的场景包括空气压缩机、航空发动机、液压系统和过程工业装置等典型设备。此类设备一旦进入异常状态，维修成本、停机损失和安全风险会随时间积累。传统定期维护容易造成过度维修或漏检，故障后维修又难以及时避免生产损失。基于多传感器状态预测的风险评估，可以在故障前形成预警依据，为维护排程、备件准备和运行策略调整提供数据支撑。</w:t>
            </w:r>
          </w:p>
          <w:p>
            <w:pPr>
              <w:spacing w:line="300" w:lineRule="auto"/>
              <w:ind w:firstLine="420"/>
            </w:pPr>
            <w:r>
              <w:rPr>
                <w:rFonts w:ascii="宋体" w:hAnsi="宋体" w:eastAsia="宋体"/>
                <w:b w:val="0"/>
                <w:sz w:val="21"/>
              </w:rPr>
              <w:t>实践应用中，模型必须适应数据不完美条件。工业现场很少长期保持所有传感器同步、完整、稳定运行，采样周期改变、局部缺失和传感器异常是常见情况。本课题计划在主实验中构造随机缺失、通道级降采样和连续离线三类异步缺失机制，并在 0%、10%、30%、50%、70% 缺失率下进行鲁棒性比较。这样得到的结论比只在完整数据上比较误差更贴近真实应用，也能为部署时的传感器冗余设计和最低数据质量要求提供依据。</w:t>
            </w:r>
          </w:p>
          <w:p>
            <w:pPr>
              <w:spacing w:line="300" w:lineRule="auto"/>
              <w:ind w:firstLine="420"/>
            </w:pPr>
            <w:r>
              <w:rPr>
                <w:rFonts w:ascii="宋体" w:hAnsi="宋体" w:eastAsia="宋体"/>
                <w:b w:val="0"/>
                <w:sz w:val="21"/>
              </w:rPr>
              <w:t>本研究还重视输出可解释性和工程可复现性。风险评分将由预测样本、阈值规则和故障窗口共同计算，而不是仅由模型内部隐变量给出。C-MAPSS 中可根据 RUL 阈值构造风险状态，MetroPT-3 中可根据故障报告窗口构造预警标签；两类数据集的风险标签口径不同，报告中将分别说明，不混用同一阈值解释不同设备。代码仓库层面，实验将保存配置、划分、缺失 mask、预测样本和指标表，并通过一键脚本运行模型矩阵，便于后续在服务器上复现实验。对硕士论文而言，这种可追溯实验流程比单次结果更能支撑研究可信度。</w:t>
            </w:r>
          </w:p>
        </w:tc>
      </w:tr>
      <w:tr w14:paraId="3700AE0A">
        <w:trPr>
          <w:trHeight w:val="274" w:hRule="atLeast"/>
        </w:trPr>
        <w:tc>
          <w:tcPr>
            <w:tcW w:w="9030" w:type="dxa"/>
            <w:gridSpan w:val="7"/>
          </w:tcPr>
          <w:p>
            <w:pPr>
              <w:spacing w:line="300" w:lineRule="auto"/>
              <w:ind w:firstLine="0"/>
            </w:pPr>
            <w:r/>
            <w:r>
              <w:rPr>
                <w:rFonts w:ascii="宋体" w:hAnsi="宋体" w:eastAsia="宋体"/>
                <w:b/>
                <w:sz w:val="22"/>
              </w:rPr>
              <w:t>3．选题研究的基本内容、结构框架、创新之处</w:t>
            </w:r>
          </w:p>
          <w:p>
            <w:pPr>
              <w:spacing w:line="300" w:lineRule="auto"/>
              <w:ind w:firstLine="0"/>
            </w:pPr>
            <w:r>
              <w:rPr>
                <w:rFonts w:ascii="宋体" w:hAnsi="宋体" w:eastAsia="宋体"/>
                <w:b/>
                <w:sz w:val="21"/>
              </w:rPr>
              <w:t>3.1 基本内容</w:t>
            </w:r>
          </w:p>
          <w:p>
            <w:pPr>
              <w:spacing w:line="300" w:lineRule="auto"/>
              <w:ind w:firstLine="420"/>
            </w:pPr>
            <w:r>
              <w:rPr>
                <w:rFonts w:ascii="宋体" w:hAnsi="宋体" w:eastAsia="宋体"/>
                <w:b w:val="0"/>
                <w:sz w:val="21"/>
              </w:rPr>
              <w:t>本研究围绕“工业设备异步多传感器的概率状态预测与风险评估”展开。研究对象是带有时间戳、通道标识、观测掩码和工况信息的多源传感器序列；研究目标是在给定历史异步观测的条件下，预测未来窗口内多传感器状态的联合概率分布，并进一步计算设备风险分数、预测区间和预警指标。整体工作分为数据协议、模型方法和实验评估三部分。</w:t>
            </w:r>
          </w:p>
          <w:p>
            <w:pPr>
              <w:spacing w:line="300" w:lineRule="auto"/>
              <w:ind w:firstLine="420"/>
            </w:pPr>
            <w:r>
              <w:rPr>
                <w:rFonts w:ascii="宋体" w:hAnsi="宋体" w:eastAsia="宋体"/>
                <w:b w:val="0"/>
                <w:sz w:val="21"/>
              </w:rPr>
              <w:t>数据协议部分拟建立统一的工业事件序列表示。每条样本包含设备标识、时间戳、传感器通道、观测值、观测掩码和可选工况信息，并在模型输入前转换为密集张量与事件序列两种形式。密集张量用于 KAFNet 编码器学习历史窗口内的变量级表示，事件序列用于保留时间戳和查询项信息。训练、验证和测试划分遵循先按设备或时间划分、再生成滑动窗口的原则，归一化统计量只从训练集估计，缺失 mask 保存为独立文件，保证不同模型使用同一观测条件。</w:t>
            </w:r>
          </w:p>
          <w:p>
            <w:pPr>
              <w:spacing w:line="300" w:lineRule="auto"/>
              <w:ind w:firstLine="420"/>
            </w:pPr>
            <w:r>
              <w:rPr>
                <w:rFonts w:ascii="宋体" w:hAnsi="宋体" w:eastAsia="宋体"/>
                <w:b w:val="0"/>
                <w:sz w:val="21"/>
              </w:rPr>
              <w:t>模型方法部分拟构建 KAFNet-ProFITi 联合概率预测框架。KAFNetEncoder 负责从历史异步多传感器观测中提取变量级规整表示，QueryConditionAdapter 将变量表示、查询时间、通道身份和工况信息映射为查询项级条件隐状态，ProFITiFlowHead 在该条件下学习未来多传感器状态的联合分布。模型输出包括预测均值、采样分布、预测区间和联合负对数似然。为了区分各模块作用，实验中将设置 KAFNet 点预测、KAFNet + Gaussian Head、KAFNet + Marginal Flow、KAFNet + Joint Flow、去除工况上下文等消融变体。</w:t>
            </w:r>
          </w:p>
          <w:p>
            <w:pPr>
              <w:spacing w:line="300" w:lineRule="auto"/>
              <w:ind w:firstLine="420"/>
            </w:pPr>
            <w:r>
              <w:rPr>
                <w:rFonts w:ascii="宋体" w:hAnsi="宋体" w:eastAsia="宋体"/>
                <w:b w:val="0"/>
                <w:sz w:val="21"/>
              </w:rPr>
              <w:t>实验评估部分拟建立统一对比矩阵。主数据集为 C-MAPSS FD001 和 MetroPT-3，C-MAPSS FD002-FD004 用于扩展退化工况验证，Tennessee Eastman Process 作为过程工业扩展数据集，是否纳入主表以数据完整性和运行时间为准。主基线包括 TCN-Gaussian、GRU-D、ODE-RNN 或 Latent ODE、mTAN、PatchTST-Gaussian 或 iTransformer-Gaussian、GraFITi、ProFITi 等。评价指标覆盖点预测、概率预测、区间预测、校准、风险识别和效率。所有关键结果计划用 2026、2027、2028 三个随机种子汇总为 mean ± std。</w:t>
            </w:r>
          </w:p>
          <w:p>
            <w:pPr>
              <w:spacing w:line="300" w:lineRule="auto"/>
              <w:ind w:firstLine="0"/>
            </w:pPr>
            <w:r>
              <w:rPr>
                <w:rFonts w:ascii="宋体" w:hAnsi="宋体" w:eastAsia="宋体"/>
                <w:b/>
                <w:sz w:val="21"/>
              </w:rPr>
              <w:t>3.2 结构框架</w:t>
            </w:r>
          </w:p>
          <w:p>
            <w:pPr>
              <w:spacing w:line="300" w:lineRule="auto"/>
              <w:ind w:firstLine="420"/>
            </w:pPr>
            <w:r>
              <w:rPr>
                <w:rFonts w:ascii="宋体" w:hAnsi="宋体" w:eastAsia="宋体"/>
                <w:b w:val="0"/>
                <w:sz w:val="21"/>
              </w:rPr>
              <w:t>论文拟设置六章。第 1 章为绪论，说明工业设备状态预测的研究背景、国内外研究现状、研究问题和主要创新。该章将重点完成从工业需求到异步多传感器概率预测问题的逻辑收束，明确本研究不是一般时间序列预测，而是面向预测性维护和风险评估的工业状态建模。</w:t>
            </w:r>
          </w:p>
          <w:p>
            <w:pPr>
              <w:spacing w:line="300" w:lineRule="auto"/>
              <w:ind w:firstLine="420"/>
            </w:pPr>
            <w:r>
              <w:rPr>
                <w:rFonts w:ascii="宋体" w:hAnsi="宋体" w:eastAsia="宋体"/>
                <w:b w:val="0"/>
                <w:sz w:val="21"/>
              </w:rPr>
              <w:t>第 2 章为相关理论与技术基础，介绍多元时间序列预测、不规则时间序列建模、缺失观测处理、概率预测、条件 normalizing flow、预测区间校准和风险评估指标。该章将说明 MAE、RMSE、NLL、CRPS、PICP、MPIW、ECE、AUROC、AUPRC、F1 和 lead time 的含义及适用边界，为后续实验评价提供统一口径。</w:t>
            </w:r>
          </w:p>
          <w:p>
            <w:pPr>
              <w:spacing w:line="300" w:lineRule="auto"/>
              <w:ind w:firstLine="420"/>
            </w:pPr>
            <w:r>
              <w:rPr>
                <w:rFonts w:ascii="宋体" w:hAnsi="宋体" w:eastAsia="宋体"/>
                <w:b w:val="0"/>
                <w:sz w:val="21"/>
              </w:rPr>
              <w:t>第 3 章为工业异步多传感器数据协议与风险标签构造，给出 C-MAPSS、MetroPT-3 和扩展数据集的读取、划分、归一化、窗口生成和缺失模拟方法。该章会重点说明 C-MAPSS 按 engine id 划分、MetroPT-3 按时间和故障报告构造预警窗口、缺失 mask 在不同模型间共享，以及 train-only 归一化如何避免测试信息泄漏。</w:t>
            </w:r>
          </w:p>
          <w:p>
            <w:pPr>
              <w:spacing w:line="300" w:lineRule="auto"/>
              <w:ind w:firstLine="420"/>
            </w:pPr>
            <w:r>
              <w:rPr>
                <w:rFonts w:ascii="宋体" w:hAnsi="宋体" w:eastAsia="宋体"/>
                <w:b w:val="0"/>
                <w:sz w:val="21"/>
              </w:rPr>
              <w:t>第 4 章为 KAFNet-ProFITi 概率状态预测方法，围绕历史异步观测编码、查询条件适配、联合 flow 预测头和训练目标展开。该章对应论文的核心方法创新，计划通过 KAFNet-Gaussian、marginal flow、joint flow、去除上下文等消融实验检验各模块必要性。</w:t>
            </w:r>
          </w:p>
          <w:p>
            <w:pPr>
              <w:spacing w:line="300" w:lineRule="auto"/>
              <w:ind w:firstLine="420"/>
            </w:pPr>
            <w:r>
              <w:rPr>
                <w:rFonts w:ascii="宋体" w:hAnsi="宋体" w:eastAsia="宋体"/>
                <w:b w:val="0"/>
                <w:sz w:val="21"/>
              </w:rPr>
              <w:t>第 5 章为风险评估、缺失鲁棒性与统一对比实验。该章承接第 4 章的概率预测输出，将预测样本转化为风险分数和预警指标，比较真实基线、消融模型和最终模型在不同缺失率、不同随机种子和不同数据集上的表现。该章只在全量实验完成后写入结果结论，开题阶段仅写计划验证路径。</w:t>
            </w:r>
          </w:p>
          <w:p>
            <w:pPr>
              <w:spacing w:line="300" w:lineRule="auto"/>
              <w:ind w:firstLine="420"/>
            </w:pPr>
            <w:r>
              <w:rPr>
                <w:rFonts w:ascii="宋体" w:hAnsi="宋体" w:eastAsia="宋体"/>
                <w:b w:val="0"/>
                <w:sz w:val="21"/>
              </w:rPr>
              <w:t>第 6 章为总结与展望，归纳研究工作、实验发现、局限和后续改进方向。可能的局限包括数据集故障标签口径不完全一致、TEP 扩展数据完整性限制、联合 flow 训练成本和工业场景外部验证不足。该章将避免把公开数据集结果直接泛化为所有工业设备场景。</w:t>
            </w:r>
          </w:p>
          <w:p>
            <w:pPr>
              <w:spacing w:line="300" w:lineRule="auto"/>
              <w:ind w:firstLine="0"/>
            </w:pPr>
            <w:r>
              <w:rPr>
                <w:rFonts w:ascii="宋体" w:hAnsi="宋体" w:eastAsia="宋体"/>
                <w:b/>
                <w:sz w:val="21"/>
              </w:rPr>
              <w:t>3.3 创新之处</w:t>
            </w:r>
          </w:p>
          <w:p>
            <w:pPr>
              <w:spacing w:line="300" w:lineRule="auto"/>
              <w:ind w:firstLine="420"/>
            </w:pPr>
            <w:r>
              <w:rPr>
                <w:rFonts w:ascii="宋体" w:hAnsi="宋体" w:eastAsia="宋体"/>
                <w:b w:val="0"/>
                <w:sz w:val="21"/>
              </w:rPr>
              <w:t>本研究拟形成三点创新。第一，面向工业设备异步多传感器观测，构建兼顾时间间隔、观测掩码、通道身份和工况信息的统一数据协议与规整表示方法。该设计把异步缺失从预处理问题提升为建模对象，计划通过统一缺失 mask、多缺失率鲁棒性和真实基线比较，验证其对工业状态预测的必要性。</w:t>
            </w:r>
          </w:p>
          <w:p>
            <w:pPr>
              <w:spacing w:line="300" w:lineRule="auto"/>
              <w:ind w:firstLine="420"/>
            </w:pPr>
            <w:r>
              <w:rPr>
                <w:rFonts w:ascii="宋体" w:hAnsi="宋体" w:eastAsia="宋体"/>
                <w:b w:val="0"/>
                <w:sz w:val="21"/>
              </w:rPr>
              <w:t>第二，将 KAFNet 的非线性时序表示能力与 ProFITi 的查询条件化概率预测框架结合，构建适用于未来多传感器状态联合分布建模的 KAFNet-ProFITi 方法。该方法不采用“KAFNet 点预测后再送入 ProFITi”的串联方式，而是把 KAFNet 改造为条件编码器，把 ProFITi flow 作为联合概率输出头，从而减少点预测中间结果对不确定性的压缩。</w:t>
            </w:r>
          </w:p>
          <w:p>
            <w:pPr>
              <w:spacing w:line="300" w:lineRule="auto"/>
              <w:ind w:firstLine="420"/>
            </w:pPr>
            <w:r>
              <w:rPr>
                <w:rFonts w:ascii="宋体" w:hAnsi="宋体" w:eastAsia="宋体"/>
                <w:b w:val="0"/>
                <w:sz w:val="21"/>
              </w:rPr>
              <w:t>第三，围绕工业设备风险评估需求，设计从预测分布样本到风险分数、阈值预警、校准评价和缺失鲁棒性分析的实验协议。该协议把预测误差、概率质量和风险可用性放入同一评价体系，计划通过多 seed、真实基线、消融实验和缺失率扫描检验方法边界，避免只凭单次误差指标判断方法优劣。</w:t>
            </w:r>
          </w:p>
        </w:tc>
      </w:tr>
      <w:tr w14:paraId="6AAEEDD8">
        <w:trPr>
          <w:trHeight w:val="3491" w:hRule="atLeast"/>
        </w:trPr>
        <w:tc>
          <w:tcPr>
            <w:tcW w:w="9030" w:type="dxa"/>
            <w:gridSpan w:val="7"/>
          </w:tcPr>
          <w:p>
            <w:pPr>
              <w:spacing w:line="300" w:lineRule="auto"/>
              <w:ind w:firstLine="0"/>
            </w:pPr>
            <w:r/>
            <w:r>
              <w:rPr>
                <w:rFonts w:ascii="宋体" w:hAnsi="宋体" w:eastAsia="宋体"/>
                <w:b/>
                <w:sz w:val="22"/>
              </w:rPr>
              <w:t>4．选题研究可行性分析（包括进度计划、预期成果）</w:t>
            </w:r>
          </w:p>
          <w:p>
            <w:pPr>
              <w:spacing w:line="300" w:lineRule="auto"/>
              <w:ind w:firstLine="0"/>
            </w:pPr>
            <w:r>
              <w:rPr>
                <w:rFonts w:ascii="宋体" w:hAnsi="宋体" w:eastAsia="宋体"/>
                <w:b/>
                <w:sz w:val="21"/>
              </w:rPr>
              <w:t>4.1 数据与平台可行性</w:t>
            </w:r>
          </w:p>
          <w:p>
            <w:pPr>
              <w:spacing w:line="300" w:lineRule="auto"/>
              <w:ind w:firstLine="420"/>
            </w:pPr>
            <w:r>
              <w:rPr>
                <w:rFonts w:ascii="宋体" w:hAnsi="宋体" w:eastAsia="宋体"/>
                <w:b w:val="0"/>
                <w:sz w:val="21"/>
              </w:rPr>
              <w:t>本课题已整理 C-MAPSS 和 MetroPT-3 数据，并在本地仓库中完成基础数据读取与小规模验证。C-MAPSS 具有明确的发动机编号、运行周期、传感器变量和 RUL 文件，适合按照 engine id 划分训练、验证和测试集，并通过 RUL 阈值构造风险状态。MetroPT-3 记录空气压缩机运行过程中的压力、油温、电流和阀门等信号，贴近工业设备预测性维护场景，可结合故障报告构造预警窗口。TEP 作为扩展数据集能够覆盖过程工业变量预测和故障风险分析，但开题阶段不将其作为必须完成的主实验，待数据版本和故障注入点确认后再纳入扩展表。</w:t>
            </w:r>
          </w:p>
          <w:p>
            <w:pPr>
              <w:spacing w:line="300" w:lineRule="auto"/>
              <w:ind w:firstLine="420"/>
            </w:pPr>
            <w:r>
              <w:rPr>
                <w:rFonts w:ascii="宋体" w:hAnsi="宋体" w:eastAsia="宋体"/>
                <w:b w:val="0"/>
                <w:sz w:val="21"/>
              </w:rPr>
              <w:t>计算平台方面，当前本地环境已使用 conda 建立独立实验环境，代码基于 PyTorch 组织，能够运行 KAFNet-ProFITi 原型和小规模实验。后续全量实验将在服务器环境中执行，仓库已准备一键实验脚本和统一结果目录，便于服务器拉取代码后按配置运行。由于主实验涉及多模型、多缺失率和多随机种子，本地主要承担代码正确性、数据接口和小规模冒烟验证，服务器承担完整实验矩阵训练。</w:t>
            </w:r>
          </w:p>
          <w:p>
            <w:pPr>
              <w:spacing w:line="300" w:lineRule="auto"/>
              <w:ind w:firstLine="0"/>
            </w:pPr>
            <w:r>
              <w:rPr>
                <w:rFonts w:ascii="宋体" w:hAnsi="宋体" w:eastAsia="宋体"/>
                <w:b/>
                <w:sz w:val="21"/>
              </w:rPr>
              <w:t>4.2 方法与代码可行性</w:t>
            </w:r>
          </w:p>
          <w:p>
            <w:pPr>
              <w:spacing w:line="300" w:lineRule="auto"/>
              <w:ind w:firstLine="420"/>
            </w:pPr>
            <w:r>
              <w:rPr>
                <w:rFonts w:ascii="宋体" w:hAnsi="宋体" w:eastAsia="宋体"/>
                <w:b w:val="0"/>
                <w:sz w:val="21"/>
              </w:rPr>
              <w:t>方法层面，KAFNet-ProFITi 的融合具有明确接口。KAFNetEncoder 接收历史观测值、时间戳和掩码，输出变量级隐表示；QueryConditionAdapter 根据未来查询时间和通道标识生成查询级条件；ProFITiFlowHead 对展平后的未来多传感器目标计算联合 NLL、采样分布和概率指标。该接口避免了点预测串联的缺陷，也能自然设置 Gaussian、marginal flow 和 joint flow 消融。</w:t>
            </w:r>
          </w:p>
          <w:p>
            <w:pPr>
              <w:spacing w:line="300" w:lineRule="auto"/>
              <w:ind w:firstLine="420"/>
            </w:pPr>
            <w:r>
              <w:rPr>
                <w:rFonts w:ascii="宋体" w:hAnsi="宋体" w:eastAsia="宋体"/>
                <w:b w:val="0"/>
                <w:sz w:val="21"/>
              </w:rPr>
              <w:t>代码层面，当前仓库已包含 C-MAPSS 与 MetroPT-3 数据适配、模型组件、风险指标、实验矩阵脚本和测试文件。已有单 seed 小规模结果只能说明训练流程能够跑通，不能写成最终性能结论。后续需要补齐真实基线实现、统一 mask 文件保存、结果表构建、多 seed 汇总和统计检验。该工作量较大，但模块边界清楚，适合按“数据协议—模型变体—基线—表格—图形”的顺序推进。</w:t>
            </w:r>
          </w:p>
          <w:p>
            <w:pPr>
              <w:spacing w:line="300" w:lineRule="auto"/>
              <w:ind w:firstLine="0"/>
            </w:pPr>
            <w:r>
              <w:rPr>
                <w:rFonts w:ascii="宋体" w:hAnsi="宋体" w:eastAsia="宋体"/>
                <w:b/>
                <w:sz w:val="21"/>
              </w:rPr>
              <w:t>4.3 实验方案与计划验证</w:t>
            </w:r>
          </w:p>
          <w:p>
            <w:pPr>
              <w:spacing w:line="300" w:lineRule="auto"/>
              <w:ind w:firstLine="420"/>
            </w:pPr>
            <w:r>
              <w:rPr>
                <w:rFonts w:ascii="宋体" w:hAnsi="宋体" w:eastAsia="宋体"/>
                <w:b w:val="0"/>
                <w:sz w:val="21"/>
              </w:rPr>
              <w:t>开题后的主实验将围绕三个问题展开。问题一是 KAFNet-ProFITi 在异步缺失多传感器未来状态预测中是否具有可行性。对应实验为主预测表，在 C-MAPSS FD001 和 MetroPT-3 上比较 TCN-Gaussian、GRU-D、ODE-RNN 或 Latent ODE、mTAN、PatchTST-Gaussian 或 iTransformer-Gaussian、GraFITi、ProFITi、KAFNet-Gaussian 和 KAFNet-ProFITi。评价指标为 MAE、RMSE、NLL、CRPS、PICP、MPIW 和 ECE。该实验计划验证最终模型在点误差、概率质量和校准指标上的综合表现，而不是只看一个误差指标。</w:t>
            </w:r>
          </w:p>
          <w:p>
            <w:pPr>
              <w:spacing w:line="300" w:lineRule="auto"/>
              <w:ind w:firstLine="420"/>
            </w:pPr>
            <w:r>
              <w:rPr>
                <w:rFonts w:ascii="宋体" w:hAnsi="宋体" w:eastAsia="宋体"/>
                <w:b w:val="0"/>
                <w:sz w:val="21"/>
              </w:rPr>
              <w:t>问题二是融合结构中的各部分是否必要。对应实验为消融表，比较 KAFNet 点预测、KAFNet + Gaussian Head、KAFNet + ProFITi Marginal Flow、KAFNet + ProFITi Joint Flow、KAFNet-ProFITi Joint w/o context 等变体。若 joint flow 相比 marginal flow 在 NLL、CRPS 或风险指标上更稳定，才能说明联合分布建模有贡献；若去除上下文后性能变化有限，则需要在论文中如实讨论工况信息的作用边界。消融实验的目的不是预设所有模块都有效，而是用受控实验判断哪些设计真正有必要。</w:t>
            </w:r>
          </w:p>
          <w:p>
            <w:pPr>
              <w:spacing w:line="300" w:lineRule="auto"/>
              <w:ind w:firstLine="420"/>
            </w:pPr>
            <w:r>
              <w:rPr>
                <w:rFonts w:ascii="宋体" w:hAnsi="宋体" w:eastAsia="宋体"/>
                <w:b w:val="0"/>
                <w:sz w:val="21"/>
              </w:rPr>
              <w:t>问题三是概率预测结果能否转化为可用风险信号。C-MAPSS 将根据 RUL 小于给定阈值构造风险标签，MetroPT-3 将根据故障报告窗口构造预警标签。风险评分可由预测样本的阈值越界概率、未来状态偏离正常范围的概率或风险头输出计算。评价指标包括 AUROC、AUPRC、F1、ECE 和 lead time。若数据集标签不足以支持某项风险指标，该指标将标记为不可用，不用空缺指标支撑结论。</w:t>
            </w:r>
          </w:p>
          <w:p>
            <w:pPr>
              <w:spacing w:line="300" w:lineRule="auto"/>
              <w:ind w:firstLine="420"/>
            </w:pPr>
            <w:r>
              <w:rPr>
                <w:rFonts w:ascii="宋体" w:hAnsi="宋体" w:eastAsia="宋体"/>
                <w:b w:val="0"/>
                <w:sz w:val="21"/>
              </w:rPr>
              <w:t>缺失鲁棒性实验将设置 0%、10%、30%、50%、70% 五个缺失率，并统一保存随机缺失、通道级降采样和连续离线 mask。多 seed 设置为 2026、2027、2028，核心结果报告 mean ± std。效率评估记录参数量、训练时间、每 batch 推理时间和显存占用。所有实验结果将保存为 JSON、CSV 和图表文件，主表、消融表、鲁棒性表和效率表分别管理。</w:t>
            </w:r>
          </w:p>
          <w:p>
            <w:pPr>
              <w:spacing w:line="300" w:lineRule="auto"/>
              <w:ind w:firstLine="0"/>
            </w:pPr>
            <w:r>
              <w:rPr>
                <w:rFonts w:ascii="宋体" w:hAnsi="宋体" w:eastAsia="宋体"/>
                <w:b/>
                <w:sz w:val="21"/>
              </w:rPr>
              <w:t>4.4 进度计划</w:t>
            </w:r>
          </w:p>
          <w:p>
            <w:pPr>
              <w:spacing w:line="300" w:lineRule="auto"/>
              <w:ind w:firstLine="420"/>
            </w:pPr>
            <w:r>
              <w:rPr>
                <w:rFonts w:ascii="宋体" w:hAnsi="宋体" w:eastAsia="宋体"/>
                <w:b w:val="0"/>
                <w:sz w:val="21"/>
              </w:rPr>
              <w:t>2026 年 6 月完成开题报告、文献核验表、数据清单、统一实验方案和仓库上传规范，明确主数据集、扩展数据集、基线模型和消融模型边界。</w:t>
            </w:r>
          </w:p>
          <w:p>
            <w:pPr>
              <w:spacing w:line="300" w:lineRule="auto"/>
              <w:ind w:firstLine="420"/>
            </w:pPr>
            <w:r>
              <w:rPr>
                <w:rFonts w:ascii="宋体" w:hAnsi="宋体" w:eastAsia="宋体"/>
                <w:b w:val="0"/>
                <w:sz w:val="21"/>
              </w:rPr>
              <w:t>2026 年 7 月至 2026 年 8 月完成 KAFNet-ProFITi 主模型重构、C-MAPSS FD001 与 MetroPT-3 的统一数据协议、缺失 mask 保存机制和核心消融模型，完成本地小规模验证和服务器环境准备。</w:t>
            </w:r>
          </w:p>
          <w:p>
            <w:pPr>
              <w:spacing w:line="300" w:lineRule="auto"/>
              <w:ind w:firstLine="420"/>
            </w:pPr>
            <w:r>
              <w:rPr>
                <w:rFonts w:ascii="宋体" w:hAnsi="宋体" w:eastAsia="宋体"/>
                <w:b w:val="0"/>
                <w:sz w:val="21"/>
              </w:rPr>
              <w:t>2026 年 9 月至 2026 年 10 月补齐 TCN-Gaussian、GRU-D、ODE-RNN 或 Latent ODE、mTAN、PatchTST-Gaussian 或 iTransformer-Gaussian、GraFITi、ProFITi 等真实基线，并完成主数据集三 seed 实验。</w:t>
            </w:r>
          </w:p>
          <w:p>
            <w:pPr>
              <w:spacing w:line="300" w:lineRule="auto"/>
              <w:ind w:firstLine="420"/>
            </w:pPr>
            <w:r>
              <w:rPr>
                <w:rFonts w:ascii="宋体" w:hAnsi="宋体" w:eastAsia="宋体"/>
                <w:b w:val="0"/>
                <w:sz w:val="21"/>
              </w:rPr>
              <w:t>2026 年 11 月完成缺失鲁棒性、风险评估、效率评估和统计汇总，整理主表、消融表、风险表和图形，分析实验是否支持预期假设。</w:t>
            </w:r>
          </w:p>
          <w:p>
            <w:pPr>
              <w:spacing w:line="300" w:lineRule="auto"/>
              <w:ind w:firstLine="420"/>
            </w:pPr>
            <w:r>
              <w:rPr>
                <w:rFonts w:ascii="宋体" w:hAnsi="宋体" w:eastAsia="宋体"/>
                <w:b w:val="0"/>
                <w:sz w:val="21"/>
              </w:rPr>
              <w:t>2026 年 12 月至 2027 年 1 月完成学位论文初稿，包括绪论、相关理论、数据协议、方法章节、实验章节和总结展望。</w:t>
            </w:r>
          </w:p>
          <w:p>
            <w:pPr>
              <w:spacing w:line="300" w:lineRule="auto"/>
              <w:ind w:firstLine="420"/>
            </w:pPr>
            <w:r>
              <w:rPr>
                <w:rFonts w:ascii="宋体" w:hAnsi="宋体" w:eastAsia="宋体"/>
                <w:b w:val="0"/>
                <w:sz w:val="21"/>
              </w:rPr>
              <w:t>2027 年 2 月至 2027 年 4 月根据导师意见修改论文，补充必要实验、完善图表和引用，完成论文定稿。</w:t>
            </w:r>
          </w:p>
          <w:p>
            <w:pPr>
              <w:spacing w:line="300" w:lineRule="auto"/>
              <w:ind w:firstLine="420"/>
            </w:pPr>
            <w:r>
              <w:rPr>
                <w:rFonts w:ascii="宋体" w:hAnsi="宋体" w:eastAsia="宋体"/>
                <w:b w:val="0"/>
                <w:sz w:val="21"/>
              </w:rPr>
              <w:t>2027 年 5 月至 2027 年 6 月完成答辩材料、代码归档、结果复核和毕业答辩准备。</w:t>
            </w:r>
          </w:p>
          <w:p>
            <w:pPr>
              <w:spacing w:line="300" w:lineRule="auto"/>
              <w:ind w:firstLine="0"/>
            </w:pPr>
            <w:r>
              <w:rPr>
                <w:rFonts w:ascii="宋体" w:hAnsi="宋体" w:eastAsia="宋体"/>
                <w:b/>
                <w:sz w:val="21"/>
              </w:rPr>
              <w:t>4.5 预期成果</w:t>
            </w:r>
          </w:p>
          <w:p>
            <w:pPr>
              <w:spacing w:line="300" w:lineRule="auto"/>
              <w:ind w:firstLine="420"/>
            </w:pPr>
            <w:r>
              <w:rPr>
                <w:rFonts w:ascii="宋体" w:hAnsi="宋体" w:eastAsia="宋体"/>
                <w:b w:val="0"/>
                <w:sz w:val="21"/>
              </w:rPr>
              <w:t>预期形成一套面向工业异步多传感器状态预测的概率建模方法，包括统一数据协议、KAFNet-ProFITi 模型、风险评分流程和可复现实验脚本。论文成果包括硕士学位论文一篇、开源代码仓库一套、主实验与消融实验结果表若干、预测区间与风险时间线图若干。若实验结果支持预期，将说明该方法在概率预测质量、缺失鲁棒性或风险评估方面具有一定优势；若部分指标不支持预期，将在论文中分析失败原因和适用边界，不用不充分结果包装为确定结论。</w:t>
            </w:r>
          </w:p>
        </w:tc>
      </w:tr>
      <w:tr w14:paraId="314E4304">
        <w:trPr>
          <w:trHeight w:val="3435" w:hRule="atLeast"/>
        </w:trPr>
        <w:tc>
          <w:tcPr>
            <w:tcW w:w="9030" w:type="dxa"/>
            <w:gridSpan w:val="7"/>
          </w:tcPr>
          <w:p>
            <w:pPr>
              <w:spacing w:line="300" w:lineRule="auto"/>
              <w:ind w:firstLine="0"/>
            </w:pPr>
            <w:r/>
            <w:r>
              <w:rPr>
                <w:rFonts w:ascii="宋体" w:hAnsi="宋体" w:eastAsia="宋体"/>
                <w:b/>
                <w:sz w:val="22"/>
              </w:rPr>
              <w:t>5．选题拟采用的研究方法、手段</w:t>
            </w:r>
          </w:p>
          <w:p>
            <w:pPr>
              <w:spacing w:line="300" w:lineRule="auto"/>
              <w:ind w:firstLine="0"/>
            </w:pPr>
            <w:r>
              <w:rPr>
                <w:rFonts w:ascii="宋体" w:hAnsi="宋体" w:eastAsia="宋体"/>
                <w:b/>
                <w:sz w:val="21"/>
              </w:rPr>
              <w:t>5.1 研究方法</w:t>
            </w:r>
          </w:p>
          <w:p>
            <w:pPr>
              <w:spacing w:line="300" w:lineRule="auto"/>
              <w:ind w:firstLine="420"/>
            </w:pPr>
            <w:r>
              <w:rPr>
                <w:rFonts w:ascii="宋体" w:hAnsi="宋体" w:eastAsia="宋体"/>
                <w:b w:val="0"/>
                <w:sz w:val="21"/>
              </w:rPr>
              <w:t>本研究采用文献调研法、模型构建法、受控实验分析法和可复现仓库管理方法。文献调研法用于梳理工业设备剩余寿命预测、异步缺失时间序列建模、概率预测、不确定性量化和风险评估研究，重点关注方法解决的问题、适用数据条件和评价指标。模型构建法用于完成 KAFNetEncoder、QueryConditionAdapter、ProFITiFlowHead 和 RiskScoringHead 的设计，并构建对应消融模型。受控实验分析法用于在统一划分、统一缺失 mask、统一归一化和固定随机种子下比较模型，避免由数据处理差异导致不公平结论。可复现仓库管理方法用于保存数据说明、配置、实验日志、指标和图表，并记录每次有意义的改动。</w:t>
            </w:r>
          </w:p>
          <w:p>
            <w:pPr>
              <w:spacing w:line="300" w:lineRule="auto"/>
              <w:ind w:firstLine="0"/>
            </w:pPr>
            <w:r>
              <w:rPr>
                <w:rFonts w:ascii="宋体" w:hAnsi="宋体" w:eastAsia="宋体"/>
                <w:b/>
                <w:sz w:val="21"/>
              </w:rPr>
              <w:t>5.2 技术手段</w:t>
            </w:r>
          </w:p>
          <w:p>
            <w:pPr>
              <w:spacing w:line="300" w:lineRule="auto"/>
              <w:ind w:firstLine="420"/>
            </w:pPr>
            <w:r>
              <w:rPr>
                <w:rFonts w:ascii="宋体" w:hAnsi="宋体" w:eastAsia="宋体"/>
                <w:b w:val="0"/>
                <w:sz w:val="21"/>
              </w:rPr>
              <w:t>数据处理采用统一窗口生成和事件序列转换。C-MAPSS 按 engine id 划分训练、验证和测试，训练 RUL 由 run-to-failure 序列生成，测试集使用官方 RUL 文件；MetroPT-3 按时间顺序划分，并结合故障报告构造预警窗口。所有连续变量只用训练集统计量归一化。人工异步机制包括随机缺失、通道级降采样和连续离线，缺失 mask 以文件形式保存，供所有模型复用。</w:t>
            </w:r>
          </w:p>
          <w:p>
            <w:pPr>
              <w:spacing w:line="300" w:lineRule="auto"/>
              <w:ind w:firstLine="420"/>
            </w:pPr>
            <w:r>
              <w:rPr>
                <w:rFonts w:ascii="宋体" w:hAnsi="宋体" w:eastAsia="宋体"/>
                <w:b w:val="0"/>
                <w:sz w:val="21"/>
              </w:rPr>
              <w:t>模型实现基于 PyTorch。KAFNetEncoder 处理历史窗口中的传感器值、时间戳和掩码，形成变量级表示；QueryConditionAdapter 将变量级表示扩展到未来查询项；ProFITiFlowHead 计算联合负对数似然并生成采样分布；RiskScoringHead 根据预测样本计算越界概率、风险分数和预警指标。训练目标以 NLL 为主，并同步记录 MAE、RMSE、CRPS、PICP、MPIW 和 ECE。风险实验根据数据集标签情况计算 AUROC、AUPRC、F1 和 lead time。</w:t>
            </w:r>
          </w:p>
          <w:p>
            <w:pPr>
              <w:spacing w:line="300" w:lineRule="auto"/>
              <w:ind w:firstLine="420"/>
            </w:pPr>
            <w:r>
              <w:rPr>
                <w:rFonts w:ascii="宋体" w:hAnsi="宋体" w:eastAsia="宋体"/>
                <w:b w:val="0"/>
                <w:sz w:val="21"/>
              </w:rPr>
              <w:t>结果管理采用统一目录。每次实验保存配置文件、数据划分、缺失 mask、指标 JSON、预测均值、预测样本和风险分数。表格文件包括数据集划分表、主预测结果表、风险预警表、缺失鲁棒性表、消融实验表、效率对比表和统计检验表。图形包括模型结构图、数据划分图、缺失鲁棒性曲线、预测区间图、风险时间线、校准曲线、消融柱状图和效率 Pareto 图。</w:t>
            </w:r>
          </w:p>
          <w:p>
            <w:pPr>
              <w:spacing w:line="300" w:lineRule="auto"/>
              <w:ind w:firstLine="0"/>
            </w:pPr>
            <w:r>
              <w:rPr>
                <w:rFonts w:ascii="宋体" w:hAnsi="宋体" w:eastAsia="宋体"/>
                <w:b/>
                <w:sz w:val="21"/>
              </w:rPr>
              <w:t>5.3 方法选择理由与替代方法边界</w:t>
            </w:r>
          </w:p>
          <w:p>
            <w:pPr>
              <w:spacing w:line="300" w:lineRule="auto"/>
              <w:ind w:firstLine="420"/>
            </w:pPr>
            <w:r>
              <w:rPr>
                <w:rFonts w:ascii="宋体" w:hAnsi="宋体" w:eastAsia="宋体"/>
                <w:b w:val="0"/>
                <w:sz w:val="21"/>
              </w:rPr>
              <w:t>本研究选择 KAFNet-ProFITi，并不是因为单个模块在所有时间序列任务上都必然优于现有方法，而是因为本课题的任务条件同时包含异步观测、多传感器相关、未来查询分布和风险评估。KAFNet 侧重从带掩码的历史观测中形成规整表示，适合承担“把不规则历史压缩为变量级条件”的角色；ProFITi 的条件流框架能够面向查询点输出概率分布，适合承担“由条件隐状态生成未来联合分布”的角色。两者结合后，模型可以在同一接口中同时处理历史异步性、查询条件和概率输出。KAN 等近期研究对可学习非线性函数表达能力的讨论，也为采用更灵活的非线性表示模块提供了参考[41]。</w:t>
            </w:r>
          </w:p>
          <w:p>
            <w:pPr>
              <w:spacing w:line="300" w:lineRule="auto"/>
              <w:ind w:firstLine="420"/>
            </w:pPr>
            <w:r>
              <w:rPr>
                <w:rFonts w:ascii="宋体" w:hAnsi="宋体" w:eastAsia="宋体"/>
                <w:b w:val="0"/>
                <w:sz w:val="21"/>
              </w:rPr>
              <w:t>本研究不把纯插补方法作为主方法，是因为插补方法更适合解决“恢复缺失观测”的问题，而本课题关注的是“在缺失和异步条件下预测未来状态分布”。如果先用 SAITS 或其他工具补齐序列，再把补齐值送入预测模型，下游模型很难区分真实观测和推断观测，风险评分也可能受插补误差影响。不过，插补路线具有实现成熟和可解释性强的优点，因此会作为基线保留。若插补基线在某些缺失率下表现更稳定，论文将据此讨论 KAFNet-ProFITi 的适用边界。</w:t>
            </w:r>
          </w:p>
          <w:p>
            <w:pPr>
              <w:spacing w:line="300" w:lineRule="auto"/>
              <w:ind w:firstLine="420"/>
            </w:pPr>
            <w:r>
              <w:rPr>
                <w:rFonts w:ascii="宋体" w:hAnsi="宋体" w:eastAsia="宋体"/>
                <w:b w:val="0"/>
                <w:sz w:val="21"/>
              </w:rPr>
              <w:t>本研究不直接采用普通 Transformer 作为最终方法，是因为 PatchTST、TimesNet、iTransformer 和 FEDformer 等模型主要面向规则采样长期预测，输入窗口和评价协议与工业异步多传感器风险任务并不完全一致。它们在规则时间序列上具有强基线价值，但需要插值、掩码通道或 Gaussian 输出头才能参与本课题的概率指标比较。Zeng 等关于 Transformer 与简单模型关系的讨论也说明，复杂注意力结构不应被默认视为所有时间序列任务的最优选择[22]。因此，本研究会将其纳入对比，而不是把它作为主路线。</w:t>
            </w:r>
          </w:p>
          <w:p>
            <w:pPr>
              <w:spacing w:line="300" w:lineRule="auto"/>
              <w:ind w:firstLine="420"/>
            </w:pPr>
            <w:r>
              <w:rPr>
                <w:rFonts w:ascii="宋体" w:hAnsi="宋体" w:eastAsia="宋体"/>
                <w:b w:val="0"/>
                <w:sz w:val="21"/>
              </w:rPr>
              <w:t>本研究不以 ODE 或连续状态空间模型作为主路线，是因为这类方法虽然天然适合不规则采样，但在多传感器联合预测、训练稳定性、计算成本和工程复现方面可能带来额外复杂度。Neural Continuous-Discrete State Space Models、ODE-RSSM 和 Temporal Graph ODEs 提供了重要参考，适合作为异步建模基线；但本课题的目标还包括风险评分、缺失鲁棒性和一键实验复现，过度复杂的连续时间潜变量结构可能增加论文实验负担。保留 ODE-RNN 或 Latent ODE 作为基线，可以检验连续时间建模是否在本数据协议下具有优势。</w:t>
            </w:r>
          </w:p>
          <w:p>
            <w:pPr>
              <w:spacing w:line="300" w:lineRule="auto"/>
              <w:ind w:firstLine="420"/>
            </w:pPr>
            <w:r>
              <w:rPr>
                <w:rFonts w:ascii="宋体" w:hAnsi="宋体" w:eastAsia="宋体"/>
                <w:b w:val="0"/>
                <w:sz w:val="21"/>
              </w:rPr>
              <w:t>本研究不把图模型作为唯一主线，是因为图结构在工业设备中既可能来自传感器拓扑，也可能来自统计相关或工况条件。Graph-Guided Network、Temporal Graph ODEs 和 GraFITi 表明图结构能够处理变量关系，但真实工业设备的关系图可能随运行阶段变化，固定图或完全学习图都存在解释和稳定性问题。KAFNet-ProFITi 采用查询条件和联合 flow 处理变量相关，并把图模型放入真实基线，用实验比较“显式图结构”和“隐式联合概率建模”在当前任务中的差异。</w:t>
            </w:r>
          </w:p>
          <w:p>
            <w:pPr>
              <w:spacing w:line="300" w:lineRule="auto"/>
              <w:ind w:firstLine="420"/>
            </w:pPr>
            <w:r>
              <w:rPr>
                <w:rFonts w:ascii="宋体" w:hAnsi="宋体" w:eastAsia="宋体"/>
                <w:b w:val="0"/>
                <w:sz w:val="21"/>
              </w:rPr>
              <w:t>本研究不直接采用扩散模型或 conformal 方法作为核心生成器，是因为扩散模型通常需要较多采样步骤，可能提高推理成本；conformal 方法更常用于后验校准，适合给已有预测器提供覆盖率保证，却不直接替代条件分布学习。相关研究对本课题仍有启发：扩散式 RUL 模型说明生成式概率建模可用于寿命不确定性，conformal 研究则提示预测区间必须校准。本课题会在指标层面吸收这些思想，用 PICP、MPIW、ECE 和校准曲线评价概率输出，后续若主模型区间覆盖不足，可考虑增加 conformal 校准作为扩展。</w:t>
            </w:r>
          </w:p>
          <w:p>
            <w:pPr>
              <w:spacing w:line="300" w:lineRule="auto"/>
              <w:ind w:firstLine="420"/>
            </w:pPr>
            <w:r>
              <w:rPr>
                <w:rFonts w:ascii="宋体" w:hAnsi="宋体" w:eastAsia="宋体"/>
                <w:b w:val="0"/>
                <w:sz w:val="21"/>
              </w:rPr>
              <w:t>独立 Gaussian 输出会作为必要消融，而不是最终方案。它实现简单、训练稳定，能够给出均值和方差，适合比较 NLL、PICP 和 ECE。但它默认各传感器在给定历史条件下相互独立，难以表达联合尾部风险和变量间协同异常。若 joint flow 相比 independent Gaussian 在联合 NLL、CRPS 或风险提前量上表现更好，才可以支持“联合概率建模有价值”的判断；若没有优势，则说明更复杂的概率头并不必要，论文需要如实收束创新边界。</w:t>
            </w:r>
          </w:p>
        </w:tc>
      </w:tr>
      <w:tr w14:paraId="128CE791">
        <w:trPr>
          <w:trHeight w:val="4195" w:hRule="atLeast"/>
        </w:trPr>
        <w:tc>
          <w:tcPr>
            <w:tcW w:w="9030" w:type="dxa"/>
            <w:gridSpan w:val="7"/>
          </w:tcPr>
          <w:p>
            <w:pPr>
              <w:spacing w:line="300" w:lineRule="auto"/>
              <w:ind w:firstLine="0"/>
            </w:pPr>
            <w:r/>
            <w:r>
              <w:rPr>
                <w:rFonts w:ascii="宋体" w:hAnsi="宋体" w:eastAsia="宋体"/>
                <w:b/>
                <w:sz w:val="22"/>
              </w:rPr>
              <w:t>6．选题研究的重点、难点</w:t>
            </w:r>
          </w:p>
          <w:p>
            <w:pPr>
              <w:spacing w:line="300" w:lineRule="auto"/>
              <w:ind w:firstLine="0"/>
            </w:pPr>
            <w:r>
              <w:rPr>
                <w:rFonts w:ascii="宋体" w:hAnsi="宋体" w:eastAsia="宋体"/>
                <w:b/>
                <w:sz w:val="21"/>
              </w:rPr>
              <w:t>6.1 研究重点</w:t>
            </w:r>
          </w:p>
          <w:p>
            <w:pPr>
              <w:spacing w:line="300" w:lineRule="auto"/>
              <w:ind w:firstLine="420"/>
            </w:pPr>
            <w:r>
              <w:rPr>
                <w:rFonts w:ascii="宋体" w:hAnsi="宋体" w:eastAsia="宋体"/>
                <w:b w:val="0"/>
                <w:sz w:val="21"/>
              </w:rPr>
              <w:t>本研究的重点之一是工业异步缺失数据协议。不同模型只有在同一划分、同一缺失 mask、同一归一化规则和同一预测窗口下比较，结果才具有解释意义。C-MAPSS 需要按 engine id 划分，MetroPT-3 需要按时间顺序和故障报告构造窗口，TEP 若纳入扩展实验则需要按 simulationRun 划分。数据协议还要明确缺失值填充只用于张量占位，真实观测由 mask 决定，不能把填充值当作观测输入解释。</w:t>
            </w:r>
          </w:p>
          <w:p>
            <w:pPr>
              <w:spacing w:line="300" w:lineRule="auto"/>
              <w:ind w:firstLine="420"/>
            </w:pPr>
            <w:r>
              <w:rPr>
                <w:rFonts w:ascii="宋体" w:hAnsi="宋体" w:eastAsia="宋体"/>
                <w:b w:val="0"/>
                <w:sz w:val="21"/>
              </w:rPr>
              <w:t>第二个重点是联合概率状态预测。模型需要在未来 horizon 内同时预测多个传感器状态，并给出可采样的概率分布。该任务要求模型既能学习历史观测中的时间动态，又能在查询时间和传感器通道层面形成条件隐状态。KAFNetEncoder、QueryConditionAdapter 和 ProFITiFlowHead 的接口设计将直接影响模型是否能够稳定训练，也影响消融实验能否准确归因。</w:t>
            </w:r>
          </w:p>
          <w:p>
            <w:pPr>
              <w:spacing w:line="300" w:lineRule="auto"/>
              <w:ind w:firstLine="420"/>
            </w:pPr>
            <w:r>
              <w:rPr>
                <w:rFonts w:ascii="宋体" w:hAnsi="宋体" w:eastAsia="宋体"/>
                <w:b w:val="0"/>
                <w:sz w:val="21"/>
              </w:rPr>
              <w:t>第三个重点是风险评分与评价指标。风险评分需要与数据集标签口径匹配，C-MAPSS 适合用 RUL 阈值定义风险，MetroPT-3 适合用故障报告窗口定义预警，二者不能混为同一工业含义。评价指标也需要分层解释：MAE 和 RMSE 表示点预测误差，NLL 和 CRPS 表示概率质量，PICP、MPIW 和 ECE 表示区间与校准，AUROC、AUPRC、F1 和 lead time 表示风险识别与提前预警能力。</w:t>
            </w:r>
          </w:p>
          <w:p>
            <w:pPr>
              <w:spacing w:line="300" w:lineRule="auto"/>
              <w:ind w:firstLine="420"/>
            </w:pPr>
            <w:r>
              <w:rPr>
                <w:rFonts w:ascii="宋体" w:hAnsi="宋体" w:eastAsia="宋体"/>
                <w:b w:val="0"/>
                <w:sz w:val="21"/>
              </w:rPr>
              <w:t>第四个重点是可复现实验管理。多模型、多 seed、多缺失率实验容易产生大量配置和结果文件，若没有统一命名和保存规则，后续论文表格很难追溯。研究过程中将把配置、划分、mask、指标、预测样本和图表分目录保存，并用脚本生成主表和附表。GitHub 仓库只上传必要代码、数据说明、可公开数据和轻量结果，不上传临时缓存、大型权重或无说明的中间文件。</w:t>
            </w:r>
          </w:p>
          <w:p>
            <w:pPr>
              <w:spacing w:line="300" w:lineRule="auto"/>
              <w:ind w:firstLine="0"/>
            </w:pPr>
            <w:r>
              <w:rPr>
                <w:rFonts w:ascii="宋体" w:hAnsi="宋体" w:eastAsia="宋体"/>
                <w:b/>
                <w:sz w:val="21"/>
              </w:rPr>
              <w:t>6.2 研究难点</w:t>
            </w:r>
          </w:p>
          <w:p>
            <w:pPr>
              <w:spacing w:line="300" w:lineRule="auto"/>
              <w:ind w:firstLine="420"/>
            </w:pPr>
            <w:r>
              <w:rPr>
                <w:rFonts w:ascii="宋体" w:hAnsi="宋体" w:eastAsia="宋体"/>
                <w:b w:val="0"/>
                <w:sz w:val="21"/>
              </w:rPr>
              <w:t>本研究的难点在于异步缺失与风险标签的耦合。人工缺失机制需要足够真实，又不能破坏不同模型比较的公平性。随机缺失、通道级降采样和连续离线分别模拟不同工业问题，但参数设置会影响任务难度。若缺失率过低，模型差异可能不明显；若缺失率过高，所有模型都可能退化到不可用状态。实验设计需要在可运行性和挑战性之间取得平衡，并在论文中说明每种缺失机制的含义。</w:t>
            </w:r>
          </w:p>
          <w:p>
            <w:pPr>
              <w:spacing w:line="300" w:lineRule="auto"/>
              <w:ind w:firstLine="420"/>
            </w:pPr>
            <w:r>
              <w:rPr>
                <w:rFonts w:ascii="宋体" w:hAnsi="宋体" w:eastAsia="宋体"/>
                <w:b w:val="0"/>
                <w:sz w:val="21"/>
              </w:rPr>
              <w:t>联合 flow 的训练稳定性也是难点。未来窗口展平后维度为 horizon 乘以传感器数，联合分布建模会随维度增长而变难。若 flow 层数、隐藏维度或条件适配不合适，可能出现 NLL 不稳定、区间过宽或采样质量差的问题。解决该问题需要通过 marginal flow、Gaussian head、去除上下文和不同查询排序等消融定位原因，而不是只调参追求单次结果。</w:t>
            </w:r>
          </w:p>
          <w:p>
            <w:pPr>
              <w:spacing w:line="300" w:lineRule="auto"/>
              <w:ind w:firstLine="420"/>
            </w:pPr>
            <w:r>
              <w:rPr>
                <w:rFonts w:ascii="宋体" w:hAnsi="宋体" w:eastAsia="宋体"/>
                <w:b w:val="0"/>
                <w:sz w:val="21"/>
              </w:rPr>
              <w:t>风险评估的难点在于标签并不完全统一。C-MAPSS 的 RUL 阈值可以构造退化风险，但它不等同于真实故障发生时刻；MetroPT-3 的故障报告可以构造预警窗口，但报告粒度与传感器采样频率不一致。若强行用同一种风险定义解释两个数据集，结论会失真。论文需要分别说明标签构造方式，并把风险指标解释为“该数据集定义下的风险识别能力”。</w:t>
            </w:r>
          </w:p>
          <w:p>
            <w:pPr>
              <w:spacing w:line="300" w:lineRule="auto"/>
              <w:ind w:firstLine="420"/>
            </w:pPr>
            <w:r>
              <w:rPr>
                <w:rFonts w:ascii="宋体" w:hAnsi="宋体" w:eastAsia="宋体"/>
                <w:b w:val="0"/>
                <w:sz w:val="21"/>
              </w:rPr>
              <w:t>真实基线公平复现也具有挑战。不同基线原始实现的输入格式、损失函数和输出形式不一致。为了比较概率指标，点预测模型需要增加同一 Gaussian head；为了比较风险指标，所有模型需要使用相同预测样本或相同风险评分规则；为了比较缺失鲁棒性，所有模型必须使用同一 mask 文件。若某些强基线因时间限制无法完全复现，需要在论文中明确版本、替代实现和未纳入主表的原因。</w:t>
            </w:r>
          </w:p>
          <w:p>
            <w:pPr>
              <w:spacing w:line="300" w:lineRule="auto"/>
              <w:ind w:firstLine="0"/>
            </w:pPr>
            <w:r>
              <w:rPr>
                <w:rFonts w:ascii="宋体" w:hAnsi="宋体" w:eastAsia="宋体"/>
                <w:b/>
                <w:sz w:val="21"/>
              </w:rPr>
              <w:t>6.3 预期风险与应对措施</w:t>
            </w:r>
          </w:p>
          <w:p>
            <w:pPr>
              <w:spacing w:line="300" w:lineRule="auto"/>
              <w:ind w:firstLine="420"/>
            </w:pPr>
            <w:r>
              <w:rPr>
                <w:rFonts w:ascii="宋体" w:hAnsi="宋体" w:eastAsia="宋体"/>
                <w:b w:val="0"/>
                <w:sz w:val="21"/>
              </w:rPr>
              <w:t>若全量实验显示 KAFNet-ProFITi 的点预测误差并不优于所有基线，论文不会把方法价值强行落在 MAE 或 RMSE 上，而会检查概率指标、区间质量和风险提前量是否具有优势。若这些指标也没有优势，则需要重新审视联合 flow 是否过于复杂，或异步规整表示是否没有充分利用缺失模式。此时可把论文收束为方法适用性分析和负结果讨论，但仍需保留真实基线和消融结果。</w:t>
            </w:r>
          </w:p>
          <w:p>
            <w:pPr>
              <w:spacing w:line="300" w:lineRule="auto"/>
              <w:ind w:firstLine="420"/>
            </w:pPr>
            <w:r>
              <w:rPr>
                <w:rFonts w:ascii="宋体" w:hAnsi="宋体" w:eastAsia="宋体"/>
                <w:b w:val="0"/>
                <w:sz w:val="21"/>
              </w:rPr>
              <w:t>若服务器运行时间不足，将优先保证 C-MAPSS FD001 和 MetroPT-3 的主实验、核心消融和三 seed 统计，再把 C-MAPSS FD002-FD004 与 TEP 放入扩展实验。若 TEP 数据版本缺少必要文件或故障注入点不明确，将不把它作为主结论依据。若某项风险指标因标签不可用而无法计算，结果表中标记为空，并说明原因，不用其他指标代替该指标含义。</w:t>
            </w:r>
          </w:p>
        </w:tc>
      </w:tr>
      <w:tr w14:paraId="0C50C281">
        <w:trPr>
          <w:trHeight w:val="4195" w:hRule="atLeast"/>
        </w:trPr>
        <w:tc>
          <w:tcPr>
            <w:tcW w:w="9030" w:type="dxa"/>
            <w:gridSpan w:val="7"/>
          </w:tcPr>
          <w:p>
            <w:pPr>
              <w:spacing w:line="300" w:lineRule="auto"/>
              <w:ind w:firstLine="0"/>
            </w:pPr>
            <w:r/>
            <w:r>
              <w:rPr>
                <w:rFonts w:ascii="宋体" w:hAnsi="宋体" w:eastAsia="宋体"/>
                <w:b/>
                <w:sz w:val="22"/>
              </w:rPr>
              <w:t>主要参考文献</w:t>
            </w:r>
          </w:p>
          <w:p>
            <w:pPr>
              <w:spacing w:line="300" w:lineRule="auto"/>
              <w:ind w:firstLine="420"/>
            </w:pPr>
            <w:r>
              <w:rPr>
                <w:rFonts w:ascii="宋体" w:hAnsi="宋体" w:eastAsia="宋体"/>
                <w:b w:val="0"/>
                <w:sz w:val="21"/>
              </w:rPr>
              <w:t>[1] 焦宗夏, 吴帅, 李洋, 张超, 靳红涛, 舒圣, 位仁磊, 李仁洁, 王易, 张昊园, 张亚东. 液压元件及系统智能化发展现状及趋势思考[J/OL]. 机械工程学报, 2023. https://qikan.cmes.org/jxgcxb/CN/10.3901/JME.2023.20.357</w:t>
            </w:r>
          </w:p>
          <w:p>
            <w:pPr>
              <w:spacing w:line="300" w:lineRule="auto"/>
              <w:ind w:firstLine="420"/>
            </w:pPr>
            <w:r>
              <w:rPr>
                <w:rFonts w:ascii="宋体" w:hAnsi="宋体" w:eastAsia="宋体"/>
                <w:b w:val="0"/>
                <w:sz w:val="21"/>
              </w:rPr>
              <w:t>[2] Weihao Li, Jianhua Chen, Sijuan Chen, Peilin Li, Bing Zhang, Ming Wang, Ming Yang, Jipu Wang, Dejian Zhou, Junsen Yun. A Comprehensive Review of Artificial Intelligence-Based Algorithms for Predicting the Remaining Useful Life of Equipment[J/OL]. Sensors, 2025. https://www.mdpi.com/1424-8220/25/14/4481</w:t>
            </w:r>
          </w:p>
          <w:p>
            <w:pPr>
              <w:spacing w:line="300" w:lineRule="auto"/>
              <w:ind w:firstLine="420"/>
            </w:pPr>
            <w:r>
              <w:rPr>
                <w:rFonts w:ascii="宋体" w:hAnsi="宋体" w:eastAsia="宋体"/>
                <w:b w:val="0"/>
                <w:sz w:val="21"/>
              </w:rPr>
              <w:t>[3] 陈闯, 李先锋, 史建涛. 基于深度学习的装备剩余寿命区间预测研究进展[J/OL]. 工程科学学报, 2024. https://cje.ustb.edu.cn/cn/article/doi/10.13374/j.issn2095-9389.2023.06.19.003?viewType=HTML</w:t>
            </w:r>
          </w:p>
          <w:p>
            <w:pPr>
              <w:spacing w:line="300" w:lineRule="auto"/>
              <w:ind w:firstLine="420"/>
            </w:pPr>
            <w:r>
              <w:rPr>
                <w:rFonts w:ascii="宋体" w:hAnsi="宋体" w:eastAsia="宋体"/>
                <w:b w:val="0"/>
                <w:sz w:val="21"/>
              </w:rPr>
              <w:t>[4] Yuntian Ta, Yanfeng Li, Wenan Cai, Qianqian Zhang, Zhijian Wang, Lei Dong, Wenhua Du. Adaptive staged remaining useful life prediction method based on multi-sensor and multi-feature fusion[J/OL]. Reliability Engineering &amp; System Safety, 2023. https://www.sciencedirect.com/science/article/pii/S0951832022006482</w:t>
            </w:r>
          </w:p>
          <w:p>
            <w:pPr>
              <w:spacing w:line="300" w:lineRule="auto"/>
              <w:ind w:firstLine="420"/>
            </w:pPr>
            <w:r>
              <w:rPr>
                <w:rFonts w:ascii="宋体" w:hAnsi="宋体" w:eastAsia="宋体"/>
                <w:b w:val="0"/>
                <w:sz w:val="21"/>
              </w:rPr>
              <w:t>[5] 王凤飞, 唐圣金, 孙晓艳, 祁帅, 于传强, 司小胜. 考虑随机效应的多源信息融合剩余寿命预测[J/OL]. 北京航空航天大学学报, 2023. https://bhxb.buaa.edu.cn/bhzk/article/doi/10.13700/j.bh.1001-5965.2021.0782</w:t>
            </w:r>
          </w:p>
          <w:p>
            <w:pPr>
              <w:spacing w:line="300" w:lineRule="auto"/>
              <w:ind w:firstLine="420"/>
            </w:pPr>
            <w:r>
              <w:rPr>
                <w:rFonts w:ascii="宋体" w:hAnsi="宋体" w:eastAsia="宋体"/>
                <w:b w:val="0"/>
                <w:sz w:val="21"/>
              </w:rPr>
              <w:t>[6] Sujuan Liu, Han Jiang. Engine remaining useful life prediction model based on R-Vine copula with multi-sensor data[J/OL]. Heliyon, 2023. https://pmc.ncbi.nlm.nih.gov/articles/PMC10300325/</w:t>
            </w:r>
          </w:p>
          <w:p>
            <w:pPr>
              <w:spacing w:line="300" w:lineRule="auto"/>
              <w:ind w:firstLine="420"/>
            </w:pPr>
            <w:r>
              <w:rPr>
                <w:rFonts w:ascii="宋体" w:hAnsi="宋体" w:eastAsia="宋体"/>
                <w:b w:val="0"/>
                <w:sz w:val="21"/>
              </w:rPr>
              <w:t>[7] 孔雪峰, 潘骏, 钱萍, 魏义敏, 陈文华. 机械产品多变量相依退化建模方法研究综述[J/OL]. 机械工程学报, 2023. https://qikan.cmes.org/jxgcxb/CN/10.3901/JME.2023.20.470</w:t>
            </w:r>
          </w:p>
          <w:p>
            <w:pPr>
              <w:spacing w:line="300" w:lineRule="auto"/>
              <w:ind w:firstLine="420"/>
            </w:pPr>
            <w:r>
              <w:rPr>
                <w:rFonts w:ascii="宋体" w:hAnsi="宋体" w:eastAsia="宋体"/>
                <w:b w:val="0"/>
                <w:sz w:val="21"/>
              </w:rPr>
              <w:t>[8] 王玉, 刘秋发, 彭义真. 非均匀监测条件下滚动轴承剩余寿命预测方法[J/OL]. 机械工程学报, 2023. https://qikan.cmes.org/jxgcxb/EN/10.3901/JME.2023.23.096</w:t>
            </w:r>
          </w:p>
          <w:p>
            <w:pPr>
              <w:spacing w:line="300" w:lineRule="auto"/>
              <w:ind w:firstLine="420"/>
            </w:pPr>
            <w:r>
              <w:rPr>
                <w:rFonts w:ascii="宋体" w:hAnsi="宋体" w:eastAsia="宋体"/>
                <w:b w:val="0"/>
                <w:sz w:val="21"/>
              </w:rPr>
              <w:t>[9] Wei Wang, Zhaoqiang Wang, Zhiqiang Cai, Changhua Hu, Shubin Si. Robust uncertainty quantification for online remaining useful life prediction with randomly missing and partially faulty sensor data[J/OL]. Reliability Engineering &amp; System Safety, 2025. https://www.sciencedirect.com/science/article/pii/S0951832025003783</w:t>
            </w:r>
          </w:p>
          <w:p>
            <w:pPr>
              <w:spacing w:line="300" w:lineRule="auto"/>
              <w:ind w:firstLine="420"/>
            </w:pPr>
            <w:r>
              <w:rPr>
                <w:rFonts w:ascii="宋体" w:hAnsi="宋体" w:eastAsia="宋体"/>
                <w:b w:val="0"/>
                <w:sz w:val="21"/>
              </w:rPr>
              <w:t>[10] 庞哲楠, 裴洪, 李天梅, 胡昌华, 司小胜. 考虑不完美维修的随机退化设备剩余寿命自适应预测方法[J/OL]. 机械工程学报, 2023. https://qikan.cmes.org/jxgcxb/CN/10.3901/JME.2023.02.014</w:t>
            </w:r>
          </w:p>
          <w:p>
            <w:pPr>
              <w:spacing w:line="300" w:lineRule="auto"/>
              <w:ind w:firstLine="420"/>
            </w:pPr>
            <w:r>
              <w:rPr>
                <w:rFonts w:ascii="宋体" w:hAnsi="宋体" w:eastAsia="宋体"/>
                <w:b w:val="0"/>
                <w:sz w:val="21"/>
              </w:rPr>
              <w:t>[11] 郝秀红, 高涛, 李鑫宇, 王树强, 李海滨. 工程机械用液压马达剩余寿命预测[J/OL]. 机床与液压, 2023. https://qikan.cmes.org/jcyyy/CN/10.3969/j.issn.1001-3881.2023.15.033</w:t>
            </w:r>
          </w:p>
          <w:p>
            <w:pPr>
              <w:spacing w:line="300" w:lineRule="auto"/>
              <w:ind w:firstLine="420"/>
            </w:pPr>
            <w:r>
              <w:rPr>
                <w:rFonts w:ascii="宋体" w:hAnsi="宋体" w:eastAsia="宋体"/>
                <w:b w:val="0"/>
                <w:sz w:val="21"/>
              </w:rPr>
              <w:t>[12] 杨绍普, 顾晓辉, 刘永强, 邓飞跃, 刘泽潮, 刘文朋, 王宝森. 转向架关键运动部件动力学机理与故障诊断研究综述[J/OL]. 机械工程学报, 2023. https://qikan.cmes.org/jxgcxb/CN/10.3901/JME.2023.20.225</w:t>
            </w:r>
          </w:p>
          <w:p>
            <w:pPr>
              <w:spacing w:line="300" w:lineRule="auto"/>
              <w:ind w:firstLine="420"/>
            </w:pPr>
            <w:r>
              <w:rPr>
                <w:rFonts w:ascii="宋体" w:hAnsi="宋体" w:eastAsia="宋体"/>
                <w:b w:val="0"/>
                <w:sz w:val="21"/>
              </w:rPr>
              <w:t>[13] 李兆飞等. 数据驱动的轴承早期故障诊断技术综述[J/OL]. 机械传动, 2023. https://www.jxcd.net.cn/zh/article/doi/10.16578/j.issn.1004.2539.2023.03.022/</w:t>
            </w:r>
          </w:p>
          <w:p>
            <w:pPr>
              <w:spacing w:line="300" w:lineRule="auto"/>
              <w:ind w:firstLine="420"/>
            </w:pPr>
            <w:r>
              <w:rPr>
                <w:rFonts w:ascii="宋体" w:hAnsi="宋体" w:eastAsia="宋体"/>
                <w:b w:val="0"/>
                <w:sz w:val="21"/>
              </w:rPr>
              <w:t>[14] 牟建鹏, 刘文韬, 熊伟丽. 基于双向生成对抗网络的工业过程故障检测[J/OL]. 智能系统学报, 2024. https://html.rhhz.net/tis/html/202306011.htm</w:t>
            </w:r>
          </w:p>
          <w:p>
            <w:pPr>
              <w:spacing w:line="300" w:lineRule="auto"/>
              <w:ind w:firstLine="420"/>
            </w:pPr>
            <w:r>
              <w:rPr>
                <w:rFonts w:ascii="宋体" w:hAnsi="宋体" w:eastAsia="宋体"/>
                <w:b w:val="0"/>
                <w:sz w:val="21"/>
              </w:rPr>
              <w:t>[15] 林京, 焦金阳. 可解释机械智能诊断技术的研究进展与挑战[J/OL]. 机械工程学报, 2023. https://qikan.cmes.org/jxgcxb/CN/10.3901/JME.2023.20.215</w:t>
            </w:r>
          </w:p>
          <w:p>
            <w:pPr>
              <w:spacing w:line="300" w:lineRule="auto"/>
              <w:ind w:firstLine="420"/>
            </w:pPr>
            <w:r>
              <w:rPr>
                <w:rFonts w:ascii="宋体" w:hAnsi="宋体" w:eastAsia="宋体"/>
                <w:b w:val="0"/>
                <w:sz w:val="21"/>
              </w:rPr>
              <w:t>[16] 严如强, 商佐港, 王志颖, 许文纲, 赵志斌, 王诗彬, 陈雪峰. 可解释人工智能在工业智能诊断中的挑战和机遇：先验赋能[J/OL]. 机械工程学报, 2024. https://qikan.cmes.org/jxgcxb/CN/10.3901/JME.2024.12.001</w:t>
            </w:r>
          </w:p>
          <w:p>
            <w:pPr>
              <w:spacing w:line="300" w:lineRule="auto"/>
              <w:ind w:firstLine="420"/>
            </w:pPr>
            <w:r>
              <w:rPr>
                <w:rFonts w:ascii="宋体" w:hAnsi="宋体" w:eastAsia="宋体"/>
                <w:b w:val="0"/>
                <w:sz w:val="21"/>
              </w:rPr>
              <w:t>[17] Zonglei Chen, Minbo Ma, Tianrui Li, Hongjun Wang, Chongshou Li. Long sequence time-series forecasting with deep learning: A survey[J/OL]. Information Fusion, 2023. https://www.sciencedirect.com/science/article/pii/S1566253523001355</w:t>
            </w:r>
          </w:p>
          <w:p>
            <w:pPr>
              <w:spacing w:line="300" w:lineRule="auto"/>
              <w:ind w:firstLine="420"/>
            </w:pPr>
            <w:r>
              <w:rPr>
                <w:rFonts w:ascii="宋体" w:hAnsi="宋体" w:eastAsia="宋体"/>
                <w:b w:val="0"/>
                <w:sz w:val="21"/>
              </w:rPr>
              <w:t>[18] Yuqi Nie, Nam Nguyen, Phanwadee Sinthong, Jayant Kalagnanam. A Time Series is Worth 64 Words: Long-term Forecasting with Transformers[C/OL]. ICLR, 2023. https://iclr.cc/virtual/2023/poster/10876</w:t>
            </w:r>
          </w:p>
          <w:p>
            <w:pPr>
              <w:spacing w:line="300" w:lineRule="auto"/>
              <w:ind w:firstLine="420"/>
            </w:pPr>
            <w:r>
              <w:rPr>
                <w:rFonts w:ascii="宋体" w:hAnsi="宋体" w:eastAsia="宋体"/>
                <w:b w:val="0"/>
                <w:sz w:val="21"/>
              </w:rPr>
              <w:t>[19] Haixu Wu, Tengge Hu, Yong Liu, Hang Zhou, Jianmin Wang, Mingsheng Long. TimesNet: Temporal 2D-Variation Modeling for General Time Series Analysis[C/OL]. ICLR, 2023. https://openreview.net/forum?id=ju_Uqw384Oq</w:t>
            </w:r>
          </w:p>
          <w:p>
            <w:pPr>
              <w:spacing w:line="300" w:lineRule="auto"/>
              <w:ind w:firstLine="420"/>
            </w:pPr>
            <w:r>
              <w:rPr>
                <w:rFonts w:ascii="宋体" w:hAnsi="宋体" w:eastAsia="宋体"/>
                <w:b w:val="0"/>
                <w:sz w:val="21"/>
              </w:rPr>
              <w:t>[20] Yong Liu, Tengge Hu, Haoran Zhang, Haixu Wu, Shiyu Wang, Lintao Ma, Mingsheng Long. iTransformer: Inverted Transformers Are Effective for Time Series Forecasting[C/OL]. ICLR, 2024. https://proceedings.iclr.cc/paper_files/paper/2024/hash/2ea18fdc667e0ef2ad82b2b4d65147ad-Abstract-Conference.html</w:t>
            </w:r>
          </w:p>
          <w:p>
            <w:pPr>
              <w:spacing w:line="300" w:lineRule="auto"/>
              <w:ind w:firstLine="420"/>
            </w:pPr>
            <w:r>
              <w:rPr>
                <w:rFonts w:ascii="宋体" w:hAnsi="宋体" w:eastAsia="宋体"/>
                <w:b w:val="0"/>
                <w:sz w:val="21"/>
              </w:rPr>
              <w:t>[21] Tian Zhou, Ziqing Ma, Qingsong Wen, Xue Wang, Liang Sun, Rong Jin. FEDformer: Frequency Enhanced Decomposed Transformer for Long-term Series Forecasting[C/OL]. ICML, 2022. https://proceedings.mlr.press/v162/zhou22g.html</w:t>
            </w:r>
          </w:p>
          <w:p>
            <w:pPr>
              <w:spacing w:line="300" w:lineRule="auto"/>
              <w:ind w:firstLine="420"/>
            </w:pPr>
            <w:r>
              <w:rPr>
                <w:rFonts w:ascii="宋体" w:hAnsi="宋体" w:eastAsia="宋体"/>
                <w:b w:val="0"/>
                <w:sz w:val="21"/>
              </w:rPr>
              <w:t>[22] Ailing Zeng, Muxi Chen, Lei Zhang, Qiang Xu. Are Transformers Effective for Time Series Forecasting?[C/OL]. AAAI Conference on Artificial Intelligence, 2023. https://ojs.aaai.org/index.php/AAAI/article/view/26317</w:t>
            </w:r>
          </w:p>
          <w:p>
            <w:pPr>
              <w:spacing w:line="300" w:lineRule="auto"/>
              <w:ind w:firstLine="420"/>
            </w:pPr>
            <w:r>
              <w:rPr>
                <w:rFonts w:ascii="宋体" w:hAnsi="宋体" w:eastAsia="宋体"/>
                <w:b w:val="0"/>
                <w:sz w:val="21"/>
              </w:rPr>
              <w:t>[23] Wenjie Du, David Cote, Yan Liu. SAITS: Self-attention-based imputation for time series[J/OL]. Expert Systems with Applications, 2023. https://www.sciencedirect.com/science/article/pii/S0957417423001203</w:t>
            </w:r>
          </w:p>
          <w:p>
            <w:pPr>
              <w:spacing w:line="300" w:lineRule="auto"/>
              <w:ind w:firstLine="420"/>
            </w:pPr>
            <w:r>
              <w:rPr>
                <w:rFonts w:ascii="宋体" w:hAnsi="宋体" w:eastAsia="宋体"/>
                <w:b w:val="0"/>
                <w:sz w:val="21"/>
              </w:rPr>
              <w:t>[24] Wenjie Du. PyPOTS: A Python Toolbox for Data Mining on Partially-Observed Time Series[EB/OL]. arXiv, 2023. https://arxiv.org/abs/2305.18811</w:t>
            </w:r>
          </w:p>
          <w:p>
            <w:pPr>
              <w:spacing w:line="300" w:lineRule="auto"/>
              <w:ind w:firstLine="420"/>
            </w:pPr>
            <w:r>
              <w:rPr>
                <w:rFonts w:ascii="宋体" w:hAnsi="宋体" w:eastAsia="宋体"/>
                <w:b w:val="0"/>
                <w:sz w:val="21"/>
              </w:rPr>
              <w:t>[25] Xiang Zhang, Marko Zeman, Theodoros Tsiligkaridis, Marinka Zitnik. Graph-Guided Network for Irregularly Sampled Multivariate Time Series[C/OL]. ICLR, 2022. https://www.ll.mit.edu/r-d/publications/graph-guided-network-irregularly-sampled-multivariate-time-series</w:t>
            </w:r>
          </w:p>
          <w:p>
            <w:pPr>
              <w:spacing w:line="300" w:lineRule="auto"/>
              <w:ind w:firstLine="420"/>
            </w:pPr>
            <w:r>
              <w:rPr>
                <w:rFonts w:ascii="宋体" w:hAnsi="宋体" w:eastAsia="宋体"/>
                <w:b w:val="0"/>
                <w:sz w:val="21"/>
              </w:rPr>
              <w:t>[26] Abdul Fatir Ansari, Alvin Heng, Andre Lim, Harold Soh. Neural Continuous-Discrete State Space Models for Irregularly-Sampled Time Series[C/OL]. ICML, 2023. https://dblp.org/rec/conf/icml/AnsariHLS23</w:t>
            </w:r>
          </w:p>
          <w:p>
            <w:pPr>
              <w:spacing w:line="300" w:lineRule="auto"/>
              <w:ind w:firstLine="420"/>
            </w:pPr>
            <w:r>
              <w:rPr>
                <w:rFonts w:ascii="宋体" w:hAnsi="宋体" w:eastAsia="宋体"/>
                <w:b w:val="0"/>
                <w:sz w:val="21"/>
              </w:rPr>
              <w:t>[27] Zhaolin Yuan, Xiaojuan Ban, Zixuan Zhang, Xiaorui Li, Hong-Ning Dai. ODE-RSSM: Learning Stochastic Recurrent State Space Model from Irregularly Sampled Data[C/OL]. AAAI Conference on Artificial Intelligence, 2023. https://ojs.aaai.org/index.php/AAAI/article/view/26310</w:t>
            </w:r>
          </w:p>
          <w:p>
            <w:pPr>
              <w:spacing w:line="300" w:lineRule="auto"/>
              <w:ind w:firstLine="420"/>
            </w:pPr>
            <w:r>
              <w:rPr>
                <w:rFonts w:ascii="宋体" w:hAnsi="宋体" w:eastAsia="宋体"/>
                <w:b w:val="0"/>
                <w:sz w:val="21"/>
              </w:rPr>
              <w:t>[28] Alessio Gravina, Daniele Zambon, Davide Bacciu, Cesare Alippi. Temporal Graph ODEs for Irregularly-Sampled Time Series[C/OL]. IJCAI, 2024. https://www.ijcai.org/proceedings/2024/445</w:t>
            </w:r>
          </w:p>
          <w:p>
            <w:pPr>
              <w:spacing w:line="300" w:lineRule="auto"/>
              <w:ind w:firstLine="420"/>
            </w:pPr>
            <w:r>
              <w:rPr>
                <w:rFonts w:ascii="宋体" w:hAnsi="宋体" w:eastAsia="宋体"/>
                <w:b w:val="0"/>
                <w:sz w:val="21"/>
              </w:rPr>
              <w:t>[29] Vijaya Krishna Yalavarthi, Kiran Madhusudhanan, Randolf Scholz, Nourhan Ahmed, Johannes Burchert, Shayan Jawed, Stefan Born, Lars Schmidt-Thieme. GraFITi: Graphs for Forecasting Irregularly Sampled Time Series[C/OL]. AAAI Conference on Artificial Intelligence, 2024. https://mlanthology.org/aaai/2024/yalavarthi2024aaai-grafiti/</w:t>
            </w:r>
          </w:p>
          <w:p>
            <w:pPr>
              <w:spacing w:line="300" w:lineRule="auto"/>
              <w:ind w:firstLine="420"/>
            </w:pPr>
            <w:r>
              <w:rPr>
                <w:rFonts w:ascii="宋体" w:hAnsi="宋体" w:eastAsia="宋体"/>
                <w:b w:val="0"/>
                <w:sz w:val="21"/>
              </w:rPr>
              <w:t>[30] Vijaya Krishna Yalavarthi, Randolf Scholz, Stefan Born, Lars Schmidt-Thieme. Probabilistic Forecasting of Irregular Time Series via Conditional Flows[EB/OL]. arXiv, 2024. https://arxiv.org/abs/2402.06293</w:t>
            </w:r>
          </w:p>
          <w:p>
            <w:pPr>
              <w:spacing w:line="300" w:lineRule="auto"/>
              <w:ind w:firstLine="420"/>
            </w:pPr>
            <w:r>
              <w:rPr>
                <w:rFonts w:ascii="宋体" w:hAnsi="宋体" w:eastAsia="宋体"/>
                <w:b w:val="0"/>
                <w:sz w:val="21"/>
              </w:rPr>
              <w:t>[31] Yongbo Cheng, Junheng Qv, Ke Feng, Te Han. A Bayesian adversarial probsparse Transformer model for long-term remaining useful life prediction[J/OL]. Reliability Engineering &amp; System Safety, 2024. https://www.sciencedirect.com/science/article/pii/S0951832024002618</w:t>
            </w:r>
          </w:p>
          <w:p>
            <w:pPr>
              <w:spacing w:line="300" w:lineRule="auto"/>
              <w:ind w:firstLine="420"/>
            </w:pPr>
            <w:r>
              <w:rPr>
                <w:rFonts w:ascii="宋体" w:hAnsi="宋体" w:eastAsia="宋体"/>
                <w:b w:val="0"/>
                <w:sz w:val="21"/>
              </w:rPr>
              <w:t>[32] Bin Wu, Jianchao Zeng, Hui Shi, Xiaohong Zhang, Yankai Qin. Remaining useful life prediction for multiple degradation indicators systems considering random correlation[J/OL]. Computers &amp; Industrial Engineering, 2023. https://www.sciencedirect.com/science/article/pii/S036083522300760X</w:t>
            </w:r>
          </w:p>
          <w:p>
            <w:pPr>
              <w:spacing w:line="300" w:lineRule="auto"/>
              <w:ind w:firstLine="420"/>
            </w:pPr>
            <w:r>
              <w:rPr>
                <w:rFonts w:ascii="宋体" w:hAnsi="宋体" w:eastAsia="宋体"/>
                <w:b w:val="0"/>
                <w:sz w:val="21"/>
              </w:rPr>
              <w:t>[33] Bincheng Wen, Xin Zhao, Xilang Tang, Mingqing Xiao, Haizhen Zhu, Jianfeng Li. A generalized diffusion model for remaining useful life prediction with uncertainty[J/OL]. Complex &amp; Intelligent Systems, 2025. https://link.springer.com/article/10.1007/s40747-024-01773-w</w:t>
            </w:r>
          </w:p>
          <w:p>
            <w:pPr>
              <w:spacing w:line="300" w:lineRule="auto"/>
              <w:ind w:firstLine="420"/>
            </w:pPr>
            <w:r>
              <w:rPr>
                <w:rFonts w:ascii="宋体" w:hAnsi="宋体" w:eastAsia="宋体"/>
                <w:b w:val="0"/>
                <w:sz w:val="21"/>
              </w:rPr>
              <w:t>[34] Sophia Sun, Rose Yu. Copula Conformal prediction for multi-step time series prediction[C/OL]. ICLR, 2024. https://proceedings.iclr.cc/paper_files/paper/2024/hash/8707924df5e207fa496f729f49069446-Abstract-Conference.html</w:t>
            </w:r>
          </w:p>
          <w:p>
            <w:pPr>
              <w:spacing w:line="300" w:lineRule="auto"/>
              <w:ind w:firstLine="420"/>
            </w:pPr>
            <w:r>
              <w:rPr>
                <w:rFonts w:ascii="宋体" w:hAnsi="宋体" w:eastAsia="宋体"/>
                <w:b w:val="0"/>
                <w:sz w:val="21"/>
              </w:rPr>
              <w:t>[35] Zitong Yang, Emmanuel Candes, Lihua Lei. Bellman Conformal Inference: Calibrating Prediction Intervals For Time Series[EB/OL]. arXiv, 2024. https://arxiv.org/abs/2402.05203</w:t>
            </w:r>
          </w:p>
          <w:p>
            <w:pPr>
              <w:spacing w:line="300" w:lineRule="auto"/>
              <w:ind w:firstLine="420"/>
            </w:pPr>
            <w:r>
              <w:rPr>
                <w:rFonts w:ascii="宋体" w:hAnsi="宋体" w:eastAsia="宋体"/>
                <w:b w:val="0"/>
                <w:sz w:val="21"/>
              </w:rPr>
              <w:t>[36] Chen Xu, Hanyang Jiang, Yao Xie. Conformal prediction for multi-dimensional time series by ellipsoidal sets[EB/OL]. arXiv, 2024. https://arxiv.org/abs/2403.03850</w:t>
            </w:r>
          </w:p>
          <w:p>
            <w:pPr>
              <w:spacing w:line="300" w:lineRule="auto"/>
              <w:ind w:firstLine="420"/>
            </w:pPr>
            <w:r>
              <w:rPr>
                <w:rFonts w:ascii="宋体" w:hAnsi="宋体" w:eastAsia="宋体"/>
                <w:b w:val="0"/>
                <w:sz w:val="21"/>
              </w:rPr>
              <w:t>[37] Baiting Chen, Zhimei Ren, Lu Cheng. Conformalized Time Series with Semantic Features[C/OL]. NeurIPS, 2024. https://proceedings.neurips.cc/paper_files/paper/2024/hash/dbfb7b1443583fc7ab87e8b1b4f48c9c-Abstract-Conference.html</w:t>
            </w:r>
          </w:p>
          <w:p>
            <w:pPr>
              <w:spacing w:line="300" w:lineRule="auto"/>
              <w:ind w:firstLine="420"/>
            </w:pPr>
            <w:r>
              <w:rPr>
                <w:rFonts w:ascii="宋体" w:hAnsi="宋体" w:eastAsia="宋体"/>
                <w:b w:val="0"/>
                <w:sz w:val="21"/>
              </w:rPr>
              <w:t>[38] Geethen Singh, Glenn Moncrieff, Zander Venter, Kerry Cawse-Nicholson, Jasper Slingsby, Tamara B. Robinson. Uncertainty quantification for probabilistic machine learning in earth observation using conformal prediction[J/OL]. Scientific Reports, 2024. https://www.nature.com/articles/s41598-024-65954-w</w:t>
            </w:r>
          </w:p>
          <w:p>
            <w:pPr>
              <w:spacing w:line="300" w:lineRule="auto"/>
              <w:ind w:firstLine="420"/>
            </w:pPr>
            <w:r>
              <w:rPr>
                <w:rFonts w:ascii="宋体" w:hAnsi="宋体" w:eastAsia="宋体"/>
                <w:b w:val="0"/>
                <w:sz w:val="21"/>
              </w:rPr>
              <w:t>[39] Max Sibeijn, Sergio Pequito. A time-reversed model selection approach to time series forecasting[J/OL]. Scientific Reports, 2022. https://pubmed.ncbi.nlm.nih.gov/35764783/</w:t>
            </w:r>
          </w:p>
          <w:p>
            <w:pPr>
              <w:spacing w:line="300" w:lineRule="auto"/>
              <w:ind w:firstLine="420"/>
            </w:pPr>
            <w:r>
              <w:rPr>
                <w:rFonts w:ascii="宋体" w:hAnsi="宋体" w:eastAsia="宋体"/>
                <w:b w:val="0"/>
                <w:sz w:val="21"/>
              </w:rPr>
              <w:t>[40] Wei Yuan, Xinlong Li, Hongbin Gu, Faye Zhang, Fei Miao. Engine remaining useful life prediction based on PSO optimized multi-layer long short-term memory and multi-source information fusion[J/OL]. Measurement and Control, 2024. https://journals.sagepub.com/doi/10.1177/00202940231214868</w:t>
            </w:r>
          </w:p>
          <w:p>
            <w:pPr>
              <w:spacing w:line="300" w:lineRule="auto"/>
              <w:ind w:firstLine="420"/>
            </w:pPr>
            <w:r>
              <w:rPr>
                <w:rFonts w:ascii="宋体" w:hAnsi="宋体" w:eastAsia="宋体"/>
                <w:b w:val="0"/>
                <w:sz w:val="21"/>
              </w:rPr>
              <w:t>[41] Ziming Liu, Yixuan Wang, Sachin Vaidya, Fabian Ruehle, James Halverson, Marin Soljacic, Thomas Y. Hou, Max Tegmark. KAN: Kolmogorov-Arnold Networks[EB/OL]. arXiv, 2024. https://arxiv.org/abs/2404.19756</w:t>
            </w:r>
          </w:p>
        </w:tc>
      </w:tr>
      <w:tr w14:paraId="59B400E2">
        <w:trPr>
          <w:trHeight w:val="302" w:hRule="atLeast"/>
        </w:trPr>
        <w:tc>
          <w:tcPr>
            <w:tcW w:w="9030" w:type="dxa"/>
            <w:gridSpan w:val="7"/>
          </w:tcPr>
          <w:p>
            <w:pPr>
              <w:spacing w:line="300" w:lineRule="auto"/>
              <w:ind w:firstLine="420"/>
            </w:pPr>
            <w:r/>
            <w:r>
              <w:rPr>
                <w:rFonts w:ascii="宋体" w:hAnsi="宋体" w:eastAsia="宋体"/>
                <w:b w:val="0"/>
                <w:sz w:val="21"/>
              </w:rPr>
              <w:t>指导教师意见：</w:t>
            </w:r>
          </w:p>
          <w:p>
            <w:pPr>
              <w:spacing w:line="300" w:lineRule="auto"/>
              <w:ind w:firstLine="420"/>
            </w:pPr>
            <w:r>
              <w:rPr>
                <w:rFonts w:ascii="宋体" w:hAnsi="宋体" w:eastAsia="宋体"/>
                <w:b w:val="0"/>
                <w:sz w:val="21"/>
              </w:rPr>
              <w:t>指导教师签名：</w:t>
            </w:r>
          </w:p>
          <w:p>
            <w:pPr>
              <w:spacing w:line="300" w:lineRule="auto"/>
              <w:ind w:firstLine="420"/>
            </w:pPr>
            <w:r>
              <w:rPr>
                <w:rFonts w:ascii="宋体" w:hAnsi="宋体" w:eastAsia="宋体"/>
                <w:b w:val="0"/>
                <w:sz w:val="21"/>
              </w:rPr>
              <w:t>年    月    日</w:t>
            </w:r>
          </w:p>
        </w:tc>
      </w:tr>
    </w:tbl>
    <w:p w14:paraId="6992C8CC">
      <w:pPr>
        <w:spacing w:line="360" w:lineRule="exact"/>
        <w:ind w:right="-819" w:rightChars="-390"/>
      </w:pPr>
    </w:p>
    <w:sectPr>
      <w:footerReference r:id="rId3" w:type="default"/>
      <w:footerReference r:id="rId4" w:type="even"/>
      <w:pgSz w:w="11907" w:h="16840"/>
      <w:pgMar w:top="1440" w:right="1474" w:bottom="1440" w:left="1474"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auto"/>
    <w:pitch w:val="default"/>
    <w:sig w:usb0="00000000" w:usb1="00000000" w:usb2="00000000" w:usb3="00000000" w:csb0="00040000" w:csb1="00000000"/>
  </w:font>
  <w:font w:name="Webdings">
    <w:panose1 w:val="05030102010509060703"/>
    <w:charset w:val="02"/>
    <w:family w:val="roman"/>
    <w:pitch w:val="default"/>
    <w:sig w:usb0="00000000" w:usb1="00000000" w:usb2="00000000" w:usb3="00000000" w:csb0="80000000" w:csb1="00000000"/>
  </w:font>
  <w:font w:name="仿宋_GB2312">
    <w:altName w:val="方正仿宋_GBK"/>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88A82">
    <w:pPr>
      <w:pStyle w:val="4"/>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2</w:t>
    </w:r>
    <w:r>
      <w:rPr>
        <w:rStyle w:val="8"/>
      </w:rPr>
      <w:fldChar w:fldCharType="end"/>
    </w:r>
  </w:p>
  <w:p w14:paraId="46C65FEA">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244C6">
    <w:pPr>
      <w:pStyle w:val="4"/>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45C52071">
    <w:pPr>
      <w:pStyle w:val="4"/>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B7F47"/>
    <w:multiLevelType w:val="multilevel"/>
    <w:tmpl w:val="2ABB7F47"/>
    <w:lvl w:ilvl="0" w:tentative="0">
      <w:start w:val="1"/>
      <w:numFmt w:val="decimal"/>
      <w:lvlText w:val="[%1]"/>
      <w:lvlJc w:val="left"/>
      <w:pPr>
        <w:ind w:left="800" w:hanging="440"/>
      </w:pPr>
      <w:rPr>
        <w:rFonts w:hint="eastAsia"/>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
    <w:nsid w:val="6CB51B03"/>
    <w:multiLevelType w:val="multilevel"/>
    <w:tmpl w:val="6CB51B03"/>
    <w:lvl w:ilvl="0" w:tentative="0">
      <w:start w:val="6"/>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CCA"/>
    <w:rsid w:val="00001B9E"/>
    <w:rsid w:val="00007CC1"/>
    <w:rsid w:val="00084EBA"/>
    <w:rsid w:val="000956A0"/>
    <w:rsid w:val="000A73F1"/>
    <w:rsid w:val="000C5493"/>
    <w:rsid w:val="000C7A0E"/>
    <w:rsid w:val="000D1798"/>
    <w:rsid w:val="000D2A7D"/>
    <w:rsid w:val="000E5DA9"/>
    <w:rsid w:val="00121A90"/>
    <w:rsid w:val="00126152"/>
    <w:rsid w:val="00152FE9"/>
    <w:rsid w:val="001A13C8"/>
    <w:rsid w:val="001A1900"/>
    <w:rsid w:val="001A39CD"/>
    <w:rsid w:val="001B187B"/>
    <w:rsid w:val="001E78E3"/>
    <w:rsid w:val="001F1A4B"/>
    <w:rsid w:val="00254C6F"/>
    <w:rsid w:val="00256728"/>
    <w:rsid w:val="0026605B"/>
    <w:rsid w:val="00292706"/>
    <w:rsid w:val="00293AE3"/>
    <w:rsid w:val="002A0AAE"/>
    <w:rsid w:val="002B18AD"/>
    <w:rsid w:val="002B5817"/>
    <w:rsid w:val="002E1B58"/>
    <w:rsid w:val="002F7B08"/>
    <w:rsid w:val="003020D6"/>
    <w:rsid w:val="003322DD"/>
    <w:rsid w:val="00336575"/>
    <w:rsid w:val="0035042F"/>
    <w:rsid w:val="0035197D"/>
    <w:rsid w:val="00352666"/>
    <w:rsid w:val="003854AC"/>
    <w:rsid w:val="003857C8"/>
    <w:rsid w:val="003A4D28"/>
    <w:rsid w:val="003C44F7"/>
    <w:rsid w:val="003E1CE3"/>
    <w:rsid w:val="00405390"/>
    <w:rsid w:val="00417492"/>
    <w:rsid w:val="00417F13"/>
    <w:rsid w:val="0043416F"/>
    <w:rsid w:val="00454498"/>
    <w:rsid w:val="00485DC6"/>
    <w:rsid w:val="0048678F"/>
    <w:rsid w:val="00496630"/>
    <w:rsid w:val="00507470"/>
    <w:rsid w:val="005167F9"/>
    <w:rsid w:val="00520083"/>
    <w:rsid w:val="00520CD7"/>
    <w:rsid w:val="005658BB"/>
    <w:rsid w:val="00585B4F"/>
    <w:rsid w:val="00596034"/>
    <w:rsid w:val="005B6CAE"/>
    <w:rsid w:val="005C26B3"/>
    <w:rsid w:val="005C2B58"/>
    <w:rsid w:val="005F099A"/>
    <w:rsid w:val="00601A9E"/>
    <w:rsid w:val="00621454"/>
    <w:rsid w:val="00680A93"/>
    <w:rsid w:val="00697311"/>
    <w:rsid w:val="006A761C"/>
    <w:rsid w:val="006B3E35"/>
    <w:rsid w:val="006C42E3"/>
    <w:rsid w:val="006C5ED6"/>
    <w:rsid w:val="006E0BC0"/>
    <w:rsid w:val="006E3697"/>
    <w:rsid w:val="006F0354"/>
    <w:rsid w:val="0072544B"/>
    <w:rsid w:val="0073115D"/>
    <w:rsid w:val="00745B26"/>
    <w:rsid w:val="00746531"/>
    <w:rsid w:val="00747B2F"/>
    <w:rsid w:val="00761982"/>
    <w:rsid w:val="00776F25"/>
    <w:rsid w:val="007904A2"/>
    <w:rsid w:val="007B0C05"/>
    <w:rsid w:val="0082548D"/>
    <w:rsid w:val="00866D7C"/>
    <w:rsid w:val="008701A5"/>
    <w:rsid w:val="008840B2"/>
    <w:rsid w:val="008A1C6E"/>
    <w:rsid w:val="008C3E4C"/>
    <w:rsid w:val="008C7034"/>
    <w:rsid w:val="008C759F"/>
    <w:rsid w:val="008E1141"/>
    <w:rsid w:val="008F2AAD"/>
    <w:rsid w:val="008F5152"/>
    <w:rsid w:val="008F6A9A"/>
    <w:rsid w:val="00904492"/>
    <w:rsid w:val="00933DFB"/>
    <w:rsid w:val="0094361B"/>
    <w:rsid w:val="0094651C"/>
    <w:rsid w:val="009A51D9"/>
    <w:rsid w:val="009C1971"/>
    <w:rsid w:val="009D7681"/>
    <w:rsid w:val="009E575E"/>
    <w:rsid w:val="009F09DC"/>
    <w:rsid w:val="009F43D3"/>
    <w:rsid w:val="00A0697B"/>
    <w:rsid w:val="00A63AE5"/>
    <w:rsid w:val="00A82019"/>
    <w:rsid w:val="00A9754B"/>
    <w:rsid w:val="00AC4ED8"/>
    <w:rsid w:val="00AD5CCA"/>
    <w:rsid w:val="00AF6FA4"/>
    <w:rsid w:val="00B248A4"/>
    <w:rsid w:val="00B40FCC"/>
    <w:rsid w:val="00B53E76"/>
    <w:rsid w:val="00B87224"/>
    <w:rsid w:val="00B97643"/>
    <w:rsid w:val="00BC29C9"/>
    <w:rsid w:val="00BC49DC"/>
    <w:rsid w:val="00BD2F28"/>
    <w:rsid w:val="00BD3AF6"/>
    <w:rsid w:val="00BD64BE"/>
    <w:rsid w:val="00BF225D"/>
    <w:rsid w:val="00BF3033"/>
    <w:rsid w:val="00C00D70"/>
    <w:rsid w:val="00C0705A"/>
    <w:rsid w:val="00C15DA4"/>
    <w:rsid w:val="00C26F95"/>
    <w:rsid w:val="00C76232"/>
    <w:rsid w:val="00C8686F"/>
    <w:rsid w:val="00CC6723"/>
    <w:rsid w:val="00CD5064"/>
    <w:rsid w:val="00CE4221"/>
    <w:rsid w:val="00CF0E1A"/>
    <w:rsid w:val="00CF530E"/>
    <w:rsid w:val="00D061EA"/>
    <w:rsid w:val="00D41B7D"/>
    <w:rsid w:val="00D54C4D"/>
    <w:rsid w:val="00D62BCF"/>
    <w:rsid w:val="00D6624B"/>
    <w:rsid w:val="00D90D5C"/>
    <w:rsid w:val="00D92E21"/>
    <w:rsid w:val="00DA6542"/>
    <w:rsid w:val="00DC03DE"/>
    <w:rsid w:val="00DC43D5"/>
    <w:rsid w:val="00DC6CC4"/>
    <w:rsid w:val="00DC78FB"/>
    <w:rsid w:val="00E14C7F"/>
    <w:rsid w:val="00E22703"/>
    <w:rsid w:val="00E401B3"/>
    <w:rsid w:val="00E57D6D"/>
    <w:rsid w:val="00E57F24"/>
    <w:rsid w:val="00E82AB6"/>
    <w:rsid w:val="00E86AAE"/>
    <w:rsid w:val="00E935CE"/>
    <w:rsid w:val="00EE298E"/>
    <w:rsid w:val="00EF2493"/>
    <w:rsid w:val="00F0223A"/>
    <w:rsid w:val="00F124D6"/>
    <w:rsid w:val="00F143E2"/>
    <w:rsid w:val="00F14942"/>
    <w:rsid w:val="00F6782D"/>
    <w:rsid w:val="00F707A1"/>
    <w:rsid w:val="00F86097"/>
    <w:rsid w:val="00FA302E"/>
    <w:rsid w:val="00FF2185"/>
    <w:rsid w:val="6BFFC9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link w:val="10"/>
    <w:semiHidden/>
    <w:unhideWhenUsed/>
    <w:qFormat/>
    <w:uiPriority w:val="0"/>
    <w:pPr>
      <w:keepNext/>
      <w:keepLines/>
      <w:spacing w:before="280" w:after="290" w:line="376" w:lineRule="auto"/>
      <w:outlineLvl w:val="3"/>
    </w:pPr>
    <w:rPr>
      <w:rFonts w:ascii="等线 Light" w:hAnsi="等线 Light" w:eastAsia="等线 Light"/>
      <w:b/>
      <w:bCs/>
      <w:sz w:val="28"/>
      <w:szCs w:val="2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paragraph" w:styleId="9">
    <w:name w:val="List Paragraph"/>
    <w:basedOn w:val="1"/>
    <w:qFormat/>
    <w:uiPriority w:val="34"/>
    <w:pPr>
      <w:spacing w:after="160" w:line="278" w:lineRule="auto"/>
      <w:ind w:left="720"/>
      <w:contextualSpacing/>
      <w:jc w:val="left"/>
    </w:pPr>
    <w:rPr>
      <w:rFonts w:ascii="等线" w:hAnsi="等线" w:eastAsia="等线"/>
      <w:sz w:val="22"/>
    </w:rPr>
  </w:style>
  <w:style w:type="character" w:customStyle="1" w:styleId="10">
    <w:name w:val="标题 4 字符"/>
    <w:link w:val="2"/>
    <w:semiHidden/>
    <w:uiPriority w:val="0"/>
    <w:rPr>
      <w:rFonts w:ascii="等线 Light" w:hAnsi="等线 Light" w:eastAsia="等线 Light" w:cs="Times New Roman"/>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20</Pages>
  <Words>3032</Words>
  <Characters>17289</Characters>
  <Lines>144</Lines>
  <Paragraphs>40</Paragraphs>
  <TotalTime>1335</TotalTime>
  <ScaleCrop>false</ScaleCrop>
  <LinksUpToDate>false</LinksUpToDate>
  <CharactersWithSpaces>20281</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2026-05-14T15:06:00Z</dcterms:created>
  <dc:creator>微软用户</dc:creator>
  <cp:lastModifiedBy>彭玥</cp:lastModifiedBy>
  <cp:lastPrinted>2026-06-04T20:33:00Z</cp:lastPrinted>
  <dcterms:modified xsi:type="dcterms:W3CDTF">2026-06-08T21:30:35Z</dcterms:modified>
  <dc:title> </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21BB0CDB7FBE95ABFBC3266A173329C9_42</vt:lpwstr>
  </property>
</Properties>
</file>