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9535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一、风机智能化与数字化运维</w:t>
      </w:r>
    </w:p>
    <w:p w14:paraId="03FC306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随着工业4.0发展，风机系统的智能监测、故障预测成为趋势，可补充：</w:t>
      </w:r>
    </w:p>
    <w:p w14:paraId="7251914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智能传感器应用</w:t>
      </w:r>
    </w:p>
    <w:p w14:paraId="4A220D7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振动/温度/压力/流量传感器的选型（如无线振动传感器、光纤温度传感器的优势）、安装位置（如轴承座、机壳测点布置规范）。</w:t>
      </w:r>
    </w:p>
    <w:p w14:paraId="1970401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数据采集系统（SCADA）与风机的集成案例（如某电厂风机加装振动监测后，提前3个月预警轴承故障）。</w:t>
      </w:r>
    </w:p>
    <w:p w14:paraId="0D03601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故障预测与健康管理（PHM）</w:t>
      </w:r>
    </w:p>
    <w:p w14:paraId="1477A32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基于AI的故障诊断模型（如用LSTM神经网络分析振动频谱，识别“不对中”“叶片磨损”等故障）。</w:t>
      </w:r>
    </w:p>
    <w:p w14:paraId="0E3154C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典型故障的“数字孪生”模拟（通过虚拟模型复现风机喘振过程，优化防喘振策略）。</w:t>
      </w:r>
    </w:p>
    <w:p w14:paraId="27517EA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远程运维平台</w:t>
      </w:r>
    </w:p>
    <w:p w14:paraId="188DE20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风机云端监控系统的功能（实时数据看板、报警推送、历史趋势分析）。</w:t>
      </w:r>
    </w:p>
    <w:p w14:paraId="13C48FD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移动端APP操作指南（如手机查看风机运行参数、接收故障短信）。</w:t>
      </w:r>
    </w:p>
    <w:p w14:paraId="171ECAF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二、高效节能技术与改造</w:t>
      </w:r>
    </w:p>
    <w:p w14:paraId="4AA509A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响应“双碳”目标，补充节能改造案例与技术：</w:t>
      </w:r>
    </w:p>
    <w:p w14:paraId="313D3ED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新型节能风机设计</w:t>
      </w:r>
    </w:p>
    <w:p w14:paraId="6679863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三元流叶轮设计原理（对比传统二元流，效率提升5%~8%的计算案例）。</w:t>
      </w:r>
    </w:p>
    <w:p w14:paraId="35E91C3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永磁直驱电机+变频器的节能效果（某水泥厂风机改造后，年节电30万度）。</w:t>
      </w:r>
    </w:p>
    <w:p w14:paraId="12E4833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系统级节能优化</w:t>
      </w:r>
    </w:p>
    <w:p w14:paraId="34D81AC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管网阻力优化（如弯头改弧形、阀门换蝶阀的阻力降低计算）。</w:t>
      </w:r>
    </w:p>
    <w:p w14:paraId="3196F82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多台风机并联/串联的节能控制策略（如“一拖多”变频柜的PID调节逻辑）。</w:t>
      </w:r>
    </w:p>
    <w:p w14:paraId="5C7D1FA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余热回收与能量梯级利用</w:t>
      </w:r>
    </w:p>
    <w:p w14:paraId="716AFFE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风机出口高温气体余热回收（如用热管换热器预热助燃空气，回收率超60%）。</w:t>
      </w:r>
    </w:p>
    <w:p w14:paraId="6ABA4A8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低品位热能驱动风机（如吸收式制冷机驱动的风机冷却系统）。</w:t>
      </w:r>
    </w:p>
    <w:p w14:paraId="0E13871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三、特殊工况与极端环境适配</w:t>
      </w:r>
    </w:p>
    <w:p w14:paraId="39A67E0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针对矿山、化工、海上风电等场景，补充：</w:t>
      </w:r>
    </w:p>
    <w:p w14:paraId="1D7382C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防爆/防腐风机设计</w:t>
      </w:r>
    </w:p>
    <w:p w14:paraId="0ED2D10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煤矿井下防爆风机的认证标准（如ExdIIBT4等级的结构要求）。</w:t>
      </w:r>
    </w:p>
    <w:p w14:paraId="5C7DE1A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化工行业防腐涂层选型（如环氧树脂+玻璃鳞片涂层的耐酸碱测试数据）。</w:t>
      </w:r>
    </w:p>
    <w:p w14:paraId="39039BE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高海拔/低温环境运行</w:t>
      </w:r>
    </w:p>
    <w:p w14:paraId="276C028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高原地区风机性能修正公式（如海拔3000m时，风量/全压的修正系数计算）。</w:t>
      </w:r>
    </w:p>
    <w:p w14:paraId="6D0BD96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极寒地区（-40℃）风机的防冻措施（如加热电缆伴热、润滑油低温选型）。</w:t>
      </w:r>
    </w:p>
    <w:p w14:paraId="36FB141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海上风电专用风机</w:t>
      </w:r>
    </w:p>
    <w:p w14:paraId="1A3B13B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抗盐雾腐蚀的材料选择（如双相不锈钢螺栓、海洋级油漆体系）。</w:t>
      </w:r>
    </w:p>
    <w:p w14:paraId="201A38E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台风工况下的安全停机策略（如变桨系统快速顺桨的逻辑优化）。</w:t>
      </w:r>
    </w:p>
    <w:p w14:paraId="2635D92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四、噪声治理与环保升级</w:t>
      </w:r>
    </w:p>
    <w:p w14:paraId="4CF5516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结合环保法规趋严，补充：</w:t>
      </w:r>
    </w:p>
    <w:p w14:paraId="2C47602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超低噪声风机设计</w:t>
      </w:r>
    </w:p>
    <w:p w14:paraId="289D0F8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仿生学降噪（如模仿猫头鹰羽毛的锯齿状叶片，降噪3~5dB）。</w:t>
      </w:r>
    </w:p>
    <w:p w14:paraId="6EAE54B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主动降噪技术（如扬声器反相声波抵消风机噪声的实验数据）。</w:t>
      </w:r>
    </w:p>
    <w:p w14:paraId="767823A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粉尘/废气协同处理</w:t>
      </w:r>
    </w:p>
    <w:p w14:paraId="220C878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风机+布袋除尘器的系统集成（如负压除尘风机的选型要点）。</w:t>
      </w:r>
    </w:p>
    <w:p w14:paraId="007FC59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脱硫脱硝系统与风机的匹配（如湿法脱硫后烟气的湿度对风机腐蚀的影响及应对）。</w:t>
      </w:r>
    </w:p>
    <w:p w14:paraId="25DE22E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五、安装与维护的“避坑指南”</w:t>
      </w:r>
    </w:p>
    <w:p w14:paraId="0C51DC5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基于工程经验，补充实操性内容：</w:t>
      </w:r>
    </w:p>
    <w:p w14:paraId="271F3E9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安装常见错误及纠正</w:t>
      </w:r>
    </w:p>
    <w:p w14:paraId="22F15CA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基础灌浆不实的危害（如导致地脚螺栓松动，振动值超标2倍）。</w:t>
      </w:r>
    </w:p>
    <w:p w14:paraId="1135699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联轴器对中偏差的允许范围（如弹性联轴器径向偏差≤0.05mm的测量方法）。</w:t>
      </w:r>
    </w:p>
    <w:p w14:paraId="4B81FBC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维护周期优化</w:t>
      </w:r>
    </w:p>
    <w:p w14:paraId="54ABC8E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基于状态监测的“视情维护”（如振动值＜2.8mm/s时，轴承更换周期从1年延长至2年）。</w:t>
      </w:r>
    </w:p>
    <w:p w14:paraId="3B098D8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皮带传动的“寿命预测模型”（根据皮带张力、转速计算剩余寿命）。</w:t>
      </w:r>
    </w:p>
    <w:p w14:paraId="137AFCC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六、标准与法规更新</w:t>
      </w:r>
    </w:p>
    <w:p w14:paraId="427C46C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跟踪最新国标/行标，补充：</w:t>
      </w:r>
    </w:p>
    <w:p w14:paraId="62C63E6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新标准解读</w:t>
      </w:r>
    </w:p>
    <w:p w14:paraId="6D926C1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GB/T 3235-202X《通风机基本型式、尺寸参数及性能曲线》的变化点（如新增三元流叶轮的尺寸系列）。</w:t>
      </w:r>
    </w:p>
    <w:p w14:paraId="77D9979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ISO 5801:202X《工业通风机 性能试验》的新要求（如测试段长度从5D改为7D的原因）。</w:t>
      </w:r>
    </w:p>
    <w:p w14:paraId="3878E59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环保法规应对</w:t>
      </w:r>
    </w:p>
    <w:p w14:paraId="0079312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各地VOCs排放限值对风机密封的要求（如泄漏率≤0.5%的密封结构设计）。</w:t>
      </w:r>
    </w:p>
    <w:p w14:paraId="322CA71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内容组织建议</w:t>
      </w:r>
    </w:p>
    <w:p w14:paraId="6AD7949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章节划分：按“智能化→节能→特殊工况→环保→维护→标准”分章，每章配“案例+公式+图表”。</w:t>
      </w:r>
    </w:p>
    <w:p w14:paraId="0139B86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配套资源：可增加“智能运维软件操作视频二维码”“节能改造成本计算器Excel模板”。</w:t>
      </w:r>
    </w:p>
    <w:p w14:paraId="65ACA77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读者定位：在每章开头标注“适用人群”（如运维人员重点看故障预测，设计师重点看三元流设计）。</w:t>
      </w:r>
    </w:p>
    <w:p w14:paraId="03C1A66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这些内容既延续了原手册“工具书”的实用性，又融入了行业前沿技术，能让手册在智能化、绿色化时代保持竞争力。如果需要某个模块的详细展开（如“三元流叶轮设计计算步骤”），可以进一步细化~</w:t>
      </w:r>
    </w:p>
    <w:p w14:paraId="4932C8B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这几个方向里，你觉得哪个最急需？我可以帮你把那一块的内容直接写成手册正文。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10F61"/>
    <w:rsid w:val="259330A8"/>
    <w:rsid w:val="2E3C55B8"/>
    <w:rsid w:val="45900B94"/>
    <w:rsid w:val="46CB5AF2"/>
    <w:rsid w:val="4F6312AF"/>
    <w:rsid w:val="641E125C"/>
    <w:rsid w:val="68741D52"/>
    <w:rsid w:val="6A686324"/>
    <w:rsid w:val="71E565E4"/>
    <w:rsid w:val="770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100" w:after="100" w:line="400" w:lineRule="exact"/>
      <w:outlineLvl w:val="0"/>
    </w:pPr>
    <w:rPr>
      <w:rFonts w:eastAsia="黑体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100" w:after="100" w:line="400" w:lineRule="exact"/>
      <w:outlineLvl w:val="1"/>
    </w:pPr>
    <w:rPr>
      <w:rFonts w:eastAsia="黑体" w:asciiTheme="majorAscii" w:hAnsiTheme="majorAscii" w:cstheme="majorBidi"/>
      <w:bCs/>
      <w:sz w:val="28"/>
      <w:szCs w:val="32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9"/>
    <w:rPr>
      <w:rFonts w:eastAsia="黑体" w:asciiTheme="minorAscii" w:hAnsiTheme="minorAscii"/>
      <w:b/>
      <w:bCs/>
      <w:kern w:val="44"/>
      <w:sz w:val="32"/>
      <w:szCs w:val="44"/>
    </w:rPr>
  </w:style>
  <w:style w:type="character" w:customStyle="1" w:styleId="8">
    <w:name w:val="标题 2 字符"/>
    <w:basedOn w:val="6"/>
    <w:link w:val="3"/>
    <w:qFormat/>
    <w:uiPriority w:val="9"/>
    <w:rPr>
      <w:rFonts w:eastAsia="黑体" w:asciiTheme="majorAscii" w:hAnsiTheme="majorAscii" w:cstheme="majorBidi"/>
      <w:bCs/>
      <w:sz w:val="28"/>
      <w:szCs w:val="32"/>
    </w:rPr>
  </w:style>
  <w:style w:type="character" w:customStyle="1" w:styleId="9">
    <w:name w:val="标题 3 字符"/>
    <w:basedOn w:val="6"/>
    <w:link w:val="4"/>
    <w:qFormat/>
    <w:uiPriority w:val="9"/>
    <w:rPr>
      <w:rFonts w:eastAsia="黑体" w:asciiTheme="minorAscii" w:hAnsiTheme="minorAscii"/>
      <w:bCs/>
      <w:sz w:val="24"/>
      <w:szCs w:val="32"/>
    </w:rPr>
  </w:style>
  <w:style w:type="paragraph" w:customStyle="1" w:styleId="10">
    <w:name w:val="正文1"/>
    <w:basedOn w:val="1"/>
    <w:link w:val="11"/>
    <w:qFormat/>
    <w:uiPriority w:val="0"/>
    <w:pPr>
      <w:spacing w:line="400" w:lineRule="exact"/>
    </w:pPr>
  </w:style>
  <w:style w:type="character" w:customStyle="1" w:styleId="11">
    <w:name w:val="正文1 字符"/>
    <w:basedOn w:val="6"/>
    <w:link w:val="10"/>
    <w:qFormat/>
    <w:uiPriority w:val="0"/>
    <w:rPr>
      <w:rFonts w:eastAsia="宋体"/>
      <w:sz w:val="24"/>
    </w:rPr>
  </w:style>
  <w:style w:type="paragraph" w:customStyle="1" w:styleId="12">
    <w:name w:val="标题（1）"/>
    <w:basedOn w:val="2"/>
    <w:next w:val="1"/>
    <w:qFormat/>
    <w:uiPriority w:val="0"/>
    <w:rPr>
      <w:rFonts w:hint="eastAsia" w:ascii="楷体" w:hAnsi="楷体" w:eastAsia="楷体" w:cs="楷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</Words>
  <Characters>7</Characters>
  <Lines>0</Lines>
  <Paragraphs>0</Paragraphs>
  <TotalTime>4</TotalTime>
  <ScaleCrop>false</ScaleCrop>
  <LinksUpToDate>false</LinksUpToDate>
  <CharactersWithSpaces>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2021-04-14T10:39:00Z</dcterms:created>
  <dc:creator>Q</dc:creator>
  <cp:lastModifiedBy>q</cp:lastModifiedBy>
  <dcterms:modified xsi:type="dcterms:W3CDTF">2026-10-19T05:44:48Z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84B8D905EA5E4CC9B9E58EB923B3E4BB</vt:lpwstr>
  </property>
  <property fmtid="{D5CDD505-2E9C-101B-9397-08002B2CF9AE}" pid="4" name="KSOTemplateDocerSaveRecord">
    <vt:lpwstr>eyJoZGlkIjoiNDhlODhkMTZiOWM2MTRhMWY3MzM1ZmI3Y2Q2NmVlZjEiLCJ1c2VySWQiOiI4NTc5NzM2NDEifQ==</vt:lpwstr>
  </property>
</Properties>
</file>