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sz w:val="40"/>
          <w:szCs w:val="40"/>
        </w:rPr>
      </w:pPr>
      <w:r>
        <w:rPr>
          <w:b/>
          <w:bCs/>
          <w:sz w:val="40"/>
          <w:szCs w:val="40"/>
          <w:lang w:eastAsia="pl-P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3810</wp:posOffset>
                </wp:positionV>
                <wp:extent cx="1066800" cy="1028700"/>
                <wp:effectExtent l="38100" t="0" r="19050" b="304800"/>
                <wp:wrapThrough wrapText="bothSides">
                  <wp:wrapPolygon edited="1">
                    <wp:start x="0" y="0"/>
                    <wp:lineTo x="-771" y="28000"/>
                    <wp:lineTo x="21986" y="28000"/>
                    <wp:lineTo x="21986" y="5200"/>
                    <wp:lineTo x="21600" y="800"/>
                    <wp:lineTo x="21214" y="0"/>
                    <wp:lineTo x="0" y="0"/>
                  </wp:wrapPolygon>
                </wp:wrapThrough>
                <wp:docPr id="1" name="Obraz 1" descr="logoUR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Obraz 6" descr="logoUR.png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066800" cy="1028700"/>
                        </a:xfrm>
                        <a:prstGeom prst="roundRect">
                          <a:avLst>
                            <a:gd name="adj" fmla="val 8594"/>
                          </a:avLst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>
                          <a:noFill/>
                        </a:ln>
                        <a:effectLst>
                          <a:reflection blurRad="12700" stA="38000" endPos="28000" dist="5000" dir="5400000" sy="-100000" algn="bl" rotWithShape="0"/>
                        </a:effectLst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2.65pt;mso-position-horizontal:absolute;mso-position-vertical-relative:text;margin-top:0.30pt;mso-position-vertical:absolute;width:84.00pt;height:81.00pt;mso-wrap-distance-left:9.00pt;mso-wrap-distance-top:0.00pt;mso-wrap-distance-right:9.00pt;mso-wrap-distance-bottom:0.00pt;z-index:1;" wrapcoords="0 0 -3568 129630 101787 129630 101787 24074 100000 3704 98213 0 0 0" stroked="f">
                <w10:wrap type="through"/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sz w:val="40"/>
          <w:szCs w:val="40"/>
          <w:lang w:eastAsia="pl-PL"/>
        </w:rPr>
        <w:t xml:space="preserve">Instytut Informatyki</w:t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t xml:space="preserve">Wydział Nauk Ścisłych i Technicznych</w:t>
      </w:r>
      <w:r>
        <w:rPr>
          <w:b/>
          <w:bCs/>
          <w:sz w:val="40"/>
          <w:szCs w:val="40"/>
        </w:rPr>
        <w:br/>
        <w:t xml:space="preserve">Uniwersytet Rzeszowski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Bdr/>
        <w:spacing/>
        <w:ind/>
        <w:rPr>
          <w:b/>
          <w:u w:val="single"/>
        </w:rPr>
      </w:pPr>
      <w:r>
        <w:rPr>
          <w:b/>
          <w:u w:val="single"/>
        </w:rPr>
      </w:r>
      <w:r>
        <w:rPr>
          <w:b/>
          <w:u w:val="single"/>
        </w:rPr>
      </w:r>
      <w:r>
        <w:rPr>
          <w:b/>
          <w:u w:val="single"/>
        </w:rPr>
      </w:r>
    </w:p>
    <w:p>
      <w:pPr>
        <w:pBdr/>
        <w:spacing/>
        <w:ind/>
        <w:rPr>
          <w:b/>
          <w:u w:val="single"/>
        </w:rPr>
      </w:pPr>
      <w:r>
        <w:rPr>
          <w:b/>
          <w:u w:val="single"/>
        </w:rPr>
      </w:r>
      <w:r>
        <w:rPr>
          <w:b/>
          <w:u w:val="single"/>
        </w:rPr>
      </w:r>
      <w:r>
        <w:rPr>
          <w:b/>
          <w:u w:val="single"/>
        </w:rPr>
      </w:r>
    </w:p>
    <w:p>
      <w:pPr>
        <w:pBdr/>
        <w:spacing/>
        <w:ind/>
        <w:rPr>
          <w:b/>
          <w:u w:val="single"/>
        </w:rPr>
      </w:pPr>
      <w:r>
        <w:rPr>
          <w:b/>
          <w:u w:val="single"/>
        </w:rPr>
      </w:r>
      <w:r>
        <w:rPr>
          <w:b/>
          <w:u w:val="single"/>
        </w:rPr>
      </w:r>
      <w:r>
        <w:rPr>
          <w:b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Przedmiot:</w:t>
      </w:r>
      <w:r>
        <w:rPr>
          <w:rFonts w:ascii="Times New Roman" w:hAnsi="Times New Roman" w:cs="Times New Roman"/>
          <w:b/>
          <w:sz w:val="48"/>
          <w:szCs w:val="48"/>
        </w:rPr>
      </w:r>
      <w:r>
        <w:rPr>
          <w:rFonts w:ascii="Times New Roman" w:hAnsi="Times New Roman" w:cs="Times New Roman"/>
          <w:b/>
          <w:sz w:val="48"/>
          <w:szCs w:val="4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Programowanie zespołowe</w:t>
      </w:r>
      <w:r>
        <w:rPr>
          <w:rFonts w:ascii="Times New Roman" w:hAnsi="Times New Roman" w:cs="Times New Roman"/>
          <w:b/>
          <w:sz w:val="48"/>
          <w:szCs w:val="48"/>
        </w:rPr>
      </w:r>
      <w:r>
        <w:rPr>
          <w:rFonts w:ascii="Times New Roman" w:hAnsi="Times New Roman" w:cs="Times New Roman"/>
          <w:b/>
          <w:sz w:val="48"/>
          <w:szCs w:val="48"/>
        </w:rPr>
      </w:r>
    </w:p>
    <w:p>
      <w:pPr>
        <w:pBdr/>
        <w:spacing/>
        <w:ind/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</w:r>
      <w:r>
        <w:rPr>
          <w:b/>
          <w:sz w:val="44"/>
          <w:szCs w:val="44"/>
          <w:u w:val="single"/>
        </w:rPr>
      </w:r>
      <w:r>
        <w:rPr>
          <w:b/>
          <w:sz w:val="44"/>
          <w:szCs w:val="44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bCs/>
          <w:iCs/>
          <w:sz w:val="48"/>
          <w:szCs w:val="48"/>
        </w:rPr>
        <w:t xml:space="preserve">Podręcznik użytkownika </w:t>
      </w:r>
      <w:r>
        <w:rPr>
          <w:rFonts w:ascii="Times New Roman" w:hAnsi="Times New Roman" w:cs="Times New Roman"/>
          <w:b/>
          <w:bCs/>
          <w:iCs/>
          <w:sz w:val="48"/>
          <w:szCs w:val="48"/>
        </w:rPr>
        <w:t xml:space="preserve">projektu: </w:t>
      </w:r>
      <w:r>
        <w:rPr>
          <w:rFonts w:ascii="Times New Roman" w:hAnsi="Times New Roman" w:cs="Times New Roman"/>
          <w:b/>
          <w:sz w:val="48"/>
          <w:szCs w:val="48"/>
        </w:rPr>
      </w:r>
      <w:r>
        <w:rPr>
          <w:rFonts w:ascii="Times New Roman" w:hAnsi="Times New Roman" w:cs="Times New Roman"/>
          <w:b/>
          <w:sz w:val="48"/>
          <w:szCs w:val="48"/>
        </w:rPr>
      </w:r>
    </w:p>
    <w:p w14:paraId="3649B6BA">
      <w:pPr>
        <w:pBdr/>
        <w:spacing w:after="20" w:before="0"/>
        <w:ind/>
        <w:jc w:val="center"/>
        <w:rPr>
          <w:sz w:val="40"/>
          <w:szCs w:val="40"/>
        </w:rPr>
      </w:pPr>
      <w:r>
        <w:rPr>
          <w:rFonts w:ascii="Arial" w:hAnsi="Arial" w:eastAsia="Arial" w:cs="Arial"/>
          <w:b/>
          <w:bCs/>
          <w:color w:val="2e75b6"/>
          <w:sz w:val="40"/>
          <w:szCs w:val="40"/>
        </w:rPr>
        <w:t xml:space="preserve">BlokUR</w:t>
      </w:r>
      <w:r>
        <w:rPr>
          <w:sz w:val="40"/>
          <w:szCs w:val="40"/>
        </w:rPr>
      </w:r>
      <w:r>
        <w:rPr>
          <w:sz w:val="40"/>
          <w:szCs w:val="40"/>
        </w:rPr>
      </w:r>
    </w:p>
    <w:p w14:paraId="4B4B62CB">
      <w:pPr>
        <w:pBdr/>
        <w:spacing w:after="240" w:before="0"/>
        <w:ind/>
        <w:jc w:val="center"/>
        <w:rPr>
          <w:sz w:val="20"/>
          <w:szCs w:val="20"/>
        </w:rPr>
      </w:pPr>
      <w:r>
        <w:rPr>
          <w:rFonts w:ascii="Arial" w:hAnsi="Arial" w:eastAsia="Arial" w:cs="Arial"/>
          <w:i/>
          <w:iCs/>
          <w:color w:val="1f4e79"/>
          <w:sz w:val="20"/>
          <w:szCs w:val="20"/>
        </w:rPr>
        <w:t xml:space="preserve">System zarządzania nieruchomościami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center"/>
        <w:rPr>
          <w:b/>
          <w:bCs/>
          <w:i/>
          <w:iCs/>
          <w:sz w:val="40"/>
          <w:szCs w:val="48"/>
          <w:u w:val="single"/>
        </w:rPr>
      </w:pPr>
      <w:r>
        <w:rPr>
          <w:b/>
          <w:bCs/>
          <w:i/>
          <w:iCs/>
          <w:sz w:val="40"/>
          <w:szCs w:val="48"/>
          <w:u w:val="single"/>
        </w:rPr>
      </w:r>
      <w:r>
        <w:rPr>
          <w:b/>
          <w:bCs/>
          <w:i/>
          <w:iCs/>
          <w:sz w:val="40"/>
          <w:szCs w:val="48"/>
          <w:u w:val="single"/>
        </w:rPr>
      </w:r>
      <w:r>
        <w:rPr>
          <w:b/>
          <w:bCs/>
          <w:i/>
          <w:iCs/>
          <w:sz w:val="40"/>
          <w:szCs w:val="48"/>
          <w:u w:val="single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Wykonał: </w:t>
      </w:r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pBdr/>
        <w:spacing w:line="240" w:lineRule="auto"/>
        <w:ind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Zespół projektowy RÓŻOWI</w:t>
      </w:r>
      <w:bookmarkStart w:id="0" w:name="_GoBack"/>
      <w:r/>
      <w:bookmarkEnd w:id="0"/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pBdr/>
        <w:spacing/>
        <w:ind/>
        <w:rPr>
          <w:b/>
          <w:sz w:val="24"/>
          <w:u w:val="single"/>
        </w:rPr>
      </w:pPr>
      <w:r>
        <w:rPr>
          <w:b/>
          <w:sz w:val="24"/>
          <w:u w:val="single"/>
        </w:rPr>
      </w:r>
      <w:r>
        <w:rPr>
          <w:b/>
          <w:sz w:val="24"/>
          <w:u w:val="single"/>
        </w:rPr>
      </w:r>
      <w:r>
        <w:rPr>
          <w:b/>
          <w:sz w:val="24"/>
          <w:u w:val="single"/>
        </w:rPr>
      </w:r>
    </w:p>
    <w:p>
      <w:pPr>
        <w:pBdr/>
        <w:spacing/>
        <w:ind/>
        <w:rPr>
          <w:b/>
          <w:sz w:val="20"/>
          <w:u w:val="single"/>
        </w:rPr>
      </w:pPr>
      <w:r>
        <w:rPr>
          <w:b/>
          <w:sz w:val="20"/>
          <w:u w:val="single"/>
        </w:rPr>
      </w:r>
      <w:r>
        <w:rPr>
          <w:b/>
          <w:sz w:val="20"/>
          <w:u w:val="single"/>
        </w:rPr>
      </w:r>
      <w:r>
        <w:rPr>
          <w:b/>
          <w:sz w:val="20"/>
          <w:u w:val="single"/>
        </w:rPr>
      </w:r>
    </w:p>
    <w:p>
      <w:pPr>
        <w:pBdr/>
        <w:spacing/>
        <w:ind/>
        <w:rPr>
          <w:b/>
          <w:sz w:val="20"/>
          <w:szCs w:val="28"/>
        </w:rPr>
      </w:pPr>
      <w:r>
        <w:rPr>
          <w:b/>
          <w:sz w:val="20"/>
          <w:szCs w:val="28"/>
        </w:rPr>
      </w:r>
      <w:r>
        <w:rPr>
          <w:b/>
          <w:sz w:val="20"/>
          <w:szCs w:val="28"/>
        </w:rPr>
      </w:r>
      <w:r>
        <w:rPr>
          <w:b/>
          <w:sz w:val="20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Prowadzący: </w:t>
      </w:r>
      <w:r>
        <w:rPr>
          <w:rFonts w:ascii="Times New Roman" w:hAnsi="Times New Roman" w:cs="Times New Roman"/>
          <w:b/>
          <w:sz w:val="32"/>
          <w:szCs w:val="32"/>
        </w:rPr>
        <w:t xml:space="preserve">mgr</w:t>
      </w:r>
      <w:r>
        <w:rPr>
          <w:rFonts w:ascii="Times New Roman" w:hAnsi="Times New Roman" w:cs="Times New Roman"/>
          <w:b/>
          <w:sz w:val="32"/>
          <w:szCs w:val="32"/>
        </w:rPr>
        <w:t xml:space="preserve"> inż. </w:t>
      </w:r>
      <w:r>
        <w:rPr>
          <w:rFonts w:ascii="Times New Roman" w:hAnsi="Times New Roman" w:cs="Times New Roman"/>
          <w:b/>
          <w:sz w:val="32"/>
          <w:szCs w:val="32"/>
        </w:rPr>
        <w:t xml:space="preserve">Adam Szczur</w:t>
      </w:r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Rzeszów 20</w:t>
      </w:r>
      <w:r>
        <w:rPr>
          <w:rFonts w:ascii="Times New Roman" w:hAnsi="Times New Roman" w:cs="Times New Roman"/>
          <w:b/>
          <w:sz w:val="32"/>
          <w:szCs w:val="32"/>
        </w:rPr>
        <w:t xml:space="preserve">2</w:t>
      </w:r>
      <w:r>
        <w:rPr>
          <w:rFonts w:ascii="Times New Roman" w:hAnsi="Times New Roman" w:cs="Times New Roman"/>
          <w:b/>
          <w:sz w:val="32"/>
          <w:szCs w:val="32"/>
        </w:rPr>
        <w:t xml:space="preserve">6</w:t>
      </w:r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pBdr/>
        <w:spacing w:after="160" w:line="259" w:lineRule="auto"/>
        <w:ind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 w:clear="all"/>
      </w:r>
      <w:r>
        <w:rPr>
          <w:rFonts w:ascii="Times New Roman" w:hAnsi="Times New Roman" w:cs="Times New Roman"/>
          <w:b/>
          <w:sz w:val="16"/>
          <w:szCs w:val="16"/>
        </w:rPr>
      </w:r>
      <w:r>
        <w:rPr>
          <w:rFonts w:ascii="Times New Roman" w:hAnsi="Times New Roman" w:cs="Times New Roman"/>
          <w:b/>
          <w:sz w:val="16"/>
          <w:szCs w:val="16"/>
        </w:rPr>
      </w:r>
    </w:p>
    <w:sdt>
      <w:sdtPr>
        <w15:appearance w15:val="boundingBox"/>
        <w:id w:val="260341715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Bidi"/>
          <w:color w:val="auto"/>
          <w:sz w:val="22"/>
          <w:szCs w:val="22"/>
          <w:lang w:eastAsia="en-US"/>
        </w:rPr>
      </w:sdtPr>
      <w:sdtContent>
        <w:p>
          <w:pPr>
            <w:pStyle w:val="986"/>
            <w:pBdr/>
            <w:spacing/>
            <w:ind/>
            <w:rPr/>
          </w:pPr>
          <w:r>
            <w:t xml:space="preserve">Spis treści</w:t>
          </w:r>
          <w:r/>
        </w:p>
        <w:p w14:paraId="0CCF1D15">
          <w:pPr>
            <w:pStyle w:val="987"/>
            <w:pBdr/>
            <w:tabs>
              <w:tab w:val="left" w:leader="none" w:pos="567"/>
              <w:tab w:val="right" w:leader="dot" w:pos="9062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" w:anchor="_Toc1" w:history="1">
            <w:r>
              <w:rPr>
                <w:rFonts w:asciiTheme="majorHAnsi" w:hAnsiTheme="majorHAnsi" w:eastAsiaTheme="majorEastAsia" w:cstheme="majorBidi"/>
              </w:rPr>
              <w:t xml:space="preserve">1.</w:t>
            </w:r>
            <w:r>
              <w:tab/>
            </w:r>
            <w:r>
              <w:rPr>
                <w:rStyle w:val="990"/>
              </w:rPr>
            </w:r>
            <w:r>
              <w:rPr>
                <w:rStyle w:val="990"/>
              </w:rPr>
              <w:t xml:space="preserve">Opis aplikacji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  <w:r/>
        </w:p>
        <w:p w14:paraId="20F2A9AA">
          <w:pPr>
            <w:pStyle w:val="987"/>
            <w:pBdr/>
            <w:tabs>
              <w:tab w:val="left" w:leader="none" w:pos="567"/>
              <w:tab w:val="right" w:leader="dot" w:pos="9062"/>
            </w:tabs>
            <w:spacing/>
            <w:ind/>
            <w:rPr/>
          </w:pPr>
          <w:r/>
          <w:hyperlink w:tooltip="#_Toc2" w:anchor="_Toc2" w:history="1">
            <w:r>
              <w:rPr>
                <w:rFonts w:asciiTheme="majorHAnsi" w:hAnsiTheme="majorHAnsi" w:eastAsiaTheme="majorEastAsia" w:cstheme="majorBidi"/>
              </w:rPr>
              <w:t xml:space="preserve">2.</w:t>
            </w:r>
            <w:r>
              <w:tab/>
            </w:r>
            <w:r>
              <w:rPr>
                <w:rStyle w:val="990"/>
              </w:rPr>
            </w:r>
            <w:r>
              <w:rPr>
                <w:rStyle w:val="990"/>
              </w:rPr>
              <w:t xml:space="preserve">Instalacja i uruchomienie aplikacji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  <w:r/>
        </w:p>
        <w:p w14:paraId="33F2BC3F">
          <w:pPr>
            <w:pStyle w:val="988"/>
            <w:pBdr/>
            <w:tabs>
              <w:tab w:val="left" w:leader="none" w:pos="850"/>
              <w:tab w:val="right" w:leader="dot" w:pos="9062"/>
            </w:tabs>
            <w:spacing/>
            <w:ind/>
            <w:rPr/>
          </w:pPr>
          <w:r/>
          <w:hyperlink w:tooltip="#_Toc3" w:anchor="_Toc3" w:history="1">
            <w:r>
              <w:rPr>
                <w:rFonts w:asciiTheme="majorHAnsi" w:hAnsiTheme="majorHAnsi" w:eastAsiaTheme="majorEastAsia" w:cstheme="majorBidi"/>
              </w:rPr>
              <w:t xml:space="preserve">2.1.</w:t>
            </w:r>
            <w:r>
              <w:tab/>
            </w:r>
            <w:r>
              <w:rPr>
                <w:rStyle w:val="990"/>
              </w:rPr>
            </w:r>
            <w:r>
              <w:rPr>
                <w:rStyle w:val="990"/>
              </w:rPr>
              <w:t xml:space="preserve">Przygotowanie środowiska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  <w:r/>
        </w:p>
        <w:p w14:paraId="52261782">
          <w:pPr>
            <w:pStyle w:val="988"/>
            <w:pBdr/>
            <w:tabs>
              <w:tab w:val="left" w:leader="none" w:pos="850"/>
              <w:tab w:val="right" w:leader="dot" w:pos="9062"/>
            </w:tabs>
            <w:spacing/>
            <w:ind/>
            <w:rPr/>
          </w:pPr>
          <w:r/>
          <w:hyperlink w:tooltip="#_Toc4" w:anchor="_Toc4" w:history="1">
            <w:r>
              <w:rPr>
                <w:rFonts w:asciiTheme="majorHAnsi" w:hAnsiTheme="majorHAnsi" w:eastAsiaTheme="majorEastAsia" w:cstheme="majorBidi"/>
              </w:rPr>
              <w:t xml:space="preserve">2.2.</w:t>
            </w:r>
            <w:r>
              <w:tab/>
            </w:r>
            <w:r>
              <w:rPr>
                <w:rStyle w:val="990"/>
              </w:rPr>
            </w:r>
            <w:r>
              <w:rPr>
                <w:rStyle w:val="990"/>
              </w:rPr>
              <w:t xml:space="preserve">Instalacja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  <w:r/>
        </w:p>
        <w:p w14:paraId="4C031C5B">
          <w:pPr>
            <w:pStyle w:val="988"/>
            <w:pBdr/>
            <w:tabs>
              <w:tab w:val="left" w:leader="none" w:pos="850"/>
              <w:tab w:val="right" w:leader="dot" w:pos="9062"/>
            </w:tabs>
            <w:spacing/>
            <w:ind/>
            <w:rPr/>
          </w:pPr>
          <w:r/>
          <w:hyperlink w:tooltip="#_Toc5" w:anchor="_Toc5" w:history="1">
            <w:r>
              <w:rPr>
                <w:rFonts w:asciiTheme="majorHAnsi" w:hAnsiTheme="majorHAnsi" w:eastAsiaTheme="majorEastAsia" w:cstheme="majorBidi"/>
              </w:rPr>
              <w:t xml:space="preserve">2.3.</w:t>
            </w:r>
            <w:r>
              <w:tab/>
            </w:r>
            <w:r>
              <w:rPr>
                <w:rStyle w:val="990"/>
              </w:rPr>
            </w:r>
            <w:r>
              <w:rPr>
                <w:rStyle w:val="990"/>
              </w:rPr>
              <w:t xml:space="preserve">Uruchomienie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7A65DDC8">
          <w:pPr>
            <w:pStyle w:val="988"/>
            <w:pBdr/>
            <w:tabs>
              <w:tab w:val="right" w:leader="dot" w:pos="9062"/>
            </w:tabs>
            <w:bidi w:val="false"/>
            <w:spacing/>
            <w:ind/>
            <w:rPr/>
          </w:pPr>
          <w:r/>
          <w:hyperlink w:tooltip="#_Toc6" w:anchor="_Toc6" w:history="1">
            <w:r>
              <w:rPr>
                <w:rStyle w:val="990"/>
              </w:rPr>
            </w:r>
            <w:r>
              <w:rPr>
                <w:rStyle w:val="990"/>
              </w:rPr>
              <w:t xml:space="preserve">3. Wygląd programu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7EEFD891">
          <w:pPr>
            <w:pStyle w:val="989"/>
            <w:pBdr/>
            <w:tabs>
              <w:tab w:val="right" w:leader="dot" w:pos="9062"/>
            </w:tabs>
            <w:bidi w:val="false"/>
            <w:spacing/>
            <w:ind/>
            <w:rPr/>
          </w:pPr>
          <w:r/>
          <w:hyperlink w:tooltip="#_Toc7" w:anchor="_Toc7" w:history="1">
            <w:r>
              <w:rPr>
                <w:rStyle w:val="990"/>
              </w:rPr>
            </w:r>
            <w:r>
              <w:rPr>
                <w:rStyle w:val="990"/>
              </w:rPr>
              <w:t xml:space="preserve">3.1. Ekran logowania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76E0EFE4">
          <w:pPr>
            <w:pStyle w:val="989"/>
            <w:pBdr/>
            <w:tabs>
              <w:tab w:val="right" w:leader="dot" w:pos="9062"/>
            </w:tabs>
            <w:bidi w:val="false"/>
            <w:spacing/>
            <w:ind/>
            <w:rPr/>
          </w:pPr>
          <w:r/>
          <w:hyperlink w:tooltip="#_Toc8" w:anchor="_Toc8" w:history="1">
            <w:r>
              <w:rPr>
                <w:rStyle w:val="990"/>
              </w:rPr>
            </w:r>
            <w:r>
              <w:rPr>
                <w:rStyle w:val="990"/>
              </w:rPr>
              <w:t xml:space="preserve">3.2. Panel główny zarządcy (Profil i ustawienia)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6</w:t>
              <w:fldChar w:fldCharType="end"/>
            </w:r>
          </w:hyperlink>
          <w:r/>
          <w:r/>
        </w:p>
        <w:p w14:paraId="49635782">
          <w:pPr>
            <w:pStyle w:val="989"/>
            <w:pBdr/>
            <w:tabs>
              <w:tab w:val="right" w:leader="dot" w:pos="9062"/>
            </w:tabs>
            <w:bidi w:val="false"/>
            <w:spacing/>
            <w:ind/>
            <w:rPr/>
          </w:pPr>
          <w:r/>
          <w:hyperlink w:tooltip="#_Toc9" w:anchor="_Toc9" w:history="1">
            <w:r>
              <w:rPr>
                <w:rStyle w:val="990"/>
              </w:rPr>
            </w:r>
            <w:r>
              <w:rPr>
                <w:rStyle w:val="990"/>
              </w:rPr>
              <w:t xml:space="preserve">3.3. Lista zgłoszeń awarii (perspektywa zarządcy)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38CDA40E">
          <w:pPr>
            <w:pStyle w:val="989"/>
            <w:pBdr/>
            <w:tabs>
              <w:tab w:val="right" w:leader="dot" w:pos="9062"/>
            </w:tabs>
            <w:bidi w:val="false"/>
            <w:spacing/>
            <w:ind/>
            <w:rPr/>
          </w:pPr>
          <w:r/>
          <w:hyperlink w:tooltip="#_Toc10" w:anchor="_Toc10" w:history="1">
            <w:r>
              <w:rPr>
                <w:rStyle w:val="990"/>
              </w:rPr>
            </w:r>
            <w:r>
              <w:rPr>
                <w:rStyle w:val="990"/>
              </w:rPr>
              <w:t xml:space="preserve">3.4. Panel główny mieszkańca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11</w:t>
              <w:fldChar w:fldCharType="end"/>
            </w:r>
          </w:hyperlink>
          <w:r/>
          <w:r/>
        </w:p>
        <w:p w14:paraId="168DCDCE">
          <w:pPr>
            <w:pStyle w:val="988"/>
            <w:pBdr/>
            <w:tabs>
              <w:tab w:val="right" w:leader="dot" w:pos="9062"/>
            </w:tabs>
            <w:bidi w:val="false"/>
            <w:spacing/>
            <w:ind/>
            <w:rPr/>
          </w:pPr>
          <w:r/>
          <w:hyperlink w:tooltip="#_Toc11" w:anchor="_Toc11" w:history="1">
            <w:r>
              <w:rPr>
                <w:rStyle w:val="990"/>
              </w:rPr>
            </w:r>
            <w:r>
              <w:rPr>
                <w:rStyle w:val="990"/>
              </w:rPr>
              <w:t xml:space="preserve">4. Obsługa aplikacji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28E17B0D">
          <w:pPr>
            <w:pStyle w:val="989"/>
            <w:pBdr/>
            <w:tabs>
              <w:tab w:val="right" w:leader="dot" w:pos="9062"/>
            </w:tabs>
            <w:bidi w:val="false"/>
            <w:spacing/>
            <w:ind/>
            <w:rPr/>
          </w:pPr>
          <w:r/>
          <w:hyperlink w:tooltip="#_Toc12" w:anchor="_Toc12" w:history="1">
            <w:r>
              <w:rPr>
                <w:rStyle w:val="990"/>
              </w:rPr>
            </w:r>
            <w:r>
              <w:rPr>
                <w:rStyle w:val="990"/>
              </w:rPr>
              <w:t xml:space="preserve">4.1. Logowanie i zarządzanie kontem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1864D01F">
          <w:pPr>
            <w:pStyle w:val="989"/>
            <w:pBdr/>
            <w:tabs>
              <w:tab w:val="right" w:leader="dot" w:pos="9062"/>
            </w:tabs>
            <w:bidi w:val="false"/>
            <w:spacing/>
            <w:ind/>
            <w:rPr/>
          </w:pPr>
          <w:r/>
          <w:hyperlink w:tooltip="#_Toc13" w:anchor="_Toc13" w:history="1">
            <w:r>
              <w:rPr>
                <w:rStyle w:val="990"/>
              </w:rPr>
            </w:r>
            <w:r>
              <w:rPr>
                <w:rStyle w:val="990"/>
              </w:rPr>
              <w:t xml:space="preserve">4.2. Zarządzanie strukturą nieruchomości i licznikami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21</w:t>
              <w:fldChar w:fldCharType="end"/>
            </w:r>
          </w:hyperlink>
          <w:r/>
          <w:r/>
        </w:p>
        <w:p w14:paraId="2B65F219">
          <w:pPr>
            <w:pStyle w:val="989"/>
            <w:pBdr/>
            <w:tabs>
              <w:tab w:val="right" w:leader="dot" w:pos="9062"/>
            </w:tabs>
            <w:bidi w:val="false"/>
            <w:spacing/>
            <w:ind/>
            <w:rPr/>
          </w:pPr>
          <w:r/>
          <w:hyperlink w:tooltip="#_Toc14" w:anchor="_Toc14" w:history="1">
            <w:r>
              <w:rPr>
                <w:rStyle w:val="990"/>
              </w:rPr>
            </w:r>
            <w:r>
              <w:rPr>
                <w:rStyle w:val="990"/>
              </w:rPr>
              <w:t xml:space="preserve">4.3. Moduł zgłoszeń awarii (Tickety)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30</w:t>
              <w:fldChar w:fldCharType="end"/>
            </w:r>
          </w:hyperlink>
          <w:r/>
          <w:r/>
        </w:p>
        <w:p w14:paraId="0A1CF772">
          <w:pPr>
            <w:pStyle w:val="989"/>
            <w:pBdr/>
            <w:tabs>
              <w:tab w:val="right" w:leader="dot" w:pos="9062"/>
            </w:tabs>
            <w:bidi w:val="false"/>
            <w:spacing/>
            <w:ind/>
            <w:rPr/>
          </w:pPr>
          <w:r/>
          <w:hyperlink w:tooltip="#_Toc15" w:anchor="_Toc15" w:history="1">
            <w:r>
              <w:rPr>
                <w:rStyle w:val="990"/>
              </w:rPr>
            </w:r>
            <w:r>
              <w:rPr>
                <w:rStyle w:val="990"/>
              </w:rPr>
              <w:t xml:space="preserve">4.4. Moduł finansowy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45</w:t>
              <w:fldChar w:fldCharType="end"/>
            </w:r>
          </w:hyperlink>
          <w:r/>
          <w:r/>
        </w:p>
        <w:p w14:paraId="5C14E6FA">
          <w:pPr>
            <w:pStyle w:val="989"/>
            <w:pBdr/>
            <w:tabs>
              <w:tab w:val="right" w:leader="dot" w:pos="9062"/>
            </w:tabs>
            <w:bidi w:val="false"/>
            <w:spacing/>
            <w:ind/>
            <w:rPr/>
          </w:pPr>
          <w:r/>
          <w:hyperlink w:tooltip="#_Toc16" w:anchor="_Toc16" w:history="1">
            <w:r>
              <w:rPr>
                <w:rStyle w:val="990"/>
              </w:rPr>
            </w:r>
            <w:r>
              <w:rPr>
                <w:rStyle w:val="990"/>
              </w:rPr>
              <w:t xml:space="preserve">4.5. Uchwały i głosowania elektroniczne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54</w:t>
              <w:fldChar w:fldCharType="end"/>
            </w:r>
          </w:hyperlink>
          <w:r/>
          <w:r/>
        </w:p>
        <w:p w14:paraId="638DB76B">
          <w:pPr>
            <w:pStyle w:val="989"/>
            <w:pBdr/>
            <w:tabs>
              <w:tab w:val="right" w:leader="dot" w:pos="9062"/>
            </w:tabs>
            <w:bidi w:val="false"/>
            <w:spacing/>
            <w:ind/>
            <w:rPr/>
          </w:pPr>
          <w:r/>
          <w:hyperlink w:tooltip="#_Toc17" w:anchor="_Toc17" w:history="1">
            <w:r>
              <w:rPr>
                <w:rStyle w:val="990"/>
              </w:rPr>
            </w:r>
            <w:r>
              <w:rPr>
                <w:rStyle w:val="990"/>
              </w:rPr>
              <w:t xml:space="preserve">4.6. Komunikacja: ogłoszenia i dystrybucja dokumentów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61</w:t>
              <w:fldChar w:fldCharType="end"/>
            </w:r>
          </w:hyperlink>
          <w:r/>
          <w:r/>
        </w:p>
        <w:p w14:paraId="269EDF32">
          <w:pPr>
            <w:pStyle w:val="989"/>
            <w:pBdr/>
            <w:tabs>
              <w:tab w:val="right" w:leader="dot" w:pos="9062"/>
            </w:tabs>
            <w:bidi w:val="false"/>
            <w:spacing/>
            <w:ind/>
            <w:rPr/>
          </w:pPr>
          <w:r/>
          <w:hyperlink w:tooltip="#_Toc18" w:anchor="_Toc18" w:history="1">
            <w:r>
              <w:rPr>
                <w:rStyle w:val="990"/>
              </w:rPr>
            </w:r>
            <w:r>
              <w:rPr>
                <w:rStyle w:val="990"/>
              </w:rPr>
              <w:t xml:space="preserve">4.7. Harmonogram przeglądów technicznych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69</w:t>
              <w:fldChar w:fldCharType="end"/>
            </w:r>
          </w:hyperlink>
          <w:r/>
          <w:r/>
        </w:p>
        <w:p w14:paraId="29DAF3D9">
          <w:pPr>
            <w:pStyle w:val="989"/>
            <w:pBdr/>
            <w:tabs>
              <w:tab w:val="right" w:leader="dot" w:pos="9062"/>
            </w:tabs>
            <w:bidi w:val="false"/>
            <w:spacing/>
            <w:ind/>
            <w:rPr/>
          </w:pPr>
          <w:r/>
          <w:hyperlink w:tooltip="#_Toc19" w:anchor="_Toc19" w:history="1">
            <w:r>
              <w:rPr>
                <w:rStyle w:val="990"/>
              </w:rPr>
            </w:r>
            <w:r>
              <w:rPr>
                <w:rStyle w:val="990"/>
              </w:rPr>
              <w:t xml:space="preserve">4.8. Konfiguracja powiadomień push</w:t>
            </w:r>
            <w:r>
              <w:rPr>
                <w:rStyle w:val="990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74</w:t>
              <w:fldChar w:fldCharType="end"/>
            </w:r>
          </w:hyperlink>
          <w:r/>
          <w:r/>
        </w:p>
        <w:p w14:paraId="474E4590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 w:after="160" w:line="259" w:lineRule="auto"/>
        <w:ind/>
        <w:rPr/>
      </w:pPr>
      <w:r>
        <w:br w:type="page" w:clear="all"/>
      </w:r>
      <w:r/>
    </w:p>
    <w:p>
      <w:pPr>
        <w:pStyle w:val="972"/>
        <w:numPr>
          <w:ilvl w:val="0"/>
          <w:numId w:val="11"/>
        </w:numPr>
        <w:pBdr/>
        <w:spacing/>
        <w:ind/>
        <w:rPr/>
      </w:pPr>
      <w:r/>
      <w:bookmarkStart w:id="1" w:name="_Toc1"/>
      <w:r>
        <w:t xml:space="preserve">Opis aplikacji</w:t>
      </w:r>
      <w:bookmarkEnd w:id="1"/>
      <w:r/>
      <w:r/>
    </w:p>
    <w:p w14:paraId="6445570C">
      <w:pPr>
        <w:pBdr/>
        <w:spacing w:after="120" w:before="60" w:line="276" w:lineRule="auto"/>
        <w:ind/>
        <w:jc w:val="both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Blokur to mobilna i webowa aplikacja do kompleksowego zarządzania nieruchomościami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wielolokalowymi, przeznaczona przede wszystkim dla zarządców wspólnot mieszkaniowych oraz spółdzielni. System integruje w jednej platformie wszystkie kluc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zowe procesy administracyjne: obsługę zgłoszeń awarii (system ticketowy), zarządzanie finansami i licznikami mediów, obsługę głosowań (uchwał) wspólnoty, dystrybucję dokumentów, publikowanie ogłoszeń oraz harmonogramowanie przeglądów technicznych budynków.</w:t>
      </w:r>
      <w:r>
        <w:rPr>
          <w:color w:val="000000" w:themeColor="text1"/>
        </w:rPr>
      </w:r>
    </w:p>
    <w:p w14:paraId="653F5291">
      <w:pPr>
        <w:pBdr/>
        <w:spacing w:after="120" w:before="60" w:line="276" w:lineRule="auto"/>
        <w:ind/>
        <w:jc w:val="both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Aplikacja realizuje model wielorolowy, w ramach którego wyróżnia się trzy podstawowe typy kont użytkownika:</w:t>
      </w:r>
      <w:r>
        <w:rPr>
          <w:color w:val="000000" w:themeColor="text1"/>
        </w:rPr>
      </w:r>
    </w:p>
    <w:p w14:paraId="5646E8AE">
      <w:pPr>
        <w:pStyle w:val="980"/>
        <w:numPr>
          <w:ilvl w:val="0"/>
          <w:numId w:val="20"/>
        </w:numPr>
        <w:pBdr/>
        <w:spacing w:after="40" w:before="40" w:line="276" w:lineRule="auto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Zarządca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– administrator systemu odpowiedzialny za całość operacji: strukturę nieruchomości, finanse, przydzielanie zadań, tworzenie uchwał i ogłoszeń.</w:t>
      </w:r>
      <w:r>
        <w:rPr>
          <w:color w:val="000000" w:themeColor="text1"/>
        </w:rPr>
      </w:r>
    </w:p>
    <w:p w14:paraId="08F58877">
      <w:pPr>
        <w:pStyle w:val="980"/>
        <w:numPr>
          <w:ilvl w:val="0"/>
          <w:numId w:val="20"/>
        </w:numPr>
        <w:pBdr/>
        <w:spacing w:after="40" w:before="40" w:line="276" w:lineRule="auto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Konserwator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– pracownik techniczny, który odbiera przypisane mu zlecenia napraw, aktualizuje ich status w trakcie realizacji oraz zamyka zgłoszenia raportem z wykonanych prac.</w:t>
      </w:r>
      <w:r>
        <w:rPr>
          <w:color w:val="000000" w:themeColor="text1"/>
        </w:rPr>
      </w:r>
    </w:p>
    <w:p w14:paraId="78FB104C">
      <w:pPr>
        <w:pStyle w:val="980"/>
        <w:numPr>
          <w:ilvl w:val="0"/>
          <w:numId w:val="20"/>
        </w:numPr>
        <w:pBdr/>
        <w:spacing w:after="40" w:before="40" w:line="276" w:lineRule="auto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Mieszkaniec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– lokator posiadający dostęp do własnych finansów, historii zgłoszeń, dokumentów przesłanych przez zarządcę, ogłoszeń na tablicy, wyników głosowań oraz harmonogramu przeglądów.</w:t>
      </w:r>
      <w:r>
        <w:rPr>
          <w:color w:val="000000" w:themeColor="text1"/>
        </w:rPr>
      </w:r>
    </w:p>
    <w:p w14:paraId="2EB5B6BD">
      <w:pPr>
        <w:pBdr/>
        <w:spacing w:after="120" w:before="60" w:line="276" w:lineRule="auto"/>
        <w:ind/>
        <w:jc w:val="both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Główne moduły funkcjonalne systemu Blokur obejmują:</w:t>
      </w:r>
      <w:r>
        <w:rPr>
          <w:color w:val="000000" w:themeColor="text1"/>
        </w:rPr>
      </w:r>
    </w:p>
    <w:p w14:paraId="5E508510">
      <w:pPr>
        <w:pStyle w:val="980"/>
        <w:numPr>
          <w:ilvl w:val="0"/>
          <w:numId w:val="21"/>
        </w:numPr>
        <w:pBdr/>
        <w:spacing w:after="40" w:before="40" w:line="276" w:lineRule="auto"/>
        <w:ind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moduł logowania i zarządzania profilami użytkowników,</w:t>
      </w:r>
      <w:r>
        <w:rPr>
          <w:color w:val="000000" w:themeColor="text1"/>
        </w:rPr>
      </w:r>
    </w:p>
    <w:p w14:paraId="77E4F70E">
      <w:pPr>
        <w:pStyle w:val="980"/>
        <w:numPr>
          <w:ilvl w:val="0"/>
          <w:numId w:val="21"/>
        </w:numPr>
        <w:pBdr/>
        <w:spacing w:after="40" w:before="40" w:line="276" w:lineRule="auto"/>
        <w:ind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moduł struktury nieruchomości (drzewo budynków, klatek, lokali),</w:t>
      </w:r>
      <w:r>
        <w:rPr>
          <w:color w:val="000000" w:themeColor="text1"/>
        </w:rPr>
      </w:r>
    </w:p>
    <w:p w14:paraId="1ABF7266">
      <w:pPr>
        <w:pStyle w:val="980"/>
        <w:numPr>
          <w:ilvl w:val="0"/>
          <w:numId w:val="21"/>
        </w:numPr>
        <w:pBdr/>
        <w:spacing w:after="40" w:before="40" w:line="276" w:lineRule="auto"/>
        <w:ind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moduł zgłoszeń awarii (tickety) z obsługą SLA i raportowaniem,</w:t>
      </w:r>
      <w:r>
        <w:rPr>
          <w:color w:val="000000" w:themeColor="text1"/>
        </w:rPr>
      </w:r>
    </w:p>
    <w:p w14:paraId="7A294D2E">
      <w:pPr>
        <w:pStyle w:val="980"/>
        <w:numPr>
          <w:ilvl w:val="0"/>
          <w:numId w:val="21"/>
        </w:numPr>
        <w:pBdr/>
        <w:spacing w:after="40" w:before="40" w:line="276" w:lineRule="auto"/>
        <w:ind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moduł finansowy (kartoteki, historia transakcji, import CSV, monitoring zaległości),</w:t>
      </w:r>
      <w:r>
        <w:rPr>
          <w:color w:val="000000" w:themeColor="text1"/>
        </w:rPr>
      </w:r>
    </w:p>
    <w:p w14:paraId="2A368395">
      <w:pPr>
        <w:pStyle w:val="980"/>
        <w:numPr>
          <w:ilvl w:val="0"/>
          <w:numId w:val="21"/>
        </w:numPr>
        <w:pBdr/>
        <w:spacing w:after="40" w:before="40" w:line="276" w:lineRule="auto"/>
        <w:ind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moduł liczników mediów (dodawanie urządzeń, rejestracja odczytów),</w:t>
      </w:r>
      <w:r>
        <w:rPr>
          <w:color w:val="000000" w:themeColor="text1"/>
        </w:rPr>
      </w:r>
    </w:p>
    <w:p w14:paraId="4FBB233F">
      <w:pPr>
        <w:pStyle w:val="980"/>
        <w:numPr>
          <w:ilvl w:val="0"/>
          <w:numId w:val="21"/>
        </w:numPr>
        <w:pBdr/>
        <w:spacing w:after="40" w:before="40" w:line="276" w:lineRule="auto"/>
        <w:ind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moduł uchwał i głosowań elektronicznych,</w:t>
      </w:r>
      <w:r>
        <w:rPr>
          <w:color w:val="000000" w:themeColor="text1"/>
        </w:rPr>
      </w:r>
    </w:p>
    <w:p w14:paraId="18D628FA">
      <w:pPr>
        <w:pStyle w:val="980"/>
        <w:numPr>
          <w:ilvl w:val="0"/>
          <w:numId w:val="21"/>
        </w:numPr>
        <w:pBdr/>
        <w:spacing w:after="40" w:before="40" w:line="276" w:lineRule="auto"/>
        <w:ind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moduł komunikacji (ogłoszenia, dystrybucja dokumentów PDF),</w:t>
      </w:r>
      <w:r>
        <w:rPr>
          <w:color w:val="000000" w:themeColor="text1"/>
        </w:rPr>
      </w:r>
    </w:p>
    <w:p w14:paraId="4F178730">
      <w:pPr>
        <w:pStyle w:val="980"/>
        <w:numPr>
          <w:ilvl w:val="0"/>
          <w:numId w:val="21"/>
        </w:numPr>
        <w:pBdr/>
        <w:spacing w:after="40" w:before="40" w:line="276" w:lineRule="auto"/>
        <w:ind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moduł harmonogramu przeglądów technicznych,</w:t>
      </w:r>
      <w:r>
        <w:rPr>
          <w:color w:val="000000" w:themeColor="text1"/>
        </w:rPr>
      </w:r>
    </w:p>
    <w:p w14:paraId="552C1D6C">
      <w:pPr>
        <w:pBdr/>
        <w:spacing w:after="40" w:before="40" w:line="276" w:lineRule="auto"/>
        <w:ind w:firstLine="0" w:left="720"/>
        <w:rPr/>
      </w:pPr>
      <w:r>
        <w:rPr>
          <w:rFonts w:ascii="Arial" w:hAnsi="Arial" w:eastAsia="Arial" w:cs="Arial"/>
          <w:b/>
          <w:bCs/>
          <w:color w:val="595959"/>
          <w:sz w:val="22"/>
          <w:szCs w:val="22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Architektura rozwiązania opiera się na wydajnym backendzie napisanym w technologii Java 21 z wykorzystaniem frameworka Spring Boot i bazie PostgreSQL. Aplikacja kliencka (frontend) to natywna aplikacja mobilna stworzona na platformę Android z użyciem język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Kotlin i Jetpack Compose</w:t>
      </w:r>
      <w:r/>
    </w:p>
    <w:p>
      <w:pPr>
        <w:pStyle w:val="972"/>
        <w:numPr>
          <w:ilvl w:val="0"/>
          <w:numId w:val="11"/>
        </w:numPr>
        <w:pBdr/>
        <w:spacing/>
        <w:ind/>
        <w:rPr/>
      </w:pPr>
      <w:r/>
      <w:bookmarkStart w:id="2" w:name="_Toc2"/>
      <w:r>
        <w:t xml:space="preserve">Instalacja i uruchomienie aplikacji</w:t>
      </w:r>
      <w:bookmarkEnd w:id="2"/>
      <w:r/>
      <w:r/>
    </w:p>
    <w:p>
      <w:pPr>
        <w:pStyle w:val="973"/>
        <w:numPr>
          <w:ilvl w:val="1"/>
          <w:numId w:val="11"/>
        </w:numPr>
        <w:pBdr/>
        <w:spacing/>
        <w:ind/>
        <w:rPr/>
      </w:pPr>
      <w:r/>
      <w:bookmarkStart w:id="3" w:name="_Toc3"/>
      <w:r>
        <w:t xml:space="preserve">Przygotowanie środowiska</w:t>
      </w:r>
      <w:bookmarkEnd w:id="3"/>
      <w:r/>
      <w:r/>
    </w:p>
    <w:p w14:paraId="4D38B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Aby zainstalować i poprawnie uruchomić projekt lokalnie na stacji roboczej, wymagane jest posiadanie:</w:t>
      </w:r>
      <w:r/>
    </w:p>
    <w:p w14:paraId="32D60BD9">
      <w:pPr>
        <w:pStyle w:val="98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Java Development Kit (JDK) 21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do serwera aplikacji.</w:t>
      </w:r>
      <w:r/>
    </w:p>
    <w:p w14:paraId="5CF61451">
      <w:pPr>
        <w:pStyle w:val="98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PostgreSQL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(lub środowisko Docker) – jako silnik bazy danych.</w:t>
      </w:r>
      <w:r/>
    </w:p>
    <w:p w14:paraId="5B688082">
      <w:pPr>
        <w:pStyle w:val="98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Android Studio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(Android SDK target API 36) – do aplikacji mobilnej.</w:t>
      </w:r>
      <w:r/>
    </w:p>
    <w:p w14:paraId="718CF9EC">
      <w:pPr>
        <w:pStyle w:val="98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do pobrania plików projektu.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973"/>
        <w:numPr>
          <w:ilvl w:val="1"/>
          <w:numId w:val="11"/>
        </w:numPr>
        <w:pBdr/>
        <w:spacing/>
        <w:ind/>
        <w:rPr/>
      </w:pPr>
      <w:r/>
      <w:bookmarkStart w:id="4" w:name="_Toc4"/>
      <w:r>
        <w:t xml:space="preserve">Instalacja</w:t>
      </w:r>
      <w:bookmarkEnd w:id="4"/>
      <w:r/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Backend: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Pobierz repozytorium projektu poleceniem </w:t>
      </w:r>
      <w:r>
        <w:rPr>
          <w:rFonts w:ascii="Courier New" w:hAnsi="Courier New" w:eastAsia="Courier New" w:cs="Courier New"/>
          <w:color w:val="000000"/>
          <w:sz w:val="20"/>
        </w:rPr>
        <w:t xml:space="preserve">git clone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Przejdź do folderu </w:t>
      </w:r>
      <w:r>
        <w:rPr>
          <w:rFonts w:ascii="Courier New" w:hAnsi="Courier New" w:eastAsia="Courier New" w:cs="Courier New"/>
          <w:color w:val="000000"/>
          <w:sz w:val="20"/>
        </w:rPr>
        <w:t xml:space="preserve">backend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skonfiguruj plik </w:t>
      </w:r>
      <w:r>
        <w:rPr>
          <w:rFonts w:ascii="Courier New" w:hAnsi="Courier New" w:eastAsia="Courier New" w:cs="Courier New"/>
          <w:color w:val="000000"/>
          <w:sz w:val="20"/>
        </w:rPr>
        <w:t xml:space="preserve">.env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(lub </w:t>
      </w:r>
      <w:r>
        <w:rPr>
          <w:rFonts w:ascii="Courier New" w:hAnsi="Courier New" w:eastAsia="Courier New" w:cs="Courier New"/>
          <w:color w:val="000000"/>
          <w:sz w:val="20"/>
        </w:rPr>
        <w:t xml:space="preserve">application.properties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definiując poświadczenia do lokalnej bazy PostgreSQL. (Opcjonalnie: wygeneruj certyfikat SSL do obsługi HTTPS). 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/>
        <w:t xml:space="preserve">Frontend: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Otwórz folder </w:t>
      </w:r>
      <w:r>
        <w:rPr>
          <w:rFonts w:ascii="Courier New" w:hAnsi="Courier New" w:eastAsia="Courier New" w:cs="Courier New"/>
          <w:color w:val="000000"/>
          <w:sz w:val="20"/>
        </w:rPr>
        <w:t xml:space="preserve">frontend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Android Studio. W pliku </w:t>
      </w:r>
      <w:r>
        <w:rPr>
          <w:rFonts w:ascii="Courier New" w:hAnsi="Courier New" w:eastAsia="Courier New" w:cs="Courier New"/>
          <w:color w:val="000000"/>
          <w:sz w:val="20"/>
        </w:rPr>
        <w:t xml:space="preserve">local.properties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dodaj adres serwera (dla emulatora: </w:t>
      </w:r>
      <w:r>
        <w:rPr>
          <w:rFonts w:ascii="Courier New" w:hAnsi="Courier New" w:eastAsia="Courier New" w:cs="Courier New"/>
          <w:color w:val="000000"/>
          <w:sz w:val="20"/>
        </w:rPr>
        <w:t xml:space="preserve">backend.url=http://10.0.2.2:8080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dla fizycznego telefonu: adres IP w sieci lokalnej). Poczekaj na synchronizację zależności Gradle.</w:t>
      </w:r>
      <w:r/>
    </w:p>
    <w:p>
      <w:pPr>
        <w:pStyle w:val="973"/>
        <w:numPr>
          <w:ilvl w:val="1"/>
          <w:numId w:val="11"/>
        </w:numPr>
        <w:pBdr/>
        <w:spacing/>
        <w:ind/>
        <w:rPr/>
      </w:pPr>
      <w:r/>
      <w:bookmarkStart w:id="5" w:name="_Toc5"/>
      <w:r>
        <w:t xml:space="preserve">Uruchomienie</w:t>
      </w:r>
      <w:bookmarkEnd w:id="5"/>
      <w:r/>
      <w:r/>
    </w:p>
    <w:p>
      <w:pPr>
        <w:pBdr/>
        <w:spacing/>
        <w:ind/>
        <w:rPr/>
      </w:pPr>
      <w:r>
        <w:rPr>
          <w:b/>
          <w:bCs/>
        </w:rPr>
        <w:t xml:space="preserve">Backend: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Zainicjuj usługi bazodanowe dockera (</w:t>
      </w:r>
      <w:r>
        <w:rPr>
          <w:rFonts w:ascii="Courier New" w:hAnsi="Courier New" w:eastAsia="Courier New" w:cs="Courier New"/>
          <w:color w:val="000000"/>
          <w:sz w:val="20"/>
        </w:rPr>
        <w:t xml:space="preserve">docker compose up -d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Uruchom aplikację komendą </w:t>
      </w:r>
      <w:r>
        <w:rPr>
          <w:rFonts w:ascii="Courier New" w:hAnsi="Courier New" w:eastAsia="Courier New" w:cs="Courier New"/>
          <w:color w:val="000000"/>
          <w:sz w:val="20"/>
        </w:rPr>
        <w:t xml:space="preserve">./gradlew bootRun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(Linux/macOS) lub </w:t>
      </w:r>
      <w:r>
        <w:rPr>
          <w:rFonts w:ascii="Courier New" w:hAnsi="Courier New" w:eastAsia="Courier New" w:cs="Courier New"/>
          <w:color w:val="000000"/>
          <w:sz w:val="20"/>
        </w:rPr>
        <w:t xml:space="preserve">gradlew.bat bootRun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(Windows). Aplikacja uruchomi się na porcie 8080.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br/>
        <w:br/>
        <w:t xml:space="preserve">Frontend: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 Android Studio wybierz urządzenie (min. Android 8.1 / API 27). Wybierz konfigurację modułu </w:t>
      </w:r>
      <w:r>
        <w:rPr>
          <w:rFonts w:ascii="Courier New" w:hAnsi="Courier New" w:eastAsia="Courier New" w:cs="Courier New"/>
          <w:color w:val="000000"/>
          <w:sz w:val="20"/>
        </w:rPr>
        <w:t xml:space="preserve">app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kliknij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(Shift+F10). Po kompilacji zaleca się logowanie na konto testowe w celu weryfikacji tokenów JWT.</w:t>
      </w:r>
      <w:r/>
    </w:p>
    <w:p w14:paraId="284E05CF">
      <w:pPr>
        <w:pStyle w:val="973"/>
        <w:pBdr/>
        <w:bidi w:val="false"/>
        <w:spacing w:after="120" w:before="200"/>
        <w:ind w:firstLine="0" w:left="0"/>
        <w:jc w:val="left"/>
        <w:rPr/>
      </w:pPr>
      <w:r/>
      <w:bookmarkStart w:id="6" w:name="_Toc6"/>
      <w:r>
        <w:t xml:space="preserve">3. Wygląd programu</w:t>
      </w:r>
      <w:bookmarkEnd w:id="6"/>
      <w:r/>
      <w:r/>
    </w:p>
    <w:p w14:paraId="3805D31D">
      <w:pPr>
        <w:pStyle w:val="974"/>
        <w:pBdr/>
        <w:bidi w:val="false"/>
        <w:spacing/>
        <w:ind w:firstLine="0" w:left="0"/>
        <w:jc w:val="left"/>
        <w:rPr/>
      </w:pPr>
      <w:r/>
      <w:bookmarkStart w:id="7" w:name="_Toc7"/>
      <w:r>
        <w:t xml:space="preserve">3.1. Ekran logowania</w:t>
      </w:r>
      <w:bookmarkEnd w:id="7"/>
      <w:r/>
      <w:r/>
    </w:p>
    <w:p w14:paraId="38F7423C">
      <w:pPr>
        <w:pStyle w:val="991"/>
        <w:pBdr/>
        <w:bidi w:val="false"/>
        <w:spacing/>
        <w:ind/>
        <w:jc w:val="left"/>
        <w:rPr/>
      </w:pPr>
      <w:r>
        <w:t xml:space="preserve">Ekran logowania jest pierwszym widokiem wyświetlanym po uruchomieniu aplikacji Blokur. Umożliwia on uwierzytelnienie użytkownika w systemie oraz przejście do procedury odzyskiwania hasła.</w:t>
      </w:r>
      <w:r/>
    </w:p>
    <w:p w14:paraId="235EE347">
      <w:pPr>
        <w:pStyle w:val="991"/>
        <w:pBdr/>
        <w:bidi w:val="false"/>
        <w:spacing/>
        <w:ind/>
        <w:jc w:val="left"/>
        <w:rPr/>
      </w:pPr>
      <w:r>
        <w:rPr>
          <w:i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1069" cy="907224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86186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091067" cy="9072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22.13pt;height:714.3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i/>
        </w:rPr>
      </w:r>
      <w:r/>
    </w:p>
    <w:p w14:paraId="46708DBB">
      <w:pPr>
        <w:pStyle w:val="991"/>
        <w:pBdr/>
        <w:bidi w:val="false"/>
        <w:spacing/>
        <w:ind/>
        <w:jc w:val="left"/>
        <w:rPr/>
      </w:pPr>
      <w:r>
        <w:t xml:space="preserve">Opis elementów ekranu logowania:</w:t>
      </w:r>
      <w:r/>
    </w:p>
    <w:p w14:paraId="5A03487E">
      <w:pPr>
        <w:pStyle w:val="991"/>
        <w:numPr>
          <w:ilvl w:val="0"/>
          <w:numId w:val="25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Logo aplikacji</w:t>
      </w:r>
      <w:r>
        <w:t xml:space="preserve"> – Grafika identyfikacyjna systemu Blokur wyświetlana na górze ekranu. W wersji skonfigurowanej może zawierać logo wspólnoty.</w:t>
      </w:r>
      <w:r/>
    </w:p>
    <w:p w14:paraId="336AE55E">
      <w:pPr>
        <w:pStyle w:val="991"/>
        <w:numPr>
          <w:ilvl w:val="0"/>
          <w:numId w:val="25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Pole adresu e-mail</w:t>
      </w:r>
      <w:r>
        <w:t xml:space="preserve"> – Pole tekstowe służące do wprowadzenia adresu e-mail przypisanego do konta użytkownika. Klawiatura zostaje automatycznie ustawiona na tryb e-mail.</w:t>
      </w:r>
      <w:r/>
    </w:p>
    <w:p w14:paraId="372951BC">
      <w:pPr>
        <w:pStyle w:val="991"/>
        <w:numPr>
          <w:ilvl w:val="0"/>
          <w:numId w:val="25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Pole hasła</w:t>
      </w:r>
      <w:r>
        <w:t xml:space="preserve"> – Pole tekstowe z maskowanymi znakami służące do wprowadzenia hasła dostępowego. Wyposażone w ikonę oka umożliwiającą chwilowe odsłonięcie hasła.</w:t>
      </w:r>
      <w:r/>
    </w:p>
    <w:p w14:paraId="74A741E1">
      <w:pPr>
        <w:pStyle w:val="991"/>
        <w:numPr>
          <w:ilvl w:val="0"/>
          <w:numId w:val="25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Przycisk Zaloguj się</w:t>
      </w:r>
      <w:r>
        <w:t xml:space="preserve"> – Główny przycisk akcji inicjujący proces uwierzytelniania użytkownika. Aktywowany po wypełnieniu obu pól.</w:t>
      </w:r>
      <w:r/>
    </w:p>
    <w:p w14:paraId="64CB8F4E">
      <w:pPr>
        <w:pStyle w:val="991"/>
        <w:numPr>
          <w:ilvl w:val="0"/>
          <w:numId w:val="25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Odnośnik Zapomniałem hasła</w:t>
      </w:r>
      <w:r>
        <w:t xml:space="preserve"> – Łącze tekstowe przekierowujące użytkownika do ekranu odzyskiwania hasła</w:t>
        <w:br/>
      </w:r>
      <w:r/>
    </w:p>
    <w:p w14:paraId="45A556AB">
      <w:pPr>
        <w:pStyle w:val="974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/>
      <w:bookmarkStart w:id="8" w:name="_Toc8"/>
      <w:r>
        <w:t xml:space="preserve">3.2. Panel główny zarządcy (Profil i ustawienia)</w:t>
      </w:r>
      <w:bookmarkEnd w:id="8"/>
      <w:r/>
      <w:r/>
    </w:p>
    <w:p w14:paraId="7DC15DB9">
      <w:pPr>
        <w:pStyle w:val="991"/>
        <w:pBdr/>
        <w:bidi w:val="false"/>
        <w:spacing/>
        <w:ind/>
        <w:jc w:val="left"/>
        <w:rPr/>
      </w:pPr>
      <w:r>
        <w:t xml:space="preserve">Po pomyślnym zalogowaniu zarządca uzyskuje dostęp do panelu głównego, który stanowi centralny punkt nawigacyjny dla wszystkich modułów systemu. W widoku profilu wyświetlane są dane osobowe zarządcy oraz skrócone menu dostępu do ustawień.</w:t>
      </w:r>
      <w:r/>
    </w:p>
    <w:p w14:paraId="72377794">
      <w:pPr>
        <w:pStyle w:val="991"/>
        <w:pBdr/>
        <w:bidi w:val="false"/>
        <w:spacing/>
        <w:ind/>
        <w:jc w:val="left"/>
        <w:rPr/>
      </w:pPr>
      <w:r>
        <w:rPr>
          <w:i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1069" cy="907224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15267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091067" cy="9072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22.13pt;height:714.3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i/>
        </w:rPr>
      </w:r>
      <w:r/>
    </w:p>
    <w:p w14:paraId="6368CDD9">
      <w:pPr>
        <w:pStyle w:val="991"/>
        <w:pBdr/>
        <w:bidi w:val="false"/>
        <w:spacing/>
        <w:ind/>
        <w:jc w:val="left"/>
        <w:rPr/>
      </w:pPr>
      <w:r>
        <w:rPr>
          <w:i/>
        </w:rPr>
      </w:r>
      <w:r>
        <w:rPr>
          <w:i/>
        </w:rPr>
      </w:r>
      <w:r/>
    </w:p>
    <w:p w14:paraId="2ABED577">
      <w:pPr>
        <w:pStyle w:val="991"/>
        <w:pBdr/>
        <w:bidi w:val="false"/>
        <w:spacing/>
        <w:ind/>
        <w:jc w:val="left"/>
        <w:rPr/>
      </w:pPr>
      <w:r>
        <w:t xml:space="preserve">Opis elementów widoku profilu zarządcy:</w:t>
      </w:r>
      <w:r/>
    </w:p>
    <w:p w14:paraId="0FDC328C">
      <w:pPr>
        <w:pStyle w:val="991"/>
        <w:numPr>
          <w:ilvl w:val="0"/>
          <w:numId w:val="26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Sekcja danych osobowych</w:t>
      </w:r>
      <w:r>
        <w:t xml:space="preserve"> – Wyświetla imię, nazwisko, adres e-mail oraz numer telefonu zalogowanego zarządcy. Dane można edytować po naciśnięciu przycisku edycji.</w:t>
      </w:r>
      <w:r/>
    </w:p>
    <w:p w14:paraId="79D90BA6">
      <w:pPr>
        <w:pStyle w:val="991"/>
        <w:numPr>
          <w:ilvl w:val="0"/>
          <w:numId w:val="26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Menu Finanse</w:t>
      </w:r>
      <w:r>
        <w:t xml:space="preserve"> – Skrót do modułu finansowego – kartoteki lokali, monitoring zaległości, import CSV.</w:t>
      </w:r>
      <w:r/>
    </w:p>
    <w:p w14:paraId="0F5524A7">
      <w:pPr>
        <w:pStyle w:val="991"/>
        <w:numPr>
          <w:ilvl w:val="0"/>
          <w:numId w:val="26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Menu Ogłoszenia</w:t>
      </w:r>
      <w:r>
        <w:t xml:space="preserve"> – Skrót do panelu zarządzania ogłoszeniami na tablicy informacyjnej wspólnoty.</w:t>
      </w:r>
      <w:r/>
    </w:p>
    <w:p w14:paraId="180384DD">
      <w:pPr>
        <w:pStyle w:val="991"/>
        <w:numPr>
          <w:ilvl w:val="0"/>
          <w:numId w:val="26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Menu Powiadomienia</w:t>
      </w:r>
      <w:r>
        <w:t xml:space="preserve"> – Dostęp do ekranu konfiguracji powiadomień push (31_ustawienia_powiadomien.png).</w:t>
      </w:r>
      <w:r/>
    </w:p>
    <w:p w14:paraId="2A0BF77A">
      <w:pPr>
        <w:pStyle w:val="991"/>
        <w:numPr>
          <w:ilvl w:val="0"/>
          <w:numId w:val="26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Menu Dystrybucja dokumentów</w:t>
      </w:r>
      <w:r>
        <w:t xml:space="preserve"> – Skrót do narzędzia masowej wysyłki oficjalnych dokumentów PDF do mieszkańców.</w:t>
      </w:r>
      <w:r/>
    </w:p>
    <w:p w14:paraId="21E22565">
      <w:pPr>
        <w:pStyle w:val="991"/>
        <w:numPr>
          <w:ilvl w:val="0"/>
          <w:numId w:val="26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Przycisk Wyloguj</w:t>
      </w:r>
      <w:r>
        <w:t xml:space="preserve"> – Kończy sesję użytkownika i przekierowuje do ekranu logowania.</w:t>
      </w:r>
      <w:r/>
    </w:p>
    <w:p w14:paraId="1FD5A60E">
      <w:pPr>
        <w:pStyle w:val="974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/>
      <w:bookmarkStart w:id="9" w:name="_Toc9"/>
      <w:r>
        <w:t xml:space="preserve">3.3. Lista zgłoszeń awarii (perspektywa zarządcy)</w:t>
      </w:r>
      <w:bookmarkEnd w:id="9"/>
      <w:r/>
      <w:r/>
    </w:p>
    <w:p w14:paraId="56FC69D1">
      <w:pPr>
        <w:pStyle w:val="991"/>
        <w:pBdr/>
        <w:bidi w:val="false"/>
        <w:spacing/>
        <w:ind/>
        <w:jc w:val="left"/>
        <w:rPr/>
      </w:pPr>
      <w:r>
        <w:t xml:space="preserve">Moduł zgłoszeń jest jednym z kluczowych widoków systemu Blokur. Zarządca widzi tu wszystkie zgłoszenia awarii przekazane przez mieszkańców, z możliwością ich filtrowania, sortowania oraz przypisywania do konserwatorów.</w:t>
      </w:r>
      <w:r/>
    </w:p>
    <w:p w14:paraId="6C4BF14A">
      <w:pPr>
        <w:pStyle w:val="991"/>
        <w:pBdr/>
        <w:bidi w:val="false"/>
        <w:spacing/>
        <w:ind/>
        <w:jc w:val="left"/>
        <w:rPr>
          <w:bCs/>
          <w:i/>
          <w:highlight w:val="none"/>
        </w:rPr>
      </w:pPr>
      <w:r>
        <w:rPr>
          <w:i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1069" cy="90722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9489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091067" cy="9072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22.13pt;height:714.3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i/>
        </w:rPr>
      </w:r>
      <w:r>
        <w:rPr>
          <w:bCs/>
          <w:i/>
          <w:highlight w:val="none"/>
        </w:rPr>
      </w:r>
    </w:p>
    <w:p w14:paraId="2C3F85A5">
      <w:pPr>
        <w:pStyle w:val="991"/>
        <w:pBdr/>
        <w:bidi w:val="false"/>
        <w:spacing/>
        <w:ind/>
        <w:jc w:val="left"/>
        <w:rPr/>
      </w:pPr>
      <w:r>
        <w:rPr>
          <w:i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1069" cy="907224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03448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091067" cy="9072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22.13pt;height:714.3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i/>
          <w:highlight w:val="none"/>
        </w:rPr>
      </w:r>
      <w:r/>
    </w:p>
    <w:p w14:paraId="7A826A80">
      <w:pPr>
        <w:pStyle w:val="991"/>
        <w:pBdr/>
        <w:bidi w:val="false"/>
        <w:spacing/>
        <w:ind/>
        <w:jc w:val="left"/>
        <w:rPr/>
      </w:pPr>
      <w:r>
        <w:t xml:space="preserve">Opis elementów widoku listy zgłoszeń:</w:t>
      </w:r>
      <w:r/>
    </w:p>
    <w:p w14:paraId="5D860496">
      <w:pPr>
        <w:pStyle w:val="991"/>
        <w:numPr>
          <w:ilvl w:val="0"/>
          <w:numId w:val="27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Pasek wyszukiwania</w:t>
      </w:r>
      <w:r>
        <w:t xml:space="preserve"> – Umożliwia wyszukiwanie zgłoszeń według słów kluczowych z tytułu lub opisu awarii.</w:t>
      </w:r>
      <w:r/>
    </w:p>
    <w:p w14:paraId="6004EE8E">
      <w:pPr>
        <w:pStyle w:val="991"/>
        <w:numPr>
          <w:ilvl w:val="0"/>
          <w:numId w:val="27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Filtry statusu</w:t>
      </w:r>
      <w:r>
        <w:t xml:space="preserve"> – Przyciski filtrowania listy według statusu zgłoszenia: Nowe, W realizacji, Zakończone. </w:t>
      </w:r>
      <w:r/>
    </w:p>
    <w:p w14:paraId="298BE7AA">
      <w:pPr>
        <w:pStyle w:val="991"/>
        <w:numPr>
          <w:ilvl w:val="0"/>
          <w:numId w:val="27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Kafelek zgłoszenia</w:t>
      </w:r>
      <w:r>
        <w:t xml:space="preserve"> – Reprezentacja pojedynczego zgłoszenia zawierająca: tytuł, numer lokalu, datę zgłoszenia, kategorię oraz aktualny status.</w:t>
      </w:r>
      <w:r/>
    </w:p>
    <w:p w14:paraId="2ECDA0AD">
      <w:pPr>
        <w:pStyle w:val="991"/>
        <w:numPr>
          <w:ilvl w:val="0"/>
          <w:numId w:val="27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Przycisk nowego zgłoszenia</w:t>
      </w:r>
      <w:r>
        <w:t xml:space="preserve"> – Pozwala zarządcy samodzielnie dodać zgłoszenie (np. w imieniu mieszkańca).</w:t>
      </w:r>
      <w:r/>
    </w:p>
    <w:p w14:paraId="250981B4">
      <w:pPr>
        <w:pStyle w:val="974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/>
      <w:bookmarkStart w:id="10" w:name="_Toc10"/>
      <w:r>
        <w:t xml:space="preserve">3.4. Panel główny mieszkańca</w:t>
      </w:r>
      <w:bookmarkEnd w:id="10"/>
      <w:r/>
      <w:r/>
    </w:p>
    <w:p w14:paraId="6267C5D3">
      <w:pPr>
        <w:pStyle w:val="991"/>
        <w:pBdr/>
        <w:bidi w:val="false"/>
        <w:spacing/>
        <w:ind/>
        <w:jc w:val="left"/>
        <w:rPr/>
      </w:pPr>
      <w:r>
        <w:t xml:space="preserve">Interfejs aplikacji po zalogowaniu mieszkańca jest uproszczony w stosunku do panelu zarządcy. Mieszkaniec ma dostęp wyłącznie do modułów dotyczących własnego lokalu oraz komunikacji ze wspólnotą.</w:t>
      </w:r>
      <w:r/>
    </w:p>
    <w:p w14:paraId="17D8641B">
      <w:pPr>
        <w:pStyle w:val="991"/>
        <w:pBdr/>
        <w:bidi w:val="false"/>
        <w:spacing/>
        <w:ind/>
        <w:jc w:val="left"/>
        <w:rPr>
          <w:bCs/>
          <w:i/>
          <w:highlight w:val="none"/>
        </w:rPr>
      </w:pPr>
      <w:r>
        <w:rPr>
          <w:i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1069" cy="907224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05148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091067" cy="9072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22.13pt;height:714.3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674BD4D0">
      <w:pPr>
        <w:pStyle w:val="991"/>
        <w:pBdr/>
        <w:bidi w:val="false"/>
        <w:spacing/>
        <w:ind/>
        <w:jc w:val="left"/>
        <w:rPr>
          <w:bCs/>
          <w:i/>
          <w:highlight w:val="none"/>
        </w:rPr>
      </w:pPr>
      <w:r>
        <w:rPr>
          <w:i/>
          <w:highlight w:val="none"/>
        </w:rPr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 w14:paraId="3B154DF8">
      <w:pPr>
        <w:pStyle w:val="991"/>
        <w:pBdr/>
        <w:bidi w:val="false"/>
        <w:spacing/>
        <w:ind/>
        <w:jc w:val="left"/>
        <w:rPr>
          <w:bCs/>
          <w:i/>
          <w:highlight w:val="none"/>
        </w:rPr>
      </w:pPr>
      <w:r>
        <w:rPr>
          <w:i/>
          <w:highlight w:val="none"/>
        </w:rPr>
      </w:r>
      <w:r>
        <w:rPr>
          <w:i/>
          <w:highlight w:val="none"/>
        </w:rPr>
      </w:r>
      <w:r>
        <w:rPr>
          <w:bCs/>
          <w:i/>
          <w:highlight w:val="none"/>
        </w:rPr>
      </w:r>
    </w:p>
    <w:p w14:paraId="0EB39309">
      <w:pPr>
        <w:pStyle w:val="991"/>
        <w:pBdr/>
        <w:bidi w:val="false"/>
        <w:spacing/>
        <w:ind/>
        <w:jc w:val="left"/>
        <w:rPr/>
      </w:pPr>
      <w:r>
        <w:rPr>
          <w:i/>
          <w:highlight w:val="none"/>
        </w:rPr>
      </w:r>
      <w:r>
        <w:rPr>
          <w:i/>
          <w:highlight w:val="none"/>
        </w:rPr>
      </w:r>
      <w:r/>
    </w:p>
    <w:p w14:paraId="2D006101">
      <w:pPr>
        <w:pStyle w:val="991"/>
        <w:pBdr/>
        <w:bidi w:val="false"/>
        <w:spacing/>
        <w:ind/>
        <w:jc w:val="left"/>
        <w:rPr/>
      </w:pPr>
      <w:r>
        <w:t xml:space="preserve">Opis elementów widoku profilu mieszkańca:</w:t>
      </w:r>
      <w:r/>
    </w:p>
    <w:p w14:paraId="7A638981">
      <w:pPr>
        <w:pStyle w:val="991"/>
        <w:numPr>
          <w:ilvl w:val="0"/>
          <w:numId w:val="28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Sekcja danych osobowych</w:t>
      </w:r>
      <w:r>
        <w:t xml:space="preserve"> – Imię, nazwisko i adres e-mail przypisane do konta mieszkańca. Wyświetlany jest też numer przypisanego lokalu.</w:t>
      </w:r>
      <w:r/>
    </w:p>
    <w:p w14:paraId="3D887DD5">
      <w:pPr>
        <w:pStyle w:val="991"/>
        <w:numPr>
          <w:ilvl w:val="0"/>
          <w:numId w:val="28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Skrót do Finansów</w:t>
      </w:r>
      <w:r>
        <w:t xml:space="preserve"> – Przejście do widoku salda, nadpłat i historii transakcji dla własnego lokalu.</w:t>
      </w:r>
      <w:r/>
    </w:p>
    <w:p w14:paraId="1BAA94B8">
      <w:pPr>
        <w:pStyle w:val="991"/>
        <w:numPr>
          <w:ilvl w:val="0"/>
          <w:numId w:val="28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Skrót do Zgłoszeń</w:t>
      </w:r>
      <w:r>
        <w:t xml:space="preserve"> – Przejście do listy zgłoszeń awarii złożonych przez mieszkańca oraz formularza nowego zgłoszenia.</w:t>
      </w:r>
      <w:r/>
    </w:p>
    <w:p w14:paraId="51599660">
      <w:pPr>
        <w:pStyle w:val="991"/>
        <w:numPr>
          <w:ilvl w:val="0"/>
          <w:numId w:val="28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Skrót do Tablicy ogłoszeń</w:t>
      </w:r>
      <w:r>
        <w:t xml:space="preserve"> – Przejście do osi czasu z ogłoszeniami opublikowanymi przez zarządcę.</w:t>
      </w:r>
      <w:r/>
    </w:p>
    <w:p w14:paraId="1FD97268">
      <w:pPr>
        <w:pStyle w:val="991"/>
        <w:numPr>
          <w:ilvl w:val="0"/>
          <w:numId w:val="28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Skrót do Uchwał</w:t>
      </w:r>
      <w:r>
        <w:t xml:space="preserve"> – Lista aktywnych głosowań wraz z możliwością oddania głosu.</w:t>
      </w:r>
      <w:r/>
    </w:p>
    <w:p w14:paraId="70033D7D">
      <w:pPr>
        <w:pStyle w:val="991"/>
        <w:numPr>
          <w:ilvl w:val="0"/>
          <w:numId w:val="28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rPr>
          <w:b/>
        </w:rPr>
        <w:t xml:space="preserve">Skrót do Harmonogramu przeglądów</w:t>
      </w:r>
      <w:r>
        <w:t xml:space="preserve"> – Widok nadchodzących przeglądów technicznych dotyczących budynku mieszkańca.</w:t>
      </w:r>
      <w:r/>
    </w:p>
    <w:p w14:paraId="64F02A16">
      <w:pPr>
        <w:pStyle w:val="973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/>
      <w:bookmarkStart w:id="11" w:name="_Toc11"/>
      <w:r>
        <w:t xml:space="preserve">4. Obsługa aplikacji</w:t>
      </w:r>
      <w:bookmarkEnd w:id="11"/>
      <w:r/>
      <w:r/>
    </w:p>
    <w:p w14:paraId="283D31C1">
      <w:pPr>
        <w:pStyle w:val="974"/>
        <w:pBdr/>
        <w:bidi w:val="false"/>
        <w:spacing/>
        <w:ind w:firstLine="0" w:left="0"/>
        <w:jc w:val="left"/>
        <w:rPr/>
      </w:pPr>
      <w:r/>
      <w:bookmarkStart w:id="12" w:name="_Toc12"/>
      <w:r>
        <w:t xml:space="preserve">4.1. Logowanie i zarządzanie kontem</w:t>
      </w:r>
      <w:bookmarkEnd w:id="12"/>
      <w:r/>
      <w:r/>
    </w:p>
    <w:p w14:paraId="4B7E229E">
      <w:pPr>
        <w:pStyle w:val="991"/>
        <w:pBdr/>
        <w:bidi w:val="false"/>
        <w:spacing/>
        <w:ind/>
        <w:jc w:val="left"/>
        <w:rPr/>
      </w:pPr>
      <w:r>
        <w:t xml:space="preserve">System Blokur stosuje uwierzytelnianie oparte na adresie e-mail i haśle. Konta użytkowników są tworzone przez zarządcę – mieszkańcy i konserwatorzy nie rejestrują się samodzielnie, lecz otrzymują zaproszenia e-mail.</w:t>
      </w:r>
      <w:r/>
    </w:p>
    <w:p w14:paraId="41627344">
      <w:pPr>
        <w:pStyle w:val="975"/>
        <w:pBdr/>
        <w:bidi w:val="false"/>
        <w:spacing/>
        <w:ind w:firstLine="0" w:left="0"/>
        <w:jc w:val="left"/>
        <w:rPr/>
      </w:pPr>
      <w:r>
        <w:t xml:space="preserve">4.1.1. Logowanie do systemu</w:t>
      </w:r>
      <w:r/>
    </w:p>
    <w:p w14:paraId="17E09D3B">
      <w:pPr>
        <w:pStyle w:val="991"/>
        <w:pBdr/>
        <w:bidi w:val="false"/>
        <w:spacing/>
        <w:ind/>
        <w:jc w:val="left"/>
        <w:rPr>
          <w:bCs/>
          <w:i/>
          <w:highlight w:val="none"/>
        </w:rPr>
      </w:pPr>
      <w:r>
        <w:t xml:space="preserve">Procedura logowania jest jednakowa dla wszystkich ról użytkownika: </w:t>
      </w:r>
      <w:r>
        <w:rPr>
          <w:i/>
        </w:rPr>
      </w:r>
      <w:r>
        <w:rPr>
          <w:bCs/>
          <w:i/>
          <w:highlight w:val="none"/>
        </w:rPr>
      </w:r>
    </w:p>
    <w:p w14:paraId="51146100">
      <w:pPr>
        <w:pStyle w:val="991"/>
        <w:pBdr/>
        <w:bidi w:val="false"/>
        <w:spacing/>
        <w:ind/>
        <w:jc w:val="left"/>
        <w:rPr/>
      </w:pPr>
      <w:r>
        <w:rPr>
          <w:i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2542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86.50pt;height:638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i/>
          <w:highlight w:val="none"/>
        </w:rPr>
      </w:r>
      <w:r/>
    </w:p>
    <w:p w14:paraId="4336802B">
      <w:pPr>
        <w:pStyle w:val="991"/>
        <w:numPr>
          <w:ilvl w:val="0"/>
          <w:numId w:val="29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Uruchom aplikację Blokur na urządzeniu mobilnym lub otwórz adres aplikacji w przeglądarce.</w:t>
      </w:r>
      <w:r/>
    </w:p>
    <w:p w14:paraId="78A67958">
      <w:pPr>
        <w:pStyle w:val="991"/>
        <w:numPr>
          <w:ilvl w:val="0"/>
          <w:numId w:val="29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polu Adres e-mail wpisz adres poczty elektronicznej przypisany do Twojego konta.</w:t>
      </w:r>
      <w:r/>
    </w:p>
    <w:p w14:paraId="436B09F1">
      <w:pPr>
        <w:pStyle w:val="991"/>
        <w:numPr>
          <w:ilvl w:val="0"/>
          <w:numId w:val="29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polu Hasło wpisz aktualne hasło dostępowe. Naciśnij ikonę oka, aby chwilowo odsłonić hasło i sprawdzić poprawność wpisu.</w:t>
      </w:r>
      <w:r/>
    </w:p>
    <w:p w14:paraId="47CB38F8">
      <w:pPr>
        <w:pStyle w:val="991"/>
        <w:numPr>
          <w:ilvl w:val="0"/>
          <w:numId w:val="29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przycisk Zaloguj się. System zweryfikuje dane uwierzytelniające i przekieruje Cię do odpowiedniego panelu głównego.</w:t>
      </w:r>
      <w:r/>
    </w:p>
    <w:p w14:paraId="54827EA0">
      <w:pPr>
        <w:pStyle w:val="975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>
        <w:t xml:space="preserve">4.1.2. Odzyskiwanie hasła</w:t>
      </w:r>
      <w:r/>
    </w:p>
    <w:p w14:paraId="13D02201">
      <w:pPr>
        <w:pStyle w:val="991"/>
        <w:pBdr/>
        <w:bidi w:val="false"/>
        <w:spacing/>
        <w:ind/>
        <w:jc w:val="left"/>
        <w:rPr>
          <w:bCs/>
          <w:i/>
          <w:highlight w:val="none"/>
        </w:rPr>
      </w:pPr>
      <w:r>
        <w:t xml:space="preserve">Jeżeli użytkownik nie pamięta hasła, może skorzystać z procedury odzyskiwania: </w:t>
      </w:r>
      <w:r>
        <w:rPr>
          <w:i/>
        </w:rPr>
      </w:r>
      <w:r>
        <w:rPr>
          <w:bCs/>
          <w:i/>
          <w:highlight w:val="none"/>
        </w:rPr>
      </w:r>
    </w:p>
    <w:p w14:paraId="0BB3998F">
      <w:pPr>
        <w:pStyle w:val="991"/>
        <w:pBdr/>
        <w:bidi w:val="false"/>
        <w:spacing/>
        <w:ind/>
        <w:jc w:val="left"/>
        <w:rPr/>
      </w:pPr>
      <w:r>
        <w:rPr>
          <w:i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925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86.50pt;height:638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i/>
          <w:highlight w:val="none"/>
        </w:rPr>
      </w:r>
      <w:r/>
    </w:p>
    <w:p w14:paraId="76F29863">
      <w:pPr>
        <w:pStyle w:val="991"/>
        <w:numPr>
          <w:ilvl w:val="0"/>
          <w:numId w:val="30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 ekranie logowania naciśnij odnośnik Zapomniałem hasła.</w:t>
      </w:r>
      <w:r/>
    </w:p>
    <w:p w14:paraId="06AB2AC7">
      <w:pPr>
        <w:pStyle w:val="991"/>
        <w:numPr>
          <w:ilvl w:val="0"/>
          <w:numId w:val="30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Wprowadź adres e-mail powiązany z kontem i naciśnij przycisk Wyślij link resetujący.</w:t>
      </w:r>
      <w:r/>
    </w:p>
    <w:p w14:paraId="1C24C8D8">
      <w:pPr>
        <w:pStyle w:val="991"/>
        <w:numPr>
          <w:ilvl w:val="0"/>
          <w:numId w:val="30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Sprawdź skrzynkę pocztową i otwórz wiadomość od systemu Blokur. Naciśnij zawarty w niej link.</w:t>
      </w:r>
      <w:r/>
    </w:p>
    <w:p w14:paraId="664FC1F9">
      <w:pPr>
        <w:pStyle w:val="991"/>
        <w:numPr>
          <w:ilvl w:val="0"/>
          <w:numId w:val="30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Wprowadź nowe hasło (minimum 8 znaków, zawierające co najmniej jedną cyfrę i jeden znak specjalny), potwierdź je i zapisz.</w:t>
      </w:r>
      <w:r/>
    </w:p>
    <w:p w14:paraId="22956BB1">
      <w:pPr>
        <w:pStyle w:val="975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>
        <w:t xml:space="preserve">4.1.3. Tworzenie kont użytkowników (Zarządca)</w:t>
      </w:r>
      <w:r/>
    </w:p>
    <w:p w14:paraId="43A25F0E">
      <w:pPr>
        <w:pStyle w:val="991"/>
        <w:pBdr/>
        <w:bidi w:val="false"/>
        <w:spacing/>
        <w:ind/>
        <w:jc w:val="left"/>
        <w:rPr/>
      </w:pPr>
      <w:r>
        <w:t xml:space="preserve">Zarządca tworzy nowe konta użytkowników z poziomu modułu Użytkownicy: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6101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86.50pt;height:638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58E9CA73">
      <w:pPr>
        <w:pStyle w:val="991"/>
        <w:numPr>
          <w:ilvl w:val="0"/>
          <w:numId w:val="31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menu głównym przejdź do zakładki Użytkownicy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65852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86.50pt;height:638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Liberation Mono" w:hAnsi="Liberation Mono"/>
        </w:rPr>
      </w:r>
      <w:r/>
    </w:p>
    <w:p w14:paraId="3E32CB4A">
      <w:pPr>
        <w:pStyle w:val="991"/>
        <w:numPr>
          <w:ilvl w:val="0"/>
          <w:numId w:val="31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przycisk Dodaj użytkownika / Zaproś.</w:t>
      </w:r>
      <w:r/>
    </w:p>
    <w:p w14:paraId="6156A80F">
      <w:pPr>
        <w:pStyle w:val="991"/>
        <w:numPr>
          <w:ilvl w:val="0"/>
          <w:numId w:val="31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Wypełnij formularz: imię, nazwisko, adres e-mail, rola (Mieszkaniec / Konserwator) oraz – dla mieszkańca – przypisanie do konkretnego lokalu.</w:t>
      </w:r>
      <w:r/>
    </w:p>
    <w:p w14:paraId="3317E3D8">
      <w:pPr>
        <w:pStyle w:val="991"/>
        <w:numPr>
          <w:ilvl w:val="0"/>
          <w:numId w:val="31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Wyślij zaproszenie. Użytkownik otrzyma e-mail z linkiem aktywacyjnym i prośbą o ustawienie własnego hasła.</w:t>
      </w:r>
      <w:r/>
    </w:p>
    <w:p w14:paraId="428A9D21">
      <w:pPr>
        <w:pStyle w:val="991"/>
        <w:pBdr/>
        <w:bidi w:val="false"/>
        <w:spacing/>
        <w:ind/>
        <w:jc w:val="left"/>
        <w:rPr/>
      </w:pPr>
      <w:r>
        <w:t xml:space="preserve">Istniejące konta można edytować za pomocą ekranu edycji danych użytkownika </w:t>
      </w:r>
      <w:r>
        <w:t xml:space="preserve">,</w:t>
        <w:br/>
        <w:t xml:space="preserve">który umożliwia zmianę roli, przypisanego lokalu oraz danych kontaktowych.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8447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rot="0" flipH="0" flipV="0"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86.50pt;height:638.25pt;mso-wrap-distance-left:0.00pt;mso-wrap-distance-top:0.00pt;mso-wrap-distance-right:0.00pt;mso-wrap-distance-bottom:0.00pt;rotation:0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38AD0492">
      <w:pPr>
        <w:pStyle w:val="974"/>
        <w:pBdr/>
        <w:bidi w:val="false"/>
        <w:spacing/>
        <w:ind w:firstLine="0" w:left="0"/>
        <w:jc w:val="left"/>
        <w:rPr/>
      </w:pPr>
      <w:r/>
      <w:bookmarkStart w:id="13" w:name="_Toc13"/>
      <w:r>
        <w:t xml:space="preserve">4.2. Zarządzanie strukturą nieruchomości i licznikami</w:t>
      </w:r>
      <w:bookmarkEnd w:id="13"/>
      <w:r/>
      <w:r/>
    </w:p>
    <w:p w14:paraId="165C52D8">
      <w:pPr>
        <w:pStyle w:val="991"/>
        <w:pBdr/>
        <w:bidi w:val="false"/>
        <w:spacing/>
        <w:ind/>
        <w:jc w:val="left"/>
        <w:rPr/>
      </w:pPr>
      <w:r>
        <w:t xml:space="preserve">Moduł struktury nieruchomości pozwala zarządcy zdefiniować hierarchię administrowanego obiektu: budynki, klatki schodowe i poszczególne lokale. Jest to podstawa, na której opierają się wszystkie pozostałe moduły systemu.</w:t>
      </w:r>
      <w:r/>
    </w:p>
    <w:p w14:paraId="0954FA4F">
      <w:pPr>
        <w:pStyle w:val="975"/>
        <w:pBdr/>
        <w:bidi w:val="false"/>
        <w:spacing/>
        <w:ind w:firstLine="0" w:left="0"/>
        <w:jc w:val="left"/>
        <w:rPr/>
      </w:pPr>
      <w:r>
        <w:t xml:space="preserve">4.2.1. Przeglądanie i konfiguracja struktury nieruchomości (Zarządca)</w:t>
      </w:r>
      <w:r/>
    </w:p>
    <w:p w14:paraId="036FF938">
      <w:pPr>
        <w:pStyle w:val="991"/>
        <w:pBdr/>
        <w:bidi w:val="false"/>
        <w:spacing/>
        <w:ind/>
        <w:jc w:val="left"/>
        <w:rPr/>
      </w:pPr>
      <w:r>
        <w:rPr>
          <w:i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93343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86.50pt;height:638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i/>
        </w:rPr>
      </w:r>
      <w:r/>
    </w:p>
    <w:p w14:paraId="4FB48E8B">
      <w:pPr>
        <w:pStyle w:val="991"/>
        <w:pBdr/>
        <w:bidi w:val="false"/>
        <w:spacing/>
        <w:ind/>
        <w:jc w:val="left"/>
        <w:rPr/>
      </w:pPr>
      <w:r>
        <w:rPr>
          <w:i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1074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86.50pt;height:638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i/>
        </w:rPr>
      </w:r>
      <w:r/>
    </w:p>
    <w:p w14:paraId="1066E5B9">
      <w:pPr>
        <w:pStyle w:val="991"/>
        <w:pBdr/>
        <w:bidi w:val="false"/>
        <w:spacing/>
        <w:ind/>
        <w:jc w:val="left"/>
        <w:rPr/>
      </w:pPr>
      <w:r>
        <w:t xml:space="preserve">Struktura nieruchomości jest prezentowana w formie drzewa hierarchicznego. Poziomy struktury to: Wspólnota → Budynek → Klatka → Lokal. Aby rozwinąć drzewo, należy nacisnąć strzałkę lub nazwę elementu.</w:t>
      </w:r>
      <w:r/>
    </w:p>
    <w:p w14:paraId="5A89130A">
      <w:pPr>
        <w:pStyle w:val="975"/>
        <w:pBdr/>
        <w:bidi w:val="false"/>
        <w:spacing/>
        <w:ind w:firstLine="0" w:left="0"/>
        <w:jc w:val="left"/>
        <w:rPr/>
      </w:pPr>
      <w:r>
        <w:t xml:space="preserve">4.2.2. Edycja danych lokalu (Zarządca)</w:t>
      </w:r>
      <w:r/>
    </w:p>
    <w:p w14:paraId="075BEE9B">
      <w:pPr>
        <w:pStyle w:val="991"/>
        <w:pBdr/>
        <w:bidi w:val="false"/>
        <w:spacing/>
        <w:ind/>
        <w:jc w:val="left"/>
        <w:rPr/>
      </w:pPr>
      <w:r>
        <w:rPr>
          <w:i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7101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86.50pt;height:638.2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i/>
        </w:rPr>
      </w:r>
      <w:r/>
    </w:p>
    <w:p w14:paraId="6AE7526E">
      <w:pPr>
        <w:pStyle w:val="991"/>
        <w:numPr>
          <w:ilvl w:val="0"/>
          <w:numId w:val="32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zakładce Lokale rozwiń drzewo do poziomu interesującego lokalu.</w:t>
      </w:r>
      <w:r/>
    </w:p>
    <w:p w14:paraId="47315055">
      <w:pPr>
        <w:pStyle w:val="991"/>
        <w:numPr>
          <w:ilvl w:val="0"/>
          <w:numId w:val="32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ikonę edycji (ołówek) lub naciśnij nazwę lokalu, aby wejść w jego szczegóły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53829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286.50pt;height:638.2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Liberation Mono" w:hAnsi="Liberation Mono"/>
        </w:rPr>
      </w:r>
      <w:r/>
    </w:p>
    <w:p w14:paraId="43699DDD">
      <w:pPr>
        <w:pStyle w:val="991"/>
        <w:numPr>
          <w:ilvl w:val="0"/>
          <w:numId w:val="32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formularzu edycji uzupełnij lub zaktualizuj dane: numer lokalu, piętro, metraż (m²), status własności (własność / najem).</w:t>
      </w:r>
      <w:r/>
    </w:p>
    <w:p w14:paraId="30C64269">
      <w:pPr>
        <w:pStyle w:val="991"/>
        <w:numPr>
          <w:ilvl w:val="0"/>
          <w:numId w:val="32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Zatwierdź zmiany przyciskiem Zapisz.</w:t>
      </w:r>
      <w:r/>
    </w:p>
    <w:p w14:paraId="766D790B">
      <w:pPr>
        <w:pStyle w:val="975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>
        <w:t xml:space="preserve">4.2.3. Zarządzanie licznikami mediów (Zarządca)</w:t>
      </w:r>
      <w:r/>
    </w:p>
    <w:p w14:paraId="5E49AF31">
      <w:pPr>
        <w:pStyle w:val="991"/>
        <w:pBdr/>
        <w:bidi w:val="false"/>
        <w:spacing/>
        <w:ind/>
        <w:jc w:val="left"/>
        <w:rPr/>
      </w:pPr>
      <w:r>
        <w:t xml:space="preserve">Każdy lokal może posiadać przypisane liczniki mediów (woda zimna, woda ciepła, energia elektryczna, gaz). Moduł umożliwia rejestrację urządzeń oraz wprowadzanie kolejnych odczytów.</w:t>
      </w:r>
      <w:r/>
    </w:p>
    <w:p w14:paraId="5610367F">
      <w:pPr>
        <w:pStyle w:val="991"/>
        <w:pBdr/>
        <w:bidi w:val="false"/>
        <w:spacing/>
        <w:ind/>
        <w:jc w:val="left"/>
        <w:rPr/>
      </w:pPr>
      <w:r>
        <w:t xml:space="preserve"> 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5440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86.50pt;height:638.2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 w14:paraId="1D32506A">
      <w:pPr>
        <w:pStyle w:val="991"/>
        <w:numPr>
          <w:ilvl w:val="0"/>
          <w:numId w:val="33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szczegółach lokalu przejdź do zakładki Liczniki.</w:t>
      </w:r>
      <w:r/>
    </w:p>
    <w:p w14:paraId="3B7309F0">
      <w:pPr>
        <w:pStyle w:val="991"/>
        <w:numPr>
          <w:ilvl w:val="0"/>
          <w:numId w:val="33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Jeśli lokal nie posiada jeszcze żadnego licznika, wyświetlony zostanie pusty stan listy. Naciśnij przycisk Dodaj licznik.</w:t>
      </w:r>
      <w:r/>
    </w:p>
    <w:p w14:paraId="5DB08BF7">
      <w:pPr>
        <w:pStyle w:val="991"/>
        <w:numPr>
          <w:ilvl w:val="0"/>
          <w:numId w:val="33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formularzu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83889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86.50pt;height:638.2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  <w:br/>
      </w:r>
      <w:r>
        <w:t xml:space="preserve">wprowadź: typ medium, numer seryjny urządzenia oraz datę montażu. Naciśnij Zapisz.</w:t>
      </w:r>
      <w:r/>
    </w:p>
    <w:p w14:paraId="74A66A24">
      <w:pPr>
        <w:pStyle w:val="991"/>
        <w:numPr>
          <w:ilvl w:val="0"/>
          <w:numId w:val="33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Po dodaniu licznika naciśnij go na liście, aby przejść do historii odczytów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2606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86.50pt;height:638.2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 w14:paraId="0981BB41">
      <w:pPr>
        <w:pStyle w:val="991"/>
        <w:numPr>
          <w:ilvl w:val="0"/>
          <w:numId w:val="33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Dodaj odczyt, wpisz aktualny stan licznika i datę odczytu, a następnie zatwierdź. Wynik zużycia zostanie obliczony automatycznie </w:t>
      </w:r>
      <w:r>
        <w:rPr>
          <w:rFonts w:ascii="Liberation Mono" w:hAnsi="Liberation Mono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14373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86.50pt;height:638.2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Liberation Mono" w:hAnsi="Liberation Mono"/>
        </w:rPr>
      </w:r>
      <w:r/>
    </w:p>
    <w:p w14:paraId="01A7F0F9">
      <w:pPr>
        <w:pStyle w:val="974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/>
      <w:bookmarkStart w:id="14" w:name="_Toc14"/>
      <w:r>
        <w:t xml:space="preserve">4.3. Moduł zgłoszeń awarii (Tickety)</w:t>
      </w:r>
      <w:bookmarkEnd w:id="14"/>
      <w:r/>
      <w:r/>
    </w:p>
    <w:p w14:paraId="3E96826D">
      <w:pPr>
        <w:pStyle w:val="991"/>
        <w:pBdr/>
        <w:bidi w:val="false"/>
        <w:spacing/>
        <w:ind/>
        <w:jc w:val="left"/>
        <w:rPr/>
      </w:pPr>
      <w:r>
        <w:t xml:space="preserve">System ticketowy jest centralnym narzędziem komunikacji między mieszkańcami, zarządcą i konserwatorami w zakresie usterek i awarii technicznych. Każde zgłoszenie przechodzi przez cykl życia: Nowe → W realizacji → Zakończone.</w:t>
      </w:r>
      <w:r/>
    </w:p>
    <w:p w14:paraId="13B56759">
      <w:pPr>
        <w:pStyle w:val="975"/>
        <w:pBdr/>
        <w:bidi w:val="false"/>
        <w:spacing/>
        <w:ind w:firstLine="0" w:left="0"/>
        <w:jc w:val="left"/>
        <w:rPr/>
      </w:pPr>
      <w:r>
        <w:t xml:space="preserve">4.3.1. Zgłaszanie awarii przez mieszkańca</w:t>
      </w:r>
      <w:r/>
    </w:p>
    <w:p w14:paraId="7992F8A9">
      <w:pPr>
        <w:pStyle w:val="991"/>
        <w:pBdr/>
        <w:bidi w:val="false"/>
        <w:spacing/>
        <w:ind/>
        <w:jc w:val="left"/>
        <w:rPr/>
      </w:pPr>
      <w:r>
        <w:t xml:space="preserve">Mieszkaniec może samodzielnie zgłosić awarię za pomocą dedykowanego formularza w aplikacji. </w:t>
      </w:r>
      <w:r>
        <w:rPr>
          <w:i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1032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286.50pt;height:638.2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i/>
        </w:rPr>
      </w:r>
      <w:r/>
    </w:p>
    <w:p w14:paraId="0806CBC4">
      <w:pPr>
        <w:pStyle w:val="991"/>
        <w:numPr>
          <w:ilvl w:val="0"/>
          <w:numId w:val="34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Zaloguj się jako Mieszkaniec i przejdź do modułu Zgłoszenia.</w:t>
      </w:r>
      <w:r/>
    </w:p>
    <w:p w14:paraId="33179185">
      <w:pPr>
        <w:pStyle w:val="991"/>
        <w:numPr>
          <w:ilvl w:val="0"/>
          <w:numId w:val="34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przycisk Nowe zgłoszenie / +.</w:t>
      </w:r>
      <w:r/>
    </w:p>
    <w:p w14:paraId="7D61B78C">
      <w:pPr>
        <w:pStyle w:val="991"/>
        <w:numPr>
          <w:ilvl w:val="0"/>
          <w:numId w:val="34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formularzu </w:t>
      </w:r>
      <w:r>
        <w:rPr>
          <w:rFonts w:ascii="Liberation Mono" w:hAnsi="Liberation Mono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06647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286.50pt;height:638.2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Liberation Mono" w:hAnsi="Liberation Mono"/>
        </w:rPr>
        <w:br/>
      </w:r>
      <w:r>
        <w:t xml:space="preserve">wypełnij pola: Tytuł (krótki opis problemu), Opis (szczegółowy opis usterki), Kategoria (wybierz z listy, np. Hydraulika, Elektryka, Stolarka). Opcjonalnie dołącz zdjęcia dokumentujące usterkę za pomocą przycisku Dodaj zdjęcia.</w:t>
      </w:r>
      <w:r/>
    </w:p>
    <w:p w14:paraId="374256F2">
      <w:pPr>
        <w:pStyle w:val="991"/>
        <w:numPr>
          <w:ilvl w:val="0"/>
          <w:numId w:val="34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Wyślij zgłoszenie. Zgłoszenie zostanie zarejestrowane w systemie z datą i godziną przyjęcia, a zarządca otrzyma powiadomienie push.</w:t>
      </w:r>
      <w:r/>
    </w:p>
    <w:p w14:paraId="0C3DF98C">
      <w:pPr>
        <w:pStyle w:val="975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>
        <w:t xml:space="preserve">4.3.2. Obsługa zgłoszenia przez zarządcę</w:t>
      </w:r>
      <w:r/>
    </w:p>
    <w:p w14:paraId="1E1CD74A">
      <w:pPr>
        <w:pStyle w:val="991"/>
        <w:pBdr/>
        <w:bidi w:val="false"/>
        <w:spacing/>
        <w:ind/>
        <w:jc w:val="left"/>
        <w:rPr/>
      </w:pPr>
      <w:r>
        <w:t xml:space="preserve">Zarządca odbiera nowe zgłoszenie, weryfikuje je, planuje termin naprawy i przypisuje konserwatora. 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15396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286.50pt;height:638.2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</w:p>
    <w:p w14:paraId="10D61105">
      <w:pPr>
        <w:pStyle w:val="991"/>
        <w:numPr>
          <w:ilvl w:val="0"/>
          <w:numId w:val="35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module Zgłoszenia </w:t>
      </w:r>
      <w:r>
        <w:t xml:space="preserve"> naciśnij kafelek nowego zgłoszenia, aby wejść w jego szczegóły.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48265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86.50pt;height:638.2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</w:p>
    <w:p w14:paraId="7C2C13E5">
      <w:pPr>
        <w:pStyle w:val="991"/>
        <w:numPr>
          <w:ilvl w:val="0"/>
          <w:numId w:val="35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Zapoznaj się z opisem usterki i opcjonalnie dodaj komentarz wewnętrzny (widoczny tylko dla personelu administracyjnego)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39346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286.50pt;height:638.2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</w:p>
    <w:p w14:paraId="4E263245">
      <w:pPr>
        <w:pStyle w:val="991"/>
        <w:numPr>
          <w:ilvl w:val="0"/>
          <w:numId w:val="35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Zaplanuj termin. W formularzu </w:t>
      </w:r>
      <w:r>
        <w:t xml:space="preserve"> ustaw datę i godzinę planowanej naprawy.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4069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286.50pt;height:638.2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</w:p>
    <w:p w14:paraId="420008DB">
      <w:pPr>
        <w:pStyle w:val="991"/>
        <w:numPr>
          <w:ilvl w:val="0"/>
          <w:numId w:val="35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Przypisz konserwatora. Z wyświetlonej listy pracowników technicznych </w:t>
      </w:r>
      <w:r>
        <w:t xml:space="preserve">wybierz konserwatora o najmniejszej liczbie aktywnych zleceń. Wybrana osoba otrzyma powiadomienie push o nowym zadaniu.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63410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286.50pt;height:638.2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/>
    </w:p>
    <w:p w14:paraId="2CC22A03">
      <w:pPr>
        <w:pStyle w:val="975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>
        <w:t xml:space="preserve">4.3.3. Realizacja zgłoszenia przez konserwatora</w:t>
      </w:r>
      <w:r/>
    </w:p>
    <w:p w14:paraId="7845632D">
      <w:pPr>
        <w:pStyle w:val="991"/>
        <w:pBdr/>
        <w:bidi w:val="false"/>
        <w:spacing/>
        <w:ind/>
        <w:jc w:val="left"/>
        <w:rPr/>
      </w:pPr>
      <w:r>
        <w:rPr>
          <w:i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21381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286.50pt;height:638.2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i/>
        </w:rPr>
      </w:r>
      <w:r/>
    </w:p>
    <w:p w14:paraId="0C7CB5B1">
      <w:pPr>
        <w:pStyle w:val="991"/>
        <w:numPr>
          <w:ilvl w:val="0"/>
          <w:numId w:val="36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Zaloguj się jako Konserwator. Na ekranie głównym wyświetlana jest lista przypisanych zadań </w:t>
      </w:r>
      <w:r>
        <w:rPr>
          <w:rFonts w:ascii="Liberation Mono" w:hAnsi="Liberation Mono"/>
        </w:rPr>
      </w:r>
      <w:r/>
    </w:p>
    <w:p w14:paraId="36013A84">
      <w:pPr>
        <w:pStyle w:val="991"/>
        <w:numPr>
          <w:ilvl w:val="0"/>
          <w:numId w:val="36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zgłoszenie, które chcesz podjąć. Zapoznaj się z jego szczegółami, opisem i dołączonymi zdjęciami.</w:t>
      </w:r>
      <w:r/>
    </w:p>
    <w:p w14:paraId="2E4B3C28">
      <w:pPr>
        <w:pStyle w:val="991"/>
        <w:numPr>
          <w:ilvl w:val="0"/>
          <w:numId w:val="36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Rozpocznij realizację. Status zgłoszenia zmieni się na W realizacji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498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286.50pt;height:638.2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t xml:space="preserve">.</w:t>
      </w:r>
      <w:r/>
    </w:p>
    <w:p w14:paraId="5E053D8C">
      <w:pPr>
        <w:pStyle w:val="991"/>
        <w:numPr>
          <w:ilvl w:val="0"/>
          <w:numId w:val="36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Po wykonaniu naprawy naciśnij Zakończ i wpisz raport w formularzu </w:t>
      </w:r>
      <w:r>
        <w:t xml:space="preserve">. Opisz wykonane czynności, użyte materiały i ewentualne uwagi. Naciśnij Zamknij zgłoszenie.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8520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286.50pt;height:638.2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/>
    </w:p>
    <w:p w14:paraId="6F3FEA3E">
      <w:pPr>
        <w:pStyle w:val="991"/>
        <w:numPr>
          <w:ilvl w:val="0"/>
          <w:numId w:val="36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Zgłoszenie przejdzie w status Zakończone. Zarządca i mieszkaniec otrzymają powiadomienie o zamknięciu usterki. Podsumowanie zakończonej awarii dostępne jest w widoku </w:t>
      </w:r>
      <w:r>
        <w:rPr>
          <w:rFonts w:ascii="Liberation Mono" w:hAnsi="Liberation Mono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96531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286.50pt;height:638.25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Liberation Mono" w:hAnsi="Liberation Mono"/>
        </w:rPr>
      </w:r>
      <w:r/>
    </w:p>
    <w:p w14:paraId="44571BEA">
      <w:pPr>
        <w:pStyle w:val="975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>
        <w:t xml:space="preserve">4.3.4. Zarządzanie kategoriami zgłoszeń (Zarządca)</w:t>
      </w:r>
      <w:r/>
    </w:p>
    <w:p w14:paraId="2CD55C0F">
      <w:pPr>
        <w:pStyle w:val="991"/>
        <w:pBdr/>
        <w:bidi w:val="false"/>
        <w:spacing/>
        <w:ind/>
        <w:jc w:val="left"/>
        <w:rPr/>
      </w:pPr>
      <w:r>
        <w:t xml:space="preserve">Zarządca może definiować własne kategorie awarii i konfigurować dla nich limity SLA (ang. Service Level Agreement) – maksymalny czas reakcji i realizacji zgłoszenia. </w:t>
      </w:r>
      <w:r/>
    </w:p>
    <w:p w14:paraId="5A3DDF65">
      <w:pPr>
        <w:pStyle w:val="991"/>
        <w:numPr>
          <w:ilvl w:val="0"/>
          <w:numId w:val="37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ustawieniach systemu przejdź do sekcji Kategorie zgłoszeń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066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286.50pt;height:638.2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/>
    </w:p>
    <w:p w14:paraId="50561D4D">
      <w:pPr>
        <w:pStyle w:val="991"/>
        <w:numPr>
          <w:ilvl w:val="0"/>
          <w:numId w:val="37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Lista wyświetla istniejące kategorie wraz z przypisanymi limitami SLA.</w:t>
      </w:r>
      <w:r/>
    </w:p>
    <w:p w14:paraId="37688F7A">
      <w:pPr>
        <w:pStyle w:val="991"/>
        <w:numPr>
          <w:ilvl w:val="0"/>
          <w:numId w:val="37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Aby edytować kategorię, naciśnij jej nazwę i zmień parametry w formularzu </w:t>
      </w:r>
      <w:r>
        <w:rPr>
          <w:rFonts w:ascii="Liberation Mono" w:hAnsi="Liberation Mono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7118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286.50pt;height:638.2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Liberation Mono" w:hAnsi="Liberation Mono"/>
        </w:rPr>
      </w:r>
      <w:r/>
    </w:p>
    <w:p w14:paraId="776F3420">
      <w:pPr>
        <w:pStyle w:val="991"/>
        <w:numPr>
          <w:ilvl w:val="0"/>
          <w:numId w:val="37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Zapisz, aby potwierdzić zmiany.</w:t>
      </w:r>
      <w:r/>
    </w:p>
    <w:p w14:paraId="4D7EF11A">
      <w:pPr>
        <w:pStyle w:val="974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/>
      <w:bookmarkStart w:id="15" w:name="_Toc15"/>
      <w:r>
        <w:t xml:space="preserve">4.4. Moduł finansowy</w:t>
      </w:r>
      <w:bookmarkEnd w:id="15"/>
      <w:r/>
      <w:r/>
    </w:p>
    <w:p w14:paraId="7E9E3989">
      <w:pPr>
        <w:pStyle w:val="991"/>
        <w:pBdr/>
        <w:bidi w:val="false"/>
        <w:spacing/>
        <w:ind/>
        <w:jc w:val="left"/>
        <w:rPr/>
      </w:pPr>
      <w:r>
        <w:t xml:space="preserve">Moduł finansowy systemu Blokur obsługuje całokształt rozliczeń wspólnoty: kartoteki finansowe poszczególnych lokali, monitoring zaległości czynszowych, masowy import wyciągów bankowych oraz historię transakcji dostępną dla mieszkańców.</w:t>
      </w:r>
      <w:r/>
    </w:p>
    <w:p w14:paraId="7E6A829B">
      <w:pPr>
        <w:pStyle w:val="975"/>
        <w:pBdr/>
        <w:bidi w:val="false"/>
        <w:spacing/>
        <w:ind w:firstLine="0" w:left="0"/>
        <w:jc w:val="left"/>
        <w:rPr/>
      </w:pPr>
      <w:r>
        <w:t xml:space="preserve">4.4.1. Kartoteka finansowa lokalu (Zarządca)</w:t>
      </w:r>
      <w:r/>
    </w:p>
    <w:p w14:paraId="48DB8C90">
      <w:pPr>
        <w:pStyle w:val="991"/>
        <w:pBdr/>
        <w:bidi w:val="false"/>
        <w:spacing/>
        <w:ind/>
        <w:jc w:val="left"/>
        <w:rPr/>
      </w:pPr>
      <w:r>
        <w:t xml:space="preserve">Kartoteka finansowa lokalu jest dostępna z poziomu szczegółów danego lokalu w zakładce Finanse. </w:t>
      </w:r>
      <w:r/>
    </w:p>
    <w:p w14:paraId="61CED8AE">
      <w:pPr>
        <w:pStyle w:val="991"/>
        <w:numPr>
          <w:ilvl w:val="0"/>
          <w:numId w:val="38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module Lokale otwórz szczegóły wybranego lokalu i przejdź do zakładki Finanse.</w:t>
      </w:r>
      <w:r/>
    </w:p>
    <w:p w14:paraId="7BDCCAA5">
      <w:pPr>
        <w:pStyle w:val="991"/>
        <w:numPr>
          <w:ilvl w:val="0"/>
          <w:numId w:val="38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Wyświetlone zostanie aktualne saldo oraz tabela historii transakcji 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42416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286.50pt;height:638.2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/>
    </w:p>
    <w:p w14:paraId="5BE14E83">
      <w:pPr>
        <w:pStyle w:val="991"/>
        <w:numPr>
          <w:ilvl w:val="0"/>
          <w:numId w:val="38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Aby ręcznie dodać operację finansową (wpłatę, naliczenie czynszu, korektę), naciśnij Dodaj operację </w:t>
      </w:r>
      <w:r>
        <w:rPr>
          <w:rFonts w:ascii="Liberation Mono" w:hAnsi="Liberation Mono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21446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286.50pt;height:638.2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Liberation Mono" w:hAnsi="Liberation Mono"/>
        </w:rPr>
      </w:r>
      <w:r/>
    </w:p>
    <w:p w14:paraId="5C95A5F9">
      <w:pPr>
        <w:pStyle w:val="991"/>
        <w:numPr>
          <w:ilvl w:val="0"/>
          <w:numId w:val="38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Wypełnij formularz: typ operacji, kwota, data, opis. Naciśnij Zapisz. Saldo lokalu zostanie automatycznie zaktualizowane.</w:t>
      </w:r>
      <w:r/>
    </w:p>
    <w:p w14:paraId="7BDA81F9">
      <w:pPr>
        <w:pStyle w:val="975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>
        <w:t xml:space="preserve">4.4.2. Import transakcji z pliku CSV (Zarządca)</w:t>
      </w:r>
      <w:r/>
    </w:p>
    <w:p w14:paraId="24879907">
      <w:pPr>
        <w:pStyle w:val="991"/>
        <w:pBdr/>
        <w:bidi w:val="false"/>
        <w:spacing/>
        <w:ind/>
        <w:jc w:val="left"/>
        <w:rPr/>
      </w:pPr>
      <w:r>
        <w:t xml:space="preserve">Zarządca może masowo importować transakcje bankowe z pliku CSV, co znacznie przyspiesza księgowanie miesięcznych wpłat czynszowych od wszystkich lokatorów. </w:t>
      </w:r>
      <w:r>
        <w:rPr>
          <w:i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82151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286.50pt;height:638.2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i/>
        </w:rPr>
      </w:r>
      <w:r/>
    </w:p>
    <w:p w14:paraId="1540DD94">
      <w:pPr>
        <w:pStyle w:val="991"/>
        <w:numPr>
          <w:ilvl w:val="0"/>
          <w:numId w:val="39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głównym module Finanse</w:t>
      </w:r>
      <w:r>
        <w:t xml:space="preserve"> przejdź do zakładki Import transakcji.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6027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286.50pt;height:638.25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/>
    </w:p>
    <w:p w14:paraId="516256C1">
      <w:pPr>
        <w:pStyle w:val="991"/>
        <w:numPr>
          <w:ilvl w:val="0"/>
          <w:numId w:val="39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Wybierz plik i wskaż plik CSV z wyciągiem bankowym. Format pliku musi być zgodny z wzorcem udostępnionym przez system (kolumny: data, kwota, tytuł, nadawca).</w:t>
      </w:r>
      <w:r/>
    </w:p>
    <w:p w14:paraId="370E57E6">
      <w:pPr>
        <w:pStyle w:val="991"/>
        <w:numPr>
          <w:ilvl w:val="0"/>
          <w:numId w:val="39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System wyświetli podgląd rozpoznanych transakcji do weryfikacji. Sprawdź, czy przypisania do lokali są poprawne.</w:t>
      </w:r>
      <w:r/>
    </w:p>
    <w:p w14:paraId="1E5E0BF0">
      <w:pPr>
        <w:pStyle w:val="991"/>
        <w:numPr>
          <w:ilvl w:val="0"/>
          <w:numId w:val="39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Importuj, aby zaksięgować transakcje w kartotkach odpowiednich lokali.</w:t>
      </w:r>
      <w:r/>
    </w:p>
    <w:p w14:paraId="420DA8D6">
      <w:pPr>
        <w:pStyle w:val="975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>
        <w:t xml:space="preserve">4.4.3. Monitoring zaległości (Zarządca)</w:t>
      </w:r>
      <w:r/>
    </w:p>
    <w:p w14:paraId="6C71AE60">
      <w:pPr>
        <w:pStyle w:val="991"/>
        <w:pBdr/>
        <w:bidi w:val="false"/>
        <w:spacing/>
        <w:ind/>
        <w:jc w:val="left"/>
        <w:rPr/>
      </w:pPr>
      <w:r>
        <w:t xml:space="preserve">Raport zaległości umożliwia zarządcy szybki przegląd stanu zadłużenia wszystkich lokali i pobranie dokumentu PDF w celach administracyjnych. 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55081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286.50pt;height:638.25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/>
    </w:p>
    <w:p w14:paraId="708CC3BD">
      <w:pPr>
        <w:pStyle w:val="991"/>
        <w:numPr>
          <w:ilvl w:val="0"/>
          <w:numId w:val="40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module Finanse naciśnij zakładkę Zaległości.</w:t>
      </w:r>
      <w:r/>
    </w:p>
    <w:p w14:paraId="26B32574">
      <w:pPr>
        <w:pStyle w:val="991"/>
        <w:numPr>
          <w:ilvl w:val="0"/>
          <w:numId w:val="40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 ekranie </w:t>
      </w:r>
      <w:r>
        <w:t xml:space="preserve">wyświetlona zostanie tabela ze wszystkimi lokalami, ich saldami i kwotami zaległości.</w:t>
      </w:r>
      <w:r/>
    </w:p>
    <w:p w14:paraId="6ECE8271">
      <w:pPr>
        <w:pStyle w:val="991"/>
        <w:numPr>
          <w:ilvl w:val="0"/>
          <w:numId w:val="40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przycisk Pobierz PDF, aby wygenerować i pobrać zbiorczy raport zaległości.</w:t>
      </w:r>
      <w:r/>
    </w:p>
    <w:p w14:paraId="4C5CDA08">
      <w:pPr>
        <w:pStyle w:val="975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>
        <w:t xml:space="preserve">4.4.4. Podgląd finansów przez mieszkańca</w:t>
      </w:r>
      <w:r/>
    </w:p>
    <w:p w14:paraId="26F30C08">
      <w:pPr>
        <w:pStyle w:val="991"/>
        <w:pBdr/>
        <w:bidi w:val="false"/>
        <w:spacing/>
        <w:ind/>
        <w:jc w:val="left"/>
        <w:rPr/>
      </w:pPr>
      <w:r>
        <w:t xml:space="preserve">Mieszkaniec ma wgląd wyłącznie w dane finansowe własnego lokalu. 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6735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286.50pt;height:638.25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/>
    </w:p>
    <w:p w14:paraId="59724167">
      <w:pPr>
        <w:pStyle w:val="991"/>
        <w:numPr>
          <w:ilvl w:val="0"/>
          <w:numId w:val="41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Zaloguj się jako Mieszkaniec i przejdź do modułu Finanse.</w:t>
      </w:r>
      <w:r/>
    </w:p>
    <w:p w14:paraId="1BB773C8">
      <w:pPr>
        <w:pStyle w:val="991"/>
        <w:numPr>
          <w:ilvl w:val="0"/>
          <w:numId w:val="41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 ekranie głównym modułu wyświetlane jest aktualne saldo – nadpłata lub zadłużenie</w:t>
      </w:r>
      <w:r>
        <w:t xml:space="preserve">.</w:t>
      </w:r>
      <w:r/>
    </w:p>
    <w:p w14:paraId="59B6EC36">
      <w:pPr>
        <w:pStyle w:val="991"/>
        <w:numPr>
          <w:ilvl w:val="0"/>
          <w:numId w:val="41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Historia transakcji, aby wyświetlić pełną listę naliczeń czynszu i zarejestrowanych wpłat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44373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286.50pt;height:638.25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/>
    </w:p>
    <w:p w14:paraId="340767EC">
      <w:pPr>
        <w:pStyle w:val="974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/>
      <w:bookmarkStart w:id="16" w:name="_Toc16"/>
      <w:r>
        <w:t xml:space="preserve">4.5. Uchwały i głosowania elektroniczne</w:t>
      </w:r>
      <w:bookmarkEnd w:id="16"/>
      <w:r/>
      <w:r/>
    </w:p>
    <w:p w14:paraId="1AEBBCEE">
      <w:pPr>
        <w:pStyle w:val="991"/>
        <w:pBdr/>
        <w:bidi w:val="false"/>
        <w:spacing/>
        <w:ind/>
        <w:jc w:val="left"/>
        <w:rPr/>
      </w:pPr>
      <w:r>
        <w:t xml:space="preserve">Moduł głosowań umożliwia przeprowadzanie elektronicznych głosowań wspólnoty nad uchwałami bez konieczności organizowania fizycznych zebrań. Wyniki są widoczne w czasie rzeczywistym po oddaniu głosu.</w:t>
      </w:r>
      <w:r/>
    </w:p>
    <w:p w14:paraId="67417793">
      <w:pPr>
        <w:pStyle w:val="975"/>
        <w:pBdr/>
        <w:bidi w:val="false"/>
        <w:spacing/>
        <w:ind w:firstLine="0" w:left="0"/>
        <w:jc w:val="left"/>
        <w:rPr/>
      </w:pPr>
      <w:r>
        <w:t xml:space="preserve">4.5.1. Tworzenie uchwały (Zarządca)</w:t>
      </w:r>
      <w:r/>
    </w:p>
    <w:p w14:paraId="64DE4532">
      <w:pPr>
        <w:pStyle w:val="991"/>
        <w:pBdr/>
        <w:bidi w:val="false"/>
        <w:spacing/>
        <w:ind/>
        <w:jc w:val="left"/>
        <w:rPr/>
      </w:pPr>
      <w:r>
        <w:rPr>
          <w:i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8851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286.50pt;height:638.25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i/>
        </w:rPr>
      </w:r>
      <w:r/>
    </w:p>
    <w:p w14:paraId="29F36554">
      <w:pPr>
        <w:pStyle w:val="991"/>
        <w:numPr>
          <w:ilvl w:val="0"/>
          <w:numId w:val="42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module Uchwały </w:t>
      </w:r>
      <w:r>
        <w:t xml:space="preserve">naciśnij przycisk Nowa uchwała.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0270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286.50pt;height:638.25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/>
    </w:p>
    <w:p w14:paraId="7CFCFA63">
      <w:pPr>
        <w:pStyle w:val="991"/>
        <w:numPr>
          <w:ilvl w:val="0"/>
          <w:numId w:val="42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kreatorze</w:t>
      </w:r>
      <w:r>
        <w:t xml:space="preserve"> wypełnij: treść uchwały, datę ważności głosowania (termin zamknięcia) oraz wybierz budynek / wspólnotę, której dotyczy głosowanie.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4895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286.50pt;height:638.25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/>
    </w:p>
    <w:p w14:paraId="0E69ABB6">
      <w:pPr>
        <w:pStyle w:val="991"/>
        <w:numPr>
          <w:ilvl w:val="0"/>
          <w:numId w:val="42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Opublikuj. Uchwała zostanie udostępniona mieszkańcom, którzy otrzymają powiadomienie push.</w:t>
      </w:r>
      <w:r/>
    </w:p>
    <w:p w14:paraId="5FFAD85A">
      <w:pPr>
        <w:pStyle w:val="991"/>
        <w:numPr>
          <w:ilvl w:val="0"/>
          <w:numId w:val="42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Podgląd nowo opublikowanej uchwały (bez oddanych głosów) dostępny jest w widoku </w:t>
      </w:r>
      <w:r>
        <w:rPr>
          <w:rFonts w:ascii="Liberation Mono" w:hAnsi="Liberation Mono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3691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286.50pt;height:638.25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rFonts w:ascii="Liberation Mono" w:hAnsi="Liberation Mono"/>
        </w:rPr>
      </w:r>
      <w:r/>
    </w:p>
    <w:p w14:paraId="6AF6A276">
      <w:pPr>
        <w:pStyle w:val="975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>
        <w:t xml:space="preserve">4.5.2. Oddawanie głosu przez mieszkańca</w:t>
      </w:r>
      <w:r/>
    </w:p>
    <w:p w14:paraId="180A915A">
      <w:pPr>
        <w:pStyle w:val="991"/>
        <w:pBdr/>
        <w:bidi w:val="false"/>
        <w:spacing/>
        <w:ind/>
        <w:jc w:val="left"/>
        <w:rPr/>
      </w:pPr>
      <w:r>
        <w:rPr>
          <w:i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3143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286.50pt;height:638.25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i/>
        </w:rPr>
      </w:r>
      <w:r/>
    </w:p>
    <w:p w14:paraId="16124DC9">
      <w:pPr>
        <w:pStyle w:val="991"/>
        <w:numPr>
          <w:ilvl w:val="0"/>
          <w:numId w:val="43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Zaloguj się jako Mieszkaniec i przejdź do modułu Uchwały.</w:t>
      </w:r>
      <w:r/>
    </w:p>
    <w:p w14:paraId="774BC2F2">
      <w:pPr>
        <w:pStyle w:val="991"/>
        <w:numPr>
          <w:ilvl w:val="0"/>
          <w:numId w:val="43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Z listy aktywnych uchwał</w:t>
      </w:r>
      <w:r>
        <w:t xml:space="preserve"> wybierz uchwałę, w której chcesz wziąć udział.</w:t>
      </w:r>
      <w:r/>
    </w:p>
    <w:p w14:paraId="3B6AB3B4">
      <w:pPr>
        <w:pStyle w:val="991"/>
        <w:numPr>
          <w:ilvl w:val="0"/>
          <w:numId w:val="43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Zapoznaj się z treścią uchwały, a następnie naciśnij jeden z przycisków głosowania </w:t>
      </w:r>
      <w:r>
        <w:t xml:space="preserve">: Za, Przeciw lub Wstrzymuję się.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24193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286.50pt;height:638.25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/>
    </w:p>
    <w:p w14:paraId="724D027C">
      <w:pPr>
        <w:pStyle w:val="991"/>
        <w:numPr>
          <w:ilvl w:val="0"/>
          <w:numId w:val="43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Po potwierdzeniu głosu ekran wyświetli bieżące wyniki procentowe głosowania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1052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286.50pt;height:638.25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  <w:br/>
      </w:r>
      <w:r>
        <w:t xml:space="preserve">Raz oddanego głosu nie można zmienić.</w:t>
      </w:r>
      <w:r/>
    </w:p>
    <w:p w14:paraId="38DDF5E3">
      <w:pPr>
        <w:pStyle w:val="974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/>
      <w:bookmarkStart w:id="17" w:name="_Toc17"/>
      <w:r>
        <w:t xml:space="preserve">4.6. Komunikacja: ogłoszenia i dystrybucja dokumentów</w:t>
      </w:r>
      <w:bookmarkEnd w:id="17"/>
      <w:r/>
      <w:r/>
    </w:p>
    <w:p w14:paraId="0274AF91">
      <w:pPr>
        <w:pStyle w:val="991"/>
        <w:pBdr/>
        <w:bidi w:val="false"/>
        <w:spacing/>
        <w:ind/>
        <w:jc w:val="left"/>
        <w:rPr/>
      </w:pPr>
      <w:r>
        <w:t xml:space="preserve">System Blokur zapewnia dwukierunkowe narzędzia komunikacji: tablicę ogłoszeń dla informacji bieżących oraz moduł dystrybucji dokumentów dla oficjalnych pism wymagających trwałego archiwizowania u mieszkańca.</w:t>
      </w:r>
      <w:r/>
    </w:p>
    <w:p w14:paraId="76B04698">
      <w:pPr>
        <w:pStyle w:val="975"/>
        <w:pBdr/>
        <w:bidi w:val="false"/>
        <w:spacing/>
        <w:ind w:firstLine="0" w:left="0"/>
        <w:jc w:val="left"/>
        <w:rPr/>
      </w:pPr>
      <w:r>
        <w:t xml:space="preserve">4.6.1. Zarządzanie ogłoszeniami (Zarządca)</w:t>
      </w:r>
      <w:r/>
    </w:p>
    <w:p w14:paraId="1AF73ADC">
      <w:pPr>
        <w:pStyle w:val="991"/>
        <w:pBdr/>
        <w:bidi w:val="false"/>
        <w:spacing/>
        <w:ind/>
        <w:jc w:val="left"/>
        <w:rPr/>
      </w:pPr>
      <w:r>
        <w:rPr>
          <w:i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59592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286.50pt;height:638.25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i/>
        </w:rPr>
      </w:r>
      <w:r/>
    </w:p>
    <w:p w14:paraId="52B61D7D">
      <w:pPr>
        <w:pStyle w:val="991"/>
        <w:numPr>
          <w:ilvl w:val="0"/>
          <w:numId w:val="44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menu profilu zarządcy przejdź do sekcji Ogłoszenia </w:t>
      </w:r>
      <w:r>
        <w:t xml:space="preserve">. Wyświetlona zostanie lista opublikowanych postów.</w:t>
      </w:r>
      <w:r/>
    </w:p>
    <w:p w14:paraId="2F0413CE">
      <w:pPr>
        <w:pStyle w:val="991"/>
        <w:numPr>
          <w:ilvl w:val="0"/>
          <w:numId w:val="44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Nowe ogłoszenie. W edytorze </w:t>
      </w:r>
      <w:r>
        <w:t xml:space="preserve"> wpisz tytuł i treść ogłoszenia (np. Piknik sąsiedzki).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81784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286.50pt;height:638.25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/>
    </w:p>
    <w:p w14:paraId="70632D1B">
      <w:pPr>
        <w:pStyle w:val="991"/>
        <w:numPr>
          <w:ilvl w:val="0"/>
          <w:numId w:val="44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Opcjonalnie dodaj załączniki (pliki PDF, zdjęcia) przyciskiem Dodaj załącznik.</w:t>
      </w:r>
      <w:r/>
    </w:p>
    <w:p w14:paraId="6414A776">
      <w:pPr>
        <w:pStyle w:val="991"/>
        <w:numPr>
          <w:ilvl w:val="0"/>
          <w:numId w:val="44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Opublikuj. Ogłoszenie pojawi się natychmiast na tablicy ogłoszeń mieszkańców </w:t>
      </w:r>
      <w:r>
        <w:rPr>
          <w:rFonts w:ascii="Liberation Mono" w:hAnsi="Liberation Mono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12786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286.50pt;height:638.25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rFonts w:ascii="Liberation Mono" w:hAnsi="Liberation Mono"/>
        </w:rPr>
      </w:r>
      <w:r/>
    </w:p>
    <w:p w14:paraId="1BE6A41F">
      <w:pPr>
        <w:pStyle w:val="991"/>
        <w:numPr>
          <w:ilvl w:val="0"/>
          <w:numId w:val="44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Aby usunąć ogłoszenie, na liście zarządcy naciśnij ikonę kosza obok wybranego wpisu i potwierdź usunięcie.</w:t>
      </w:r>
      <w:r/>
    </w:p>
    <w:p w14:paraId="1F3557C1">
      <w:pPr>
        <w:pStyle w:val="975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>
        <w:t xml:space="preserve">4.6.2. Dystrybucja oficjalnych dokumentów (Zarządca)</w:t>
      </w:r>
      <w:r/>
    </w:p>
    <w:p w14:paraId="2020F049">
      <w:pPr>
        <w:pStyle w:val="991"/>
        <w:pBdr/>
        <w:bidi w:val="false"/>
        <w:spacing/>
        <w:ind/>
        <w:jc w:val="left"/>
        <w:rPr/>
      </w:pPr>
      <w:r>
        <w:t xml:space="preserve">Narzędzie dystrybucji dokumentów służy do masowej wysyłki oficjalnych pism (np. zmiana stawek czynszowych, regulamin porządku domowego) bezpośrednio do aplikacji mieszkańców. 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70388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286.50pt;height:638.25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/>
    </w:p>
    <w:p w14:paraId="3A31CE0A">
      <w:pPr>
        <w:pStyle w:val="991"/>
        <w:numPr>
          <w:ilvl w:val="0"/>
          <w:numId w:val="45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menu profilu zarządcy przejdź do sekcji Dystrybucja dokumentów </w:t>
      </w:r>
      <w:r/>
    </w:p>
    <w:p w14:paraId="42340BAE">
      <w:pPr>
        <w:pStyle w:val="991"/>
        <w:numPr>
          <w:ilvl w:val="0"/>
          <w:numId w:val="45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Wyślij dokument. Wpisz tytuł dokumentu i wybierz plik PDF z pamięci urządzenia lub serwera.</w:t>
      </w:r>
      <w:r/>
    </w:p>
    <w:p w14:paraId="62C05DF8">
      <w:pPr>
        <w:pStyle w:val="991"/>
        <w:numPr>
          <w:ilvl w:val="0"/>
          <w:numId w:val="45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Wybierz odbiorców: wszyscy mieszkańcy budynku, wybrana klatka lub konkretne lokale.</w:t>
      </w:r>
      <w:r/>
    </w:p>
    <w:p w14:paraId="56E7CCEC">
      <w:pPr>
        <w:pStyle w:val="991"/>
        <w:numPr>
          <w:ilvl w:val="0"/>
          <w:numId w:val="45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Wyślij. Dokument zostanie natychmiast udostępniony w zakładce Dokumenty wybranych mieszkańców.</w:t>
      </w:r>
      <w:r/>
    </w:p>
    <w:p w14:paraId="2A9DDD3D">
      <w:pPr>
        <w:pStyle w:val="975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>
        <w:t xml:space="preserve">4.6.3. Odbieranie dokumentów przez mieszkańca</w:t>
      </w:r>
      <w:r/>
    </w:p>
    <w:p w14:paraId="6F0EF926">
      <w:pPr>
        <w:pStyle w:val="991"/>
        <w:pBdr/>
        <w:bidi w:val="false"/>
        <w:spacing/>
        <w:ind/>
        <w:jc w:val="left"/>
        <w:rPr/>
      </w:pPr>
      <w:r>
        <w:t xml:space="preserve">Mieszkaniec może w każdej chwili przeglądać i pobierać dokumenty przesłane przez zarządcę. 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4807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286.50pt;height:638.25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/>
    </w:p>
    <w:p w14:paraId="6B56EB5D">
      <w:pPr>
        <w:pStyle w:val="991"/>
        <w:numPr>
          <w:ilvl w:val="0"/>
          <w:numId w:val="46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Zaloguj się jako Mieszkaniec i przejdź do zakładki Dokumenty </w:t>
      </w:r>
      <w:r/>
    </w:p>
    <w:p w14:paraId="1A8C253D">
      <w:pPr>
        <w:pStyle w:val="991"/>
        <w:numPr>
          <w:ilvl w:val="0"/>
          <w:numId w:val="46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Lista wyświetla wszystkie dokumenty wraz z datą dostarczenia i tytułem.</w:t>
      </w:r>
      <w:r/>
    </w:p>
    <w:p w14:paraId="7EB0C01E">
      <w:pPr>
        <w:pStyle w:val="991"/>
        <w:numPr>
          <w:ilvl w:val="0"/>
          <w:numId w:val="46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wybrany dokument, aby otworzyć jego podgląd lub pobrać plik PDF na urządzenie.</w:t>
      </w:r>
      <w:r/>
    </w:p>
    <w:p w14:paraId="5166CC6A">
      <w:pPr>
        <w:pStyle w:val="974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/>
      <w:bookmarkStart w:id="18" w:name="_Toc18"/>
      <w:r>
        <w:t xml:space="preserve">4.7. Harmonogram przeglądów technicznych</w:t>
      </w:r>
      <w:bookmarkEnd w:id="18"/>
      <w:r/>
      <w:r/>
    </w:p>
    <w:p w14:paraId="20E28D1E">
      <w:pPr>
        <w:pStyle w:val="991"/>
        <w:pBdr/>
        <w:bidi w:val="false"/>
        <w:spacing/>
        <w:ind/>
        <w:jc w:val="left"/>
        <w:rPr/>
      </w:pPr>
      <w:r>
        <w:t xml:space="preserve">Moduł</w:t>
      </w:r>
      <w:r>
        <w:t xml:space="preserve"> harmonogramu przeglądów służy do planowania i śledzenia obowiązkowych przeglądów technicznych budynków (np. przegląd kominiarski, przegląd gaśnic, przegląd instalacji elektrycznej). Informacje o zbliżających się przeglądach są widoczne dla wszystkich ról.</w:t>
      </w:r>
      <w:r/>
    </w:p>
    <w:p w14:paraId="5A8BCA56">
      <w:pPr>
        <w:pStyle w:val="975"/>
        <w:pBdr/>
        <w:bidi w:val="false"/>
        <w:spacing/>
        <w:ind w:firstLine="0" w:left="0"/>
        <w:jc w:val="left"/>
        <w:rPr/>
      </w:pPr>
      <w:r>
        <w:t xml:space="preserve">4.7.1. Planowanie przeglądu (Zarządca)</w:t>
      </w:r>
      <w:r/>
    </w:p>
    <w:p w14:paraId="19C07CC7">
      <w:pPr>
        <w:pStyle w:val="991"/>
        <w:pBdr/>
        <w:bidi w:val="false"/>
        <w:spacing/>
        <w:ind/>
        <w:jc w:val="left"/>
        <w:rPr/>
      </w:pPr>
      <w:r>
        <w:rPr>
          <w:i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04368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286.50pt;height:638.25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i/>
        </w:rPr>
      </w:r>
      <w:r/>
    </w:p>
    <w:p w14:paraId="6A66A152">
      <w:pPr>
        <w:pStyle w:val="991"/>
        <w:numPr>
          <w:ilvl w:val="0"/>
          <w:numId w:val="47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menu profilu zarządcy przejdź do sekcji Harmonogram przeglądów </w:t>
      </w:r>
      <w:r>
        <w:t xml:space="preserve"> Lista wyświetla wszystkie zaplanowane przeglądy z datami i statusami.</w:t>
      </w:r>
      <w:r/>
    </w:p>
    <w:p w14:paraId="2657DFAB">
      <w:pPr>
        <w:pStyle w:val="991"/>
        <w:numPr>
          <w:ilvl w:val="0"/>
          <w:numId w:val="47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Nowy przegląd. W formularzu </w:t>
      </w:r>
      <w:r>
        <w:rPr>
          <w:rFonts w:ascii="Liberation Mono" w:hAnsi="Liberation Mono"/>
        </w:rPr>
        <w:t xml:space="preserve">]</w:t>
      </w:r>
      <w:r>
        <w:t xml:space="preserve"> wprowadź: typ przeglądu, datę, opis oraz budynek, którego dotyczy.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8934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286.50pt;height:638.25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/>
    </w:p>
    <w:p w14:paraId="0D3A5482">
      <w:pPr>
        <w:pStyle w:val="991"/>
        <w:numPr>
          <w:ilvl w:val="0"/>
          <w:numId w:val="47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Naciśnij Zapisz. Przegląd pojawi się w harmonogramie i będzie widoczny dla konserwatorów oraz mieszkańców.</w:t>
      </w:r>
      <w:r/>
    </w:p>
    <w:p w14:paraId="69198C84">
      <w:pPr>
        <w:pStyle w:val="975"/>
        <w:numPr>
          <w:ilvl w:val="0"/>
          <w:numId w:val="0"/>
        </w:numPr>
        <w:pBdr/>
        <w:bidi w:val="false"/>
        <w:spacing/>
        <w:ind w:firstLine="0" w:left="0"/>
        <w:jc w:val="left"/>
        <w:rPr/>
      </w:pPr>
      <w:r>
        <w:t xml:space="preserve">4.7.2. Harmonogram przeglądów – widok konserwatora</w:t>
      </w:r>
      <w:r/>
    </w:p>
    <w:p w14:paraId="3A678EBC">
      <w:pPr>
        <w:pStyle w:val="991"/>
        <w:pBdr/>
        <w:bidi w:val="false"/>
        <w:spacing/>
        <w:ind/>
        <w:jc w:val="left"/>
        <w:rPr/>
      </w:pPr>
      <w:r>
        <w:t xml:space="preserve">Konserwator widzi harmonogram przeglądów przypisanych do jego zakresu obowiązków. Gdy brak zaplanowanych przeglądów, ekran </w:t>
      </w:r>
      <w:r>
        <w:t xml:space="preserve"> wyświetla komunikat o pustym harmonogramie. </w:t>
      </w:r>
      <w:r>
        <w:rPr>
          <w:i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43744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286.50pt;height:638.25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i/>
        </w:rPr>
      </w:r>
      <w:r/>
    </w:p>
    <w:p w14:paraId="1165CE84">
      <w:pPr>
        <w:pStyle w:val="975"/>
        <w:pBdr/>
        <w:bidi w:val="false"/>
        <w:spacing/>
        <w:ind w:firstLine="0" w:left="0"/>
        <w:jc w:val="left"/>
        <w:rPr/>
      </w:pPr>
      <w:r>
        <w:t xml:space="preserve">4.7.3. Harmonogram przeglądów – widok mieszkańca</w:t>
      </w:r>
      <w:r/>
    </w:p>
    <w:p w14:paraId="7E2FCAAA">
      <w:pPr>
        <w:pStyle w:val="991"/>
        <w:pBdr/>
        <w:bidi w:val="false"/>
        <w:spacing/>
        <w:ind/>
        <w:jc w:val="left"/>
        <w:rPr/>
      </w:pPr>
      <w:r>
        <w:t xml:space="preserve">Mieszkaniec może sprawdzić datę i zakres nadchodzących przeglądów w swoim budynku, co pozwala mu zaplanować odpowiednie udostępnienie lokalu 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281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286.50pt;height:638.25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/>
    </w:p>
    <w:p w14:paraId="1D6D1DE4">
      <w:pPr>
        <w:pStyle w:val="974"/>
        <w:pBdr/>
        <w:bidi w:val="false"/>
        <w:spacing/>
        <w:ind w:firstLine="0" w:left="0"/>
        <w:jc w:val="left"/>
        <w:rPr/>
      </w:pPr>
      <w:r/>
      <w:bookmarkStart w:id="19" w:name="_Toc19"/>
      <w:r>
        <w:t xml:space="preserve">4.8. Konfiguracja powiadomień push</w:t>
      </w:r>
      <w:bookmarkEnd w:id="19"/>
      <w:r/>
      <w:r/>
    </w:p>
    <w:p w14:paraId="6D23461C">
      <w:pPr>
        <w:pStyle w:val="991"/>
        <w:pBdr/>
        <w:bidi w:val="false"/>
        <w:spacing/>
        <w:ind/>
        <w:jc w:val="left"/>
        <w:rPr/>
      </w:pPr>
      <w:r>
        <w:t xml:space="preserve">System Blokur wysyła powiadomienia push in</w:t>
      </w:r>
      <w:r>
        <w:t xml:space="preserve">formujące użytkowników o ważnych zdarzeniach: nowych zgłoszeniach, zmianie statusu awarii, nowych ogłoszeniach, nadchodzących głosowaniach, zbliżających się przeglądach itp. Zarządca może indywidualnie wyciszać lub aktywować poszczególne typy powiadomień.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8105775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688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 rot="0" flipH="0" flipV="0">
                          <a:off x="0" y="0"/>
                          <a:ext cx="3638549" cy="810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286.50pt;height:638.25pt;mso-wrap-distance-left:0.00pt;mso-wrap-distance-top:0.00pt;mso-wrap-distance-right:0.00pt;mso-wrap-distance-bottom:0.00pt;rotation:0;z-index:1;" stroked="false">
                <v:imagedata r:id="rId65" o:title=""/>
                <o:lock v:ext="edit" rotation="t"/>
              </v:shape>
            </w:pict>
          </mc:Fallback>
        </mc:AlternateContent>
      </w:r>
      <w:r/>
    </w:p>
    <w:p w14:paraId="2B4AF4B6">
      <w:pPr>
        <w:pStyle w:val="991"/>
        <w:numPr>
          <w:ilvl w:val="0"/>
          <w:numId w:val="48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W profilu zarządcy przejdź do sekcji Powiadomienia </w:t>
      </w:r>
      <w:r/>
    </w:p>
    <w:p w14:paraId="1A7195B8">
      <w:pPr>
        <w:pStyle w:val="991"/>
        <w:numPr>
          <w:ilvl w:val="0"/>
          <w:numId w:val="48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Na liście typów zdarzeń znajdź kategorie powiadomień, które chcesz zarządzać (np. Nowe zgłoszenie, Zmiana statusu zgłoszenia, Nowe ogłoszenie, Nowe głosowanie).</w:t>
      </w:r>
      <w:r/>
    </w:p>
    <w:p w14:paraId="381B3D12">
      <w:pPr>
        <w:pStyle w:val="991"/>
        <w:numPr>
          <w:ilvl w:val="0"/>
          <w:numId w:val="48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Za pomocą przełączników (toggle) aktywuj lub dezaktywuj każdy typ powiadomień osobno.</w:t>
      </w:r>
      <w:r/>
    </w:p>
    <w:p w14:paraId="5B57FAF2">
      <w:pPr>
        <w:pStyle w:val="991"/>
        <w:numPr>
          <w:ilvl w:val="0"/>
          <w:numId w:val="48"/>
        </w:numPr>
        <w:pBdr/>
        <w:tabs>
          <w:tab w:val="left" w:leader="none" w:pos="709"/>
          <w:tab w:val="left" w:leader="none" w:pos="709"/>
        </w:tabs>
        <w:bidi w:val="false"/>
        <w:spacing/>
        <w:ind w:hanging="283" w:left="709"/>
        <w:jc w:val="left"/>
        <w:rPr/>
      </w:pPr>
      <w:r>
        <w:t xml:space="preserve">Ustawienia są zapisywane automatycznie po każdej zmianie pozycji przełącznika.</w:t>
      </w:r>
      <w:r/>
    </w:p>
    <w:p w14:paraId="567F7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/>
    </w:p>
    <w:p w14:paraId="59E2E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Mono">
    <w:panose1 w:val="020704090202050204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Wingdings 2">
    <w:panose1 w:val="05040102010807070707"/>
  </w:font>
  <w:font w:name="Noto Sans Devanagari"/>
  <w:font w:name="AR PL SungtiL GB">
    <w:panose1 w:val="05040102010807070707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245C11"/>
    <w:lvl w:ilvl="0">
      <w:isLgl w:val="false"/>
      <w:lvlJc w:val="left"/>
      <w:lvlText w:val="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 2" w:hAnsi="Wingdings 2"/>
      </w:rPr>
      <w:start w:val="1"/>
      <w:suff w:val="tab"/>
    </w:lvl>
    <w:lvl w:ilvl="1">
      <w:isLgl w:val="false"/>
      <w:lvlJc w:val="left"/>
      <w:lvlText w:val="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 2" w:hAnsi="Wingdings 2"/>
      </w:rPr>
      <w:start w:val="1573"/>
      <w:suff w:val="tab"/>
    </w:lvl>
    <w:lvl w:ilvl="2">
      <w:isLgl w:val="false"/>
      <w:lvlJc w:val="left"/>
      <w:lvlText w:val="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 2" w:hAnsi="Wingdings 2"/>
      </w:rPr>
      <w:start w:val="1"/>
      <w:suff w:val="tab"/>
    </w:lvl>
    <w:lvl w:ilvl="3">
      <w:isLgl w:val="false"/>
      <w:lvlJc w:val="left"/>
      <w:lvlText w:val="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 2" w:hAnsi="Wingdings 2"/>
      </w:rPr>
      <w:start w:val="1"/>
      <w:suff w:val="tab"/>
    </w:lvl>
    <w:lvl w:ilvl="4">
      <w:isLgl w:val="false"/>
      <w:lvlJc w:val="left"/>
      <w:lvlText w:val="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 2" w:hAnsi="Wingdings 2"/>
      </w:rPr>
      <w:start w:val="1"/>
      <w:suff w:val="tab"/>
    </w:lvl>
    <w:lvl w:ilvl="5">
      <w:isLgl w:val="false"/>
      <w:lvlJc w:val="left"/>
      <w:lvlText w:val="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 2" w:hAnsi="Wingdings 2"/>
      </w:rPr>
      <w:start w:val="1"/>
      <w:suff w:val="tab"/>
    </w:lvl>
    <w:lvl w:ilvl="6">
      <w:isLgl w:val="false"/>
      <w:lvlJc w:val="left"/>
      <w:lvlText w:val="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 2" w:hAnsi="Wingdings 2"/>
      </w:rPr>
      <w:start w:val="1"/>
      <w:suff w:val="tab"/>
    </w:lvl>
    <w:lvl w:ilvl="7">
      <w:isLgl w:val="false"/>
      <w:lvlJc w:val="left"/>
      <w:lvlText w:val="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 2" w:hAnsi="Wingdings 2"/>
      </w:rPr>
      <w:start w:val="1"/>
      <w:suff w:val="tab"/>
    </w:lvl>
    <w:lvl w:ilvl="8">
      <w:isLgl w:val="false"/>
      <w:lvlJc w:val="left"/>
      <w:lvlText w:val="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 2" w:hAnsi="Wingdings 2"/>
      </w:rPr>
      <w:start w:val="1"/>
      <w:suff w:val="tab"/>
    </w:lvl>
  </w:abstractNum>
  <w:abstractNum w:abstractNumId="1">
    <w:nsid w:val="2E3D0B58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">
    <w:nsid w:val="31BF24A0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3">
    <w:nsid w:val="3EB67EC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">
    <w:nsid w:val="411878D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CA64297"/>
    <w:lvl w:ilvl="0">
      <w:isLgl w:val="false"/>
      <w:lvlJc w:val="left"/>
      <w:lvlText w:val="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 2" w:hAnsi="Wingdings 2"/>
      </w:rPr>
      <w:start w:val="1"/>
      <w:suff w:val="tab"/>
    </w:lvl>
    <w:lvl w:ilvl="1">
      <w:isLgl w:val="false"/>
      <w:lvlJc w:val="left"/>
      <w:lvlText w:val="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 2" w:hAnsi="Wingdings 2"/>
      </w:rPr>
      <w:start w:val="1"/>
      <w:suff w:val="tab"/>
    </w:lvl>
    <w:lvl w:ilvl="2">
      <w:isLgl w:val="false"/>
      <w:lvlJc w:val="left"/>
      <w:lvlText w:val="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 2" w:hAnsi="Wingdings 2"/>
      </w:rPr>
      <w:start w:val="1"/>
      <w:suff w:val="tab"/>
    </w:lvl>
    <w:lvl w:ilvl="3">
      <w:isLgl w:val="false"/>
      <w:lvlJc w:val="left"/>
      <w:lvlText w:val="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 2" w:hAnsi="Wingdings 2"/>
      </w:rPr>
      <w:start w:val="1"/>
      <w:suff w:val="tab"/>
    </w:lvl>
    <w:lvl w:ilvl="4">
      <w:isLgl w:val="false"/>
      <w:lvlJc w:val="left"/>
      <w:lvlText w:val="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 2" w:hAnsi="Wingdings 2"/>
      </w:rPr>
      <w:start w:val="1"/>
      <w:suff w:val="tab"/>
    </w:lvl>
    <w:lvl w:ilvl="5">
      <w:isLgl w:val="false"/>
      <w:lvlJc w:val="left"/>
      <w:lvlText w:val="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 2" w:hAnsi="Wingdings 2"/>
      </w:rPr>
      <w:start w:val="1"/>
      <w:suff w:val="tab"/>
    </w:lvl>
    <w:lvl w:ilvl="6">
      <w:isLgl w:val="false"/>
      <w:lvlJc w:val="left"/>
      <w:lvlText w:val="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 2" w:hAnsi="Wingdings 2"/>
      </w:rPr>
      <w:start w:val="1"/>
      <w:suff w:val="tab"/>
    </w:lvl>
    <w:lvl w:ilvl="7">
      <w:isLgl w:val="false"/>
      <w:lvlJc w:val="left"/>
      <w:lvlText w:val="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 2" w:hAnsi="Wingdings 2"/>
      </w:rPr>
      <w:start w:val="1"/>
      <w:suff w:val="tab"/>
    </w:lvl>
    <w:lvl w:ilvl="8">
      <w:isLgl w:val="false"/>
      <w:lvlJc w:val="left"/>
      <w:lvlText w:val="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 2" w:hAnsi="Wingdings 2"/>
      </w:rPr>
      <w:start w:val="1"/>
      <w:suff w:val="tab"/>
    </w:lvl>
  </w:abstractNum>
  <w:abstractNum w:abstractNumId="6">
    <w:nsid w:val="50B9155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52DB69F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6F0E4E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6F7058A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FA674D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1">
    <w:nsid w:val="77013D0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77901AA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3">
    <w:nsid w:val="46F231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CABB29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29398EB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nsid w:val="308AD15B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7">
    <w:nsid w:val="79EC2EC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">
    <w:nsid w:val="26B0ADB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66B4581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24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29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30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32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33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34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35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36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37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38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39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40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41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42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43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44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45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46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abstractNum w:abstractNumId="47">
    <w:lvl w:ilvl="0">
      <w:isLgl w:val="false"/>
      <w:lvlJc w:val="left"/>
      <w:lvlText w:val="%1."/>
      <w:numFmt w:val="decimal"/>
      <w:pPr>
        <w:pBdr/>
        <w:tabs>
          <w:tab w:val="num" w:leader="none" w:pos="709"/>
        </w:tabs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18"/>
        </w:tabs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27"/>
        </w:tabs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36"/>
        </w:tabs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545"/>
        </w:tabs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254"/>
        </w:tabs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3"/>
        </w:tabs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672"/>
        </w:tabs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381"/>
        </w:tabs>
        <w:spacing/>
        <w:ind w:hanging="283" w:left="6381"/>
      </w:pPr>
      <w:rPr/>
      <w:start w:val="1"/>
      <w:suff w:val="tab"/>
    </w:lvl>
  </w:abstractNum>
  <w:num w:numId="1">
    <w:abstractNumId w:val="5"/>
  </w:num>
  <w:num w:numId="2">
    <w:abstractNumId w:val="0"/>
  </w:num>
  <w:num w:numId="3">
    <w:abstractNumId w:val="12"/>
  </w:num>
  <w:num w:numId="4">
    <w:abstractNumId w:val="10"/>
  </w:num>
  <w:num w:numId="5">
    <w:abstractNumId w:val="6"/>
  </w:num>
  <w:num w:numId="6">
    <w:abstractNumId w:val="4"/>
  </w:num>
  <w:num w:numId="7">
    <w:abstractNumId w:val="11"/>
  </w:num>
  <w:num w:numId="8">
    <w:abstractNumId w:val="7"/>
  </w:num>
  <w:num w:numId="9">
    <w:abstractNumId w:val="9"/>
  </w:num>
  <w:num w:numId="10">
    <w:abstractNumId w:val="8"/>
  </w:num>
  <w:num w:numId="11">
    <w:abstractNumId w:val="1"/>
  </w:num>
  <w:num w:numId="12">
    <w:abstractNumId w:val="3"/>
  </w:num>
  <w:num w:numId="13">
    <w:abstractNumId w:val="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7">
    <w:name w:val="Table Grid Light"/>
    <w:basedOn w:val="9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1"/>
    <w:basedOn w:val="9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2"/>
    <w:basedOn w:val="9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1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2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3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4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5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6"/>
    <w:basedOn w:val="9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1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2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3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4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5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6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1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2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3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4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5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6"/>
    <w:basedOn w:val="9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1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2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3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4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5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6"/>
    <w:basedOn w:val="9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1">
    <w:name w:val="Heading 5"/>
    <w:basedOn w:val="971"/>
    <w:next w:val="971"/>
    <w:link w:val="93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2">
    <w:name w:val="Heading 6"/>
    <w:basedOn w:val="971"/>
    <w:next w:val="971"/>
    <w:link w:val="93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3">
    <w:name w:val="Heading 7"/>
    <w:basedOn w:val="971"/>
    <w:next w:val="971"/>
    <w:link w:val="93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4">
    <w:name w:val="Heading 8"/>
    <w:basedOn w:val="971"/>
    <w:next w:val="971"/>
    <w:link w:val="93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5">
    <w:name w:val="Heading 9"/>
    <w:basedOn w:val="971"/>
    <w:next w:val="971"/>
    <w:link w:val="93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6">
    <w:name w:val="Heading 1 Char"/>
    <w:basedOn w:val="976"/>
    <w:link w:val="9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7">
    <w:name w:val="Heading 2 Char"/>
    <w:basedOn w:val="976"/>
    <w:link w:val="9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8">
    <w:name w:val="Heading 3 Char"/>
    <w:basedOn w:val="976"/>
    <w:link w:val="9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9">
    <w:name w:val="Heading 4 Char"/>
    <w:basedOn w:val="976"/>
    <w:link w:val="9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0">
    <w:name w:val="Heading 5 Char"/>
    <w:basedOn w:val="976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1">
    <w:name w:val="Heading 6 Char"/>
    <w:basedOn w:val="976"/>
    <w:link w:val="9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2">
    <w:name w:val="Heading 7 Char"/>
    <w:basedOn w:val="976"/>
    <w:link w:val="92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3">
    <w:name w:val="Heading 8 Char"/>
    <w:basedOn w:val="976"/>
    <w:link w:val="9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4">
    <w:name w:val="Heading 9 Char"/>
    <w:basedOn w:val="976"/>
    <w:link w:val="9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5">
    <w:name w:val="Title"/>
    <w:basedOn w:val="971"/>
    <w:next w:val="971"/>
    <w:link w:val="93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6">
    <w:name w:val="Title Char"/>
    <w:basedOn w:val="976"/>
    <w:link w:val="93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7">
    <w:name w:val="Subtitle"/>
    <w:basedOn w:val="971"/>
    <w:next w:val="971"/>
    <w:link w:val="93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8">
    <w:name w:val="Subtitle Char"/>
    <w:basedOn w:val="976"/>
    <w:link w:val="9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9">
    <w:name w:val="Quote"/>
    <w:basedOn w:val="971"/>
    <w:next w:val="971"/>
    <w:link w:val="9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0">
    <w:name w:val="Quote Char"/>
    <w:basedOn w:val="976"/>
    <w:link w:val="93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1">
    <w:name w:val="Intense Emphasis"/>
    <w:basedOn w:val="9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2">
    <w:name w:val="Intense Quote"/>
    <w:basedOn w:val="971"/>
    <w:next w:val="971"/>
    <w:link w:val="94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3">
    <w:name w:val="Intense Quote Char"/>
    <w:basedOn w:val="976"/>
    <w:link w:val="94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4">
    <w:name w:val="Intense Reference"/>
    <w:basedOn w:val="9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5">
    <w:name w:val="No Spacing"/>
    <w:basedOn w:val="971"/>
    <w:uiPriority w:val="1"/>
    <w:qFormat/>
    <w:pPr>
      <w:pBdr/>
      <w:spacing w:after="0" w:line="240" w:lineRule="auto"/>
      <w:ind/>
    </w:pPr>
  </w:style>
  <w:style w:type="character" w:styleId="946">
    <w:name w:val="Subtle Emphasis"/>
    <w:basedOn w:val="9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7">
    <w:name w:val="Emphasis"/>
    <w:basedOn w:val="976"/>
    <w:uiPriority w:val="20"/>
    <w:qFormat/>
    <w:pPr>
      <w:pBdr/>
      <w:spacing/>
      <w:ind/>
    </w:pPr>
    <w:rPr>
      <w:i/>
      <w:iCs/>
    </w:rPr>
  </w:style>
  <w:style w:type="character" w:styleId="948">
    <w:name w:val="Strong"/>
    <w:basedOn w:val="976"/>
    <w:uiPriority w:val="22"/>
    <w:qFormat/>
    <w:pPr>
      <w:pBdr/>
      <w:spacing/>
      <w:ind/>
    </w:pPr>
    <w:rPr>
      <w:b/>
      <w:bCs/>
    </w:rPr>
  </w:style>
  <w:style w:type="character" w:styleId="949">
    <w:name w:val="Subtle Reference"/>
    <w:basedOn w:val="9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0">
    <w:name w:val="Book Title"/>
    <w:basedOn w:val="9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1">
    <w:name w:val="Header"/>
    <w:basedOn w:val="971"/>
    <w:link w:val="9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2">
    <w:name w:val="Header Char"/>
    <w:basedOn w:val="976"/>
    <w:link w:val="951"/>
    <w:uiPriority w:val="99"/>
    <w:pPr>
      <w:pBdr/>
      <w:spacing/>
      <w:ind/>
    </w:pPr>
  </w:style>
  <w:style w:type="paragraph" w:styleId="953">
    <w:name w:val="Footer"/>
    <w:basedOn w:val="971"/>
    <w:link w:val="9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54">
    <w:name w:val="Footer Char"/>
    <w:basedOn w:val="976"/>
    <w:link w:val="953"/>
    <w:uiPriority w:val="99"/>
    <w:pPr>
      <w:pBdr/>
      <w:spacing/>
      <w:ind/>
    </w:pPr>
  </w:style>
  <w:style w:type="paragraph" w:styleId="955">
    <w:name w:val="Caption"/>
    <w:basedOn w:val="971"/>
    <w:next w:val="9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6">
    <w:name w:val="footnote text"/>
    <w:basedOn w:val="971"/>
    <w:link w:val="9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7">
    <w:name w:val="Footnote Text Char"/>
    <w:basedOn w:val="976"/>
    <w:link w:val="956"/>
    <w:uiPriority w:val="99"/>
    <w:semiHidden/>
    <w:pPr>
      <w:pBdr/>
      <w:spacing/>
      <w:ind/>
    </w:pPr>
    <w:rPr>
      <w:sz w:val="20"/>
      <w:szCs w:val="20"/>
    </w:rPr>
  </w:style>
  <w:style w:type="character" w:styleId="958">
    <w:name w:val="footnote reference"/>
    <w:basedOn w:val="976"/>
    <w:uiPriority w:val="99"/>
    <w:semiHidden/>
    <w:unhideWhenUsed/>
    <w:pPr>
      <w:pBdr/>
      <w:spacing/>
      <w:ind/>
    </w:pPr>
    <w:rPr>
      <w:vertAlign w:val="superscript"/>
    </w:rPr>
  </w:style>
  <w:style w:type="paragraph" w:styleId="959">
    <w:name w:val="endnote text"/>
    <w:basedOn w:val="971"/>
    <w:link w:val="9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0">
    <w:name w:val="Endnote Text Char"/>
    <w:basedOn w:val="976"/>
    <w:link w:val="959"/>
    <w:uiPriority w:val="99"/>
    <w:semiHidden/>
    <w:pPr>
      <w:pBdr/>
      <w:spacing/>
      <w:ind/>
    </w:pPr>
    <w:rPr>
      <w:sz w:val="20"/>
      <w:szCs w:val="20"/>
    </w:rPr>
  </w:style>
  <w:style w:type="character" w:styleId="961">
    <w:name w:val="endnote reference"/>
    <w:basedOn w:val="976"/>
    <w:uiPriority w:val="99"/>
    <w:semiHidden/>
    <w:unhideWhenUsed/>
    <w:pPr>
      <w:pBdr/>
      <w:spacing/>
      <w:ind/>
    </w:pPr>
    <w:rPr>
      <w:vertAlign w:val="superscript"/>
    </w:rPr>
  </w:style>
  <w:style w:type="character" w:styleId="962">
    <w:name w:val="FollowedHyperlink"/>
    <w:basedOn w:val="9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3">
    <w:name w:val="toc 4"/>
    <w:basedOn w:val="971"/>
    <w:next w:val="971"/>
    <w:uiPriority w:val="39"/>
    <w:unhideWhenUsed/>
    <w:pPr>
      <w:pBdr/>
      <w:spacing w:after="100"/>
      <w:ind w:left="660"/>
    </w:pPr>
  </w:style>
  <w:style w:type="paragraph" w:styleId="964">
    <w:name w:val="toc 5"/>
    <w:basedOn w:val="971"/>
    <w:next w:val="971"/>
    <w:uiPriority w:val="39"/>
    <w:unhideWhenUsed/>
    <w:pPr>
      <w:pBdr/>
      <w:spacing w:after="100"/>
      <w:ind w:left="880"/>
    </w:pPr>
  </w:style>
  <w:style w:type="paragraph" w:styleId="965">
    <w:name w:val="toc 6"/>
    <w:basedOn w:val="971"/>
    <w:next w:val="971"/>
    <w:uiPriority w:val="39"/>
    <w:unhideWhenUsed/>
    <w:pPr>
      <w:pBdr/>
      <w:spacing w:after="100"/>
      <w:ind w:left="1100"/>
    </w:pPr>
  </w:style>
  <w:style w:type="paragraph" w:styleId="966">
    <w:name w:val="toc 7"/>
    <w:basedOn w:val="971"/>
    <w:next w:val="971"/>
    <w:uiPriority w:val="39"/>
    <w:unhideWhenUsed/>
    <w:pPr>
      <w:pBdr/>
      <w:spacing w:after="100"/>
      <w:ind w:left="1320"/>
    </w:pPr>
  </w:style>
  <w:style w:type="paragraph" w:styleId="967">
    <w:name w:val="toc 8"/>
    <w:basedOn w:val="971"/>
    <w:next w:val="971"/>
    <w:uiPriority w:val="39"/>
    <w:unhideWhenUsed/>
    <w:pPr>
      <w:pBdr/>
      <w:spacing w:after="100"/>
      <w:ind w:left="1540"/>
    </w:pPr>
  </w:style>
  <w:style w:type="paragraph" w:styleId="968">
    <w:name w:val="toc 9"/>
    <w:basedOn w:val="971"/>
    <w:next w:val="971"/>
    <w:uiPriority w:val="39"/>
    <w:unhideWhenUsed/>
    <w:pPr>
      <w:pBdr/>
      <w:spacing w:after="100"/>
      <w:ind w:left="1760"/>
    </w:pPr>
  </w:style>
  <w:style w:type="character" w:styleId="969">
    <w:name w:val="Placeholder Text"/>
    <w:basedOn w:val="976"/>
    <w:uiPriority w:val="99"/>
    <w:semiHidden/>
    <w:pPr>
      <w:pBdr/>
      <w:spacing/>
      <w:ind/>
    </w:pPr>
    <w:rPr>
      <w:color w:val="666666"/>
    </w:rPr>
  </w:style>
  <w:style w:type="paragraph" w:styleId="970">
    <w:name w:val="table of figures"/>
    <w:basedOn w:val="971"/>
    <w:next w:val="971"/>
    <w:uiPriority w:val="99"/>
    <w:unhideWhenUsed/>
    <w:pPr>
      <w:pBdr/>
      <w:spacing w:after="0" w:afterAutospacing="0"/>
      <w:ind/>
    </w:pPr>
  </w:style>
  <w:style w:type="paragraph" w:styleId="971" w:default="1">
    <w:name w:val="Normal"/>
    <w:qFormat/>
    <w:pPr>
      <w:pBdr/>
      <w:spacing w:after="200" w:line="276" w:lineRule="auto"/>
      <w:ind/>
    </w:pPr>
  </w:style>
  <w:style w:type="paragraph" w:styleId="972">
    <w:name w:val="Heading 1"/>
    <w:basedOn w:val="971"/>
    <w:next w:val="971"/>
    <w:link w:val="979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73">
    <w:name w:val="Heading 2"/>
    <w:basedOn w:val="971"/>
    <w:next w:val="971"/>
    <w:link w:val="981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974">
    <w:name w:val="Heading 3"/>
    <w:basedOn w:val="971"/>
    <w:next w:val="971"/>
    <w:link w:val="984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975">
    <w:name w:val="Heading 4"/>
    <w:basedOn w:val="971"/>
    <w:next w:val="971"/>
    <w:link w:val="985"/>
    <w:uiPriority w:val="9"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976" w:default="1">
    <w:name w:val="Default Paragraph Font"/>
    <w:uiPriority w:val="1"/>
    <w:semiHidden/>
    <w:unhideWhenUsed/>
    <w:pPr>
      <w:pBdr/>
      <w:spacing/>
      <w:ind/>
    </w:pPr>
  </w:style>
  <w:style w:type="table" w:styleId="9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8" w:default="1">
    <w:name w:val="No List"/>
    <w:uiPriority w:val="99"/>
    <w:semiHidden/>
    <w:unhideWhenUsed/>
    <w:pPr>
      <w:pBdr/>
      <w:spacing/>
      <w:ind/>
    </w:pPr>
  </w:style>
  <w:style w:type="character" w:styleId="979" w:customStyle="1">
    <w:name w:val="Nagłówek 1 Znak"/>
    <w:basedOn w:val="976"/>
    <w:link w:val="972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980">
    <w:name w:val="List Paragraph"/>
    <w:basedOn w:val="971"/>
    <w:uiPriority w:val="34"/>
    <w:qFormat/>
    <w:pPr>
      <w:pBdr/>
      <w:spacing/>
      <w:ind w:left="720"/>
      <w:contextualSpacing w:val="true"/>
    </w:pPr>
  </w:style>
  <w:style w:type="character" w:styleId="981" w:customStyle="1">
    <w:name w:val="Nagłówek 2 Znak"/>
    <w:basedOn w:val="976"/>
    <w:link w:val="973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table" w:styleId="982">
    <w:name w:val="Table Grid"/>
    <w:basedOn w:val="97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1 Light"/>
    <w:basedOn w:val="977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4" w:customStyle="1">
    <w:name w:val="Nagłówek 3 Znak"/>
    <w:basedOn w:val="976"/>
    <w:link w:val="974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985" w:customStyle="1">
    <w:name w:val="Nagłówek 4 Znak"/>
    <w:basedOn w:val="976"/>
    <w:link w:val="975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986">
    <w:name w:val="TOC Heading"/>
    <w:basedOn w:val="972"/>
    <w:next w:val="971"/>
    <w:uiPriority w:val="39"/>
    <w:unhideWhenUsed/>
    <w:qFormat/>
    <w:pPr>
      <w:pBdr/>
      <w:spacing w:line="259" w:lineRule="auto"/>
      <w:ind/>
      <w:outlineLvl w:val="9"/>
    </w:pPr>
    <w:rPr>
      <w:lang w:eastAsia="pl-PL"/>
    </w:rPr>
  </w:style>
  <w:style w:type="paragraph" w:styleId="987">
    <w:name w:val="toc 1"/>
    <w:basedOn w:val="971"/>
    <w:next w:val="971"/>
    <w:uiPriority w:val="39"/>
    <w:unhideWhenUsed/>
    <w:pPr>
      <w:pBdr/>
      <w:spacing w:after="100"/>
      <w:ind/>
    </w:pPr>
  </w:style>
  <w:style w:type="paragraph" w:styleId="988">
    <w:name w:val="toc 2"/>
    <w:basedOn w:val="971"/>
    <w:next w:val="971"/>
    <w:uiPriority w:val="39"/>
    <w:unhideWhenUsed/>
    <w:pPr>
      <w:pBdr/>
      <w:spacing w:after="100"/>
      <w:ind w:left="220"/>
    </w:pPr>
  </w:style>
  <w:style w:type="paragraph" w:styleId="989">
    <w:name w:val="toc 3"/>
    <w:basedOn w:val="971"/>
    <w:next w:val="971"/>
    <w:uiPriority w:val="39"/>
    <w:unhideWhenUsed/>
    <w:pPr>
      <w:pBdr/>
      <w:spacing w:after="100"/>
      <w:ind w:left="440"/>
    </w:pPr>
  </w:style>
  <w:style w:type="character" w:styleId="990">
    <w:name w:val="Hyperlink"/>
    <w:basedOn w:val="976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991" w:customStyle="1">
    <w:name w:val="Body Text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40" w:afterAutospacing="0" w:before="0" w:beforeAutospacing="0" w:line="276" w:lineRule="auto"/>
      <w:ind w:right="0" w:firstLine="0" w:left="0"/>
      <w:contextualSpacing w:val="false"/>
      <w:jc w:val="left"/>
    </w:pPr>
    <w:rPr>
      <w:rFonts w:ascii="Liberation Serif" w:hAnsi="Liberation Serif" w:eastAsia="AR PL SungtiL GB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75166F20ECCF4DBB8F7DBCC6BDA5BB" ma:contentTypeVersion="7" ma:contentTypeDescription="Create a new document." ma:contentTypeScope="" ma:versionID="57718b7e019bf341c53c72a5e0229df7">
  <xsd:schema xmlns:xsd="http://www.w3.org/2001/XMLSchema" xmlns:xs="http://www.w3.org/2001/XMLSchema" xmlns:p="http://schemas.microsoft.com/office/2006/metadata/properties" xmlns:ns2="b6923f02-cb43-4daf-8a30-0da36e692cc3" targetNamespace="http://schemas.microsoft.com/office/2006/metadata/properties" ma:root="true" ma:fieldsID="e6021979292820dad4acb3090740467b" ns2:_="">
    <xsd:import namespace="b6923f02-cb43-4daf-8a30-0da36e692c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23f02-cb43-4daf-8a30-0da36e692c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63A03F34-97D5-41E1-9876-EE261A7D7A4A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923f02-cb43-4daf-8a30-0da36e692c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852B11DB-85FD-42C2-BAF0-CEB18457AFD6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9D3B2EC8-F44A-44C6-A3C6-23B5F0E9575F">
  <ds:schemaRefs>
    <ds:schemaRef ds:uri="http://schemas.microsoft.com/office/2006/metadata/properties"/>
    <ds:schemaRef ds:uri="http://www.w3.org/2001/XMLSchema-instan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revision>26</cp:revision>
  <dcterms:created xsi:type="dcterms:W3CDTF">2019-03-04T15:27:00Z</dcterms:created>
  <dcterms:modified xsi:type="dcterms:W3CDTF">2026-06-08T02:07:21Z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0x0101009475166F20ECCF4DBB8F7DBCC6BDA5BB</vt:lpwstr>
  </property>
</Properties>
</file>