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0EE5" w14:textId="7432DB3A" w:rsidR="00810AB9" w:rsidRDefault="00653893" w:rsidP="00653893">
      <w:pPr>
        <w:pStyle w:val="Heading1"/>
      </w:pPr>
      <w:r>
        <w:rPr>
          <w:rFonts w:hint="eastAsia"/>
        </w:rPr>
        <w:t>Chapter</w:t>
      </w:r>
      <w:r>
        <w:t xml:space="preserve"> 2</w:t>
      </w:r>
    </w:p>
    <w:p w14:paraId="5E1128F8" w14:textId="776C8863" w:rsidR="00653893" w:rsidRDefault="00653893" w:rsidP="00653893">
      <w:pPr>
        <w:pStyle w:val="ListParagraph"/>
        <w:numPr>
          <w:ilvl w:val="0"/>
          <w:numId w:val="1"/>
        </w:numPr>
        <w:ind w:firstLineChars="0"/>
      </w:pPr>
      <w:r>
        <w:t>robot consists of a collection of rigid bodies connected by joints</w:t>
      </w:r>
      <w:r>
        <w:t>.</w:t>
      </w:r>
    </w:p>
    <w:p w14:paraId="19B924EB" w14:textId="55E54A0A" w:rsidR="005450D3" w:rsidRDefault="005450D3" w:rsidP="00653893">
      <w:pPr>
        <w:pStyle w:val="ListParagraph"/>
        <w:numPr>
          <w:ilvl w:val="0"/>
          <w:numId w:val="1"/>
        </w:numPr>
        <w:ind w:firstLineChars="0"/>
      </w:pPr>
      <w:r w:rsidRPr="005450D3">
        <w:t>The number of degrees of freedom (</w:t>
      </w:r>
      <w:proofErr w:type="spellStart"/>
      <w:r w:rsidRPr="005450D3">
        <w:t>dof</w:t>
      </w:r>
      <w:proofErr w:type="spellEnd"/>
      <w:r w:rsidRPr="005450D3">
        <w:t>) of a robot is the smallest number of real-valued coordinates needed to represent its configuration.</w:t>
      </w:r>
    </w:p>
    <w:p w14:paraId="5BDAD260" w14:textId="1149CD1B" w:rsidR="00653893" w:rsidRDefault="00653893" w:rsidP="00653893">
      <w:pPr>
        <w:pStyle w:val="ListParagraph"/>
        <w:numPr>
          <w:ilvl w:val="0"/>
          <w:numId w:val="1"/>
        </w:numPr>
        <w:ind w:firstLineChars="0"/>
      </w:pPr>
      <w:r w:rsidRPr="00653893">
        <w:t xml:space="preserve">The </w:t>
      </w:r>
      <w:proofErr w:type="spellStart"/>
      <w:r w:rsidRPr="00653893">
        <w:t>dof</w:t>
      </w:r>
      <w:proofErr w:type="spellEnd"/>
      <w:r w:rsidRPr="00653893">
        <w:t xml:space="preserve"> of a robot, and hence the dimension of its configuration space, is the sum of the </w:t>
      </w:r>
      <w:proofErr w:type="spellStart"/>
      <w:r w:rsidRPr="00653893">
        <w:t>dof</w:t>
      </w:r>
      <w:proofErr w:type="spellEnd"/>
      <w:r w:rsidRPr="00653893">
        <w:t xml:space="preserve"> of its rigid bodies minus the number of constraints on the motion of those rigid bodies provided by the joints.</w:t>
      </w:r>
    </w:p>
    <w:p w14:paraId="5678DEAC" w14:textId="14A00664" w:rsidR="00FB3FA0" w:rsidRDefault="00653893" w:rsidP="00FB3FA0">
      <w:pPr>
        <w:pStyle w:val="ListParagraph"/>
        <w:ind w:left="360" w:firstLineChars="0" w:firstLine="0"/>
        <w:rPr>
          <w:rFonts w:hint="eastAsia"/>
          <w:b/>
          <w:bCs/>
          <w:i/>
          <w:iCs/>
          <w:color w:val="7B7B7B" w:themeColor="accent3" w:themeShade="BF"/>
          <w:sz w:val="18"/>
          <w:szCs w:val="18"/>
        </w:rPr>
      </w:pPr>
      <w:r w:rsidRPr="00653893">
        <w:rPr>
          <w:b/>
          <w:bCs/>
          <w:i/>
          <w:iCs/>
          <w:color w:val="7B7B7B" w:themeColor="accent3" w:themeShade="BF"/>
          <w:sz w:val="18"/>
          <w:szCs w:val="18"/>
        </w:rPr>
        <w:t xml:space="preserve">DOF (degrees of freedom) = dim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color w:val="7B7B7B" w:themeColor="accent3" w:themeShade="BF"/>
                <w:sz w:val="18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7B7B7B" w:themeColor="accent3" w:themeShade="BF"/>
                <w:sz w:val="18"/>
                <w:szCs w:val="1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7B7B7B" w:themeColor="accent3" w:themeShade="BF"/>
                <w:sz w:val="18"/>
                <w:szCs w:val="18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7B7B7B" w:themeColor="accent3" w:themeShade="BF"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B7B7B" w:themeColor="accent3" w:themeShade="BF"/>
                    <w:sz w:val="18"/>
                    <w:szCs w:val="18"/>
                  </w:rPr>
                  <m:t>dof(rigid body)</m:t>
                </m:r>
              </m:e>
            </m:d>
          </m:e>
        </m:nary>
      </m:oMath>
      <w:r w:rsidRPr="00653893">
        <w:rPr>
          <w:rFonts w:hint="eastAsia"/>
          <w:b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Pr="00653893">
        <w:rPr>
          <w:b/>
          <w:bCs/>
          <w:i/>
          <w:iCs/>
          <w:color w:val="7B7B7B" w:themeColor="accent3" w:themeShade="BF"/>
          <w:sz w:val="18"/>
          <w:szCs w:val="18"/>
        </w:rPr>
        <w:t xml:space="preserve">-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i/>
                <w:iCs/>
                <w:color w:val="7B7B7B" w:themeColor="accent3" w:themeShade="BF"/>
                <w:sz w:val="18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7B7B7B" w:themeColor="accent3" w:themeShade="BF"/>
                <w:sz w:val="18"/>
                <w:szCs w:val="1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7B7B7B" w:themeColor="accent3" w:themeShade="BF"/>
                <w:sz w:val="18"/>
                <w:szCs w:val="18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7B7B7B" w:themeColor="accent3" w:themeShade="BF"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B7B7B" w:themeColor="accent3" w:themeShade="BF"/>
                    <w:sz w:val="18"/>
                    <w:szCs w:val="18"/>
                  </w:rPr>
                  <m:t>constraint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B7B7B" w:themeColor="accent3" w:themeShade="BF"/>
                    <w:sz w:val="18"/>
                    <w:szCs w:val="18"/>
                  </w:rPr>
                  <m:t>(rigid body)</m:t>
                </m:r>
              </m:e>
            </m:d>
          </m:e>
        </m:nary>
      </m:oMath>
    </w:p>
    <w:p w14:paraId="0617A11A" w14:textId="1AF11FD0" w:rsidR="00FB3FA0" w:rsidRDefault="00FB3FA0" w:rsidP="00FB3FA0">
      <w:pPr>
        <w:pStyle w:val="ListParagraph"/>
        <w:numPr>
          <w:ilvl w:val="0"/>
          <w:numId w:val="1"/>
        </w:numPr>
        <w:ind w:firstLineChars="0"/>
      </w:pPr>
      <w:r w:rsidRPr="00FB3FA0">
        <w:t xml:space="preserve">A robot arm is typically equipped with a </w:t>
      </w:r>
      <w:r w:rsidRPr="000709D7">
        <w:rPr>
          <w:b/>
          <w:bCs/>
        </w:rPr>
        <w:t>hand or gripper</w:t>
      </w:r>
      <w:r w:rsidRPr="00FB3FA0">
        <w:t xml:space="preserve">, more generally called an </w:t>
      </w:r>
      <w:r w:rsidRPr="000709D7">
        <w:rPr>
          <w:b/>
          <w:bCs/>
        </w:rPr>
        <w:t>end-effector</w:t>
      </w:r>
      <w:r w:rsidRPr="00FB3FA0">
        <w:t>, which interacts with objects in the surrounding world.</w:t>
      </w:r>
    </w:p>
    <w:p w14:paraId="2F5E26D6" w14:textId="0A55F67B" w:rsidR="000709D7" w:rsidRPr="000709D7" w:rsidRDefault="000709D7" w:rsidP="00FB3FA0">
      <w:pPr>
        <w:pStyle w:val="ListParagraph"/>
        <w:numPr>
          <w:ilvl w:val="0"/>
          <w:numId w:val="1"/>
        </w:numPr>
        <w:ind w:firstLineChars="0"/>
      </w:pPr>
      <w:r w:rsidRPr="000709D7">
        <w:t xml:space="preserve">We call the space of positions and orientations of the end-effector frame the </w:t>
      </w:r>
      <w:r w:rsidRPr="000709D7">
        <w:rPr>
          <w:b/>
          <w:bCs/>
        </w:rPr>
        <w:t>task space</w:t>
      </w:r>
    </w:p>
    <w:p w14:paraId="1EDD8A47" w14:textId="77777777" w:rsidR="000709D7" w:rsidRPr="000709D7" w:rsidRDefault="000709D7" w:rsidP="00FB3FA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</w:p>
    <w:sectPr w:rsidR="000709D7" w:rsidRPr="00070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E99"/>
    <w:multiLevelType w:val="hybridMultilevel"/>
    <w:tmpl w:val="B212CBE2"/>
    <w:lvl w:ilvl="0" w:tplc="1E74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6"/>
    <w:rsid w:val="000709D7"/>
    <w:rsid w:val="00233A86"/>
    <w:rsid w:val="005450D3"/>
    <w:rsid w:val="00653893"/>
    <w:rsid w:val="00810AB9"/>
    <w:rsid w:val="00F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D9E5"/>
  <w15:chartTrackingRefBased/>
  <w15:docId w15:val="{DC21A380-A2B3-4050-80DD-0BF5EEAC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3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9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53893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653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W. (Wei)</dc:creator>
  <cp:keywords/>
  <dc:description/>
  <cp:lastModifiedBy>Chen, W. (Wei)</cp:lastModifiedBy>
  <cp:revision>4</cp:revision>
  <dcterms:created xsi:type="dcterms:W3CDTF">2022-02-19T13:11:00Z</dcterms:created>
  <dcterms:modified xsi:type="dcterms:W3CDTF">2022-02-19T14:35:00Z</dcterms:modified>
</cp:coreProperties>
</file>