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44"/>
        </w:rPr>
        <w:t>ABAP AI Toolkit</w:t>
      </w:r>
    </w:p>
    <w:p>
      <w:pPr>
        <w:jc w:val="center"/>
      </w:pPr>
      <w:r>
        <w:rPr>
          <w:rFonts w:ascii="Calibri" w:hAnsi="Calibri"/>
          <w:sz w:val="28"/>
        </w:rPr>
        <w:t>Business Overview &amp; Patent Opportunities</w:t>
      </w:r>
    </w:p>
    <w:p/>
    <w:p>
      <w:pPr>
        <w:pStyle w:val="Title"/>
      </w:pPr>
      <w:r>
        <w:t>Executive Summary</w:t>
      </w:r>
    </w:p>
    <w:p>
      <w:r>
        <w:t>The ABAP AI Toolkit is a software solution that helps enterprises move their custom SAP ECC systems to SAP S/4HANA Clean Core with less cost, fewer errors, and faster timelines. Instead of relying only on manual rewrites or generic code tools, the toolkit uses purpose-based matching, verified SAP compatibility data, and AI-assisted generation to recommend and generate modern replacements for legacy code. It is designed for CIOs, SAP program leads, and system integrators who need to reduce migration risk and accelerate their move to the cloud.</w:t>
      </w:r>
    </w:p>
    <w:p/>
    <w:p>
      <w:pPr>
        <w:pStyle w:val="Title"/>
      </w:pPr>
      <w:r>
        <w:t>What We Offer</w:t>
      </w:r>
    </w:p>
    <w:p>
      <w:r>
        <w:t>We offer an automated pipeline that takes a company's existing custom SAP (ABAP) code base and produces a clear migration path to S/4HANA Clean Core. The toolkit:</w:t>
      </w:r>
    </w:p>
    <w:p>
      <w:pPr>
        <w:pStyle w:val="ListBullet"/>
      </w:pPr>
      <w:r>
        <w:t>Identifies which legacy interfaces and programs have official modern replacements.</w:t>
      </w:r>
    </w:p>
    <w:p>
      <w:pPr>
        <w:pStyle w:val="ListBullet"/>
      </w:pPr>
      <w:r>
        <w:t>Maps old code to new APIs by business purpose, not just by name, so recommendations stay relevant even when SAP renames or restructures APIs.</w:t>
      </w:r>
    </w:p>
    <w:p>
      <w:pPr>
        <w:pStyle w:val="ListBullet"/>
      </w:pPr>
      <w:r>
        <w:t>Modernizes syntax automatically where safe, and flags the rest for expert review.</w:t>
      </w:r>
    </w:p>
    <w:p>
      <w:pPr>
        <w:pStyle w:val="ListBullet"/>
      </w:pPr>
      <w:r>
        <w:t>Builds a reusable knowledge base so that answers and examples stay consistent across teams and projects.</w:t>
      </w:r>
    </w:p>
    <w:p>
      <w:pPr>
        <w:pStyle w:val="ListBullet"/>
      </w:pPr>
      <w:r>
        <w:t>Validates suggested and generated code against SAP's own documentation and rules, without requiring a full SAP system for every check.</w:t>
      </w:r>
    </w:p>
    <w:p/>
    <w:p>
      <w:pPr>
        <w:pStyle w:val="Title"/>
      </w:pPr>
      <w:r>
        <w:t>The Problem We Solve</w:t>
      </w:r>
    </w:p>
    <w:p>
      <w:r>
        <w:t>Many enterprises run critical business processes on older SAP ECC systems with large amounts of custom code. Moving to S/4HANA and Clean Core is mandatory for long-term support and innovation, but the migration is complex: thousands of programs, unclear replacement options, and a shortage of specialists. Manual analysis is slow and error-prone; generic translation tools do not understand SAP's release policies and API evolution. The result is delayed projects, budget overruns, and technical debt that persists after go-live.</w:t>
      </w:r>
    </w:p>
    <w:p>
      <w:r>
        <w:t>Our solution reduces that uncertainty by connecting legacy code to the right modern APIs, by purpose and with reference to SAP's official compatibility data, and by providing repeatable, documentable steps that support governance and audit.</w:t>
      </w:r>
    </w:p>
    <w:p/>
    <w:p>
      <w:pPr>
        <w:pStyle w:val="Title"/>
      </w:pPr>
      <w:r>
        <w:t>How It Works</w:t>
      </w:r>
    </w:p>
    <w:p>
      <w:r>
        <w:t>The toolkit runs as a pipeline. A customer supplies an export of their custom SAP package (for example, from standard SAP export tools). The system then:</w:t>
      </w:r>
    </w:p>
    <w:p>
      <w:r>
        <w:rPr>
          <w:b/>
        </w:rPr>
        <w:t xml:space="preserve">Extract &amp; organize. </w:t>
      </w:r>
      <w:r>
        <w:t>The custom code is unpacked and organized by type (programs, classes, function modules, etc.).</w:t>
      </w:r>
    </w:p>
    <w:p>
      <w:r>
        <w:rPr>
          <w:b/>
        </w:rPr>
        <w:t xml:space="preserve">Scan &amp; classify. </w:t>
      </w:r>
      <w:r>
        <w:t>Legacy patterns and dependencies are detected and tagged for modernization or replacement.</w:t>
      </w:r>
    </w:p>
    <w:p>
      <w:r>
        <w:rPr>
          <w:b/>
        </w:rPr>
        <w:t xml:space="preserve">Transform syntax. </w:t>
      </w:r>
      <w:r>
        <w:t>Safe, rule-based updates are applied to bring syntax in line with current standards.</w:t>
      </w:r>
    </w:p>
    <w:p>
      <w:r>
        <w:rPr>
          <w:b/>
        </w:rPr>
        <w:t xml:space="preserve">Find modern equivalents. </w:t>
      </w:r>
      <w:r>
        <w:t>Legacy interfaces are matched to modern SAP APIs by what they do, not just by name, and checked against SAP's compatibility registry.</w:t>
      </w:r>
    </w:p>
    <w:p>
      <w:r>
        <w:rPr>
          <w:b/>
        </w:rPr>
        <w:t xml:space="preserve">Build a knowledge base. </w:t>
      </w:r>
      <w:r>
        <w:t>Code, rules, and mappings are indexed so that queries and AI-assisted generation can pull from verified, project-specific examples.</w:t>
      </w:r>
    </w:p>
    <w:p>
      <w:r>
        <w:rPr>
          <w:b/>
        </w:rPr>
        <w:t xml:space="preserve">Generate &amp; validate. </w:t>
      </w:r>
      <w:r>
        <w:t>New or refactored code can be suggested and then checked against SAP documentation and cloud rules before handover to developers.</w:t>
      </w:r>
    </w:p>
    <w:p>
      <w:r>
        <w:t>The outcome is a migration roadmap, updated code where automation is applied, and a persistent knowledge base that improves consistency and speeds up future waves of migration.</w:t>
      </w:r>
    </w:p>
    <w:p/>
    <w:p>
      <w:pPr>
        <w:pStyle w:val="Title"/>
      </w:pPr>
      <w:r>
        <w:t>Market Opportunity</w:t>
      </w:r>
    </w:p>
    <w:p>
      <w:r>
        <w:t>SAP has set clear deadlines for S/4HANA adoption and Clean Core. Thousands of enterprises worldwide must migrate custom code. System integrators and internal IT teams are under pressure to deliver more with limited expert capacity. Demand for tools that reduce manual effort, improve accuracy, and provide traceable recommendations is strong. Our toolkit targets that gap: it is purpose-built for SAP migration, uses official SAP compatibility data where available, and can be offered as a licensed product, a managed service, or an embedded component in larger transformation programs.</w:t>
      </w:r>
    </w:p>
    <w:p/>
    <w:p>
      <w:pPr>
        <w:pStyle w:val="Title"/>
      </w:pPr>
      <w:r>
        <w:t>Patent Opportunities</w:t>
      </w:r>
    </w:p>
    <w:p>
      <w:r>
        <w:t>The following sections describe distinct innovations that may support patent protection. Each addresses a specific technical and business challenge in legacy-to-modern code migration and AI-assisted development. Legal advice should be sought to assess prior art and filing strategy.</w:t>
      </w:r>
    </w:p>
    <w:p/>
    <w:p>
      <w:pPr>
        <w:pStyle w:val="Heading1"/>
      </w:pPr>
      <w:r>
        <w:t>1. Semantic Twin Discovery (Purpose-Based API Mapping)</w:t>
      </w:r>
    </w:p>
    <w:p>
      <w:r>
        <w:t>Today, many tools match old and new APIs by name or signature. In SAP's world, names and structures change frequently; one legacy interface may be replaced by several new ones, or several legacy components may collapse into one modern API. Name-based matching often fails or gives misleading results.</w:t>
      </w:r>
    </w:p>
    <w:p>
      <w:r>
        <w:t>Our approach is to match legacy code to modern APIs by business purpose: what the code "does" (e.g., "post a journal entry," "create a material document") rather than what it is called. The system uses a purpose-oriented catalog of legacy-to-modern mappings and can represent one-to-one, one-to-many, many-to-one, and many-to-many relationships. When no direct replacement exists, it can recommend or generate wrapper designs that isolate legacy calls until SAP releases a full replacement.</w:t>
      </w:r>
    </w:p>
    <w:p>
      <w:r>
        <w:t>Patent opportunity: Methods and systems for determining replacement APIs for legacy code by semantic or purpose-based matching, including cardinality-aware mapping and automatic wrapper design, in the context of enterprise resource planning or similar domain-specific platforms.</w:t>
      </w:r>
    </w:p>
    <w:p/>
    <w:p>
      <w:pPr>
        <w:pStyle w:val="Heading1"/>
      </w:pPr>
      <w:r>
        <w:t>2. Cross-Lingual Skill Anchoring for Low-Resource Languages</w:t>
      </w:r>
    </w:p>
    <w:p>
      <w:r>
        <w:t>AI models are very good at popular programming languages (e.g., Java, Python) because they have been trained on huge amounts of public code. For niche or proprietary languages like SAP ABAP, public training data is scarce. As a result, models often "hallucinate" syntax or suggest constructs that do not exist or are obsolete.</w:t>
      </w:r>
    </w:p>
    <w:p>
      <w:r>
        <w:t>Our innovation is to use a well-known language (e.g., Java) as a "skill anchor." We do not teach the model entirely new concepts; we provide a structured mapping that says: "The skill you already know in Java corresponds to this construct in the target language." For example, the idea of "get the size of a list" is universal; we map the Java form to the correct, modern form in the target language. This mapping is used to guide code generation and transformation so that output stays aligned with real syntax and standards.</w:t>
      </w:r>
    </w:p>
    <w:p>
      <w:r>
        <w:t>Patent opportunity: Methods and systems for improving code generation or translation in a low-resource programming language by anchoring to a high-resource language through explicit, structured skill mappings (e.g., triple mappings: source language | legacy target | modern target), including use in AI-assisted migration and refactoring.</w:t>
      </w:r>
    </w:p>
    <w:p/>
    <w:p>
      <w:pPr>
        <w:pStyle w:val="Heading1"/>
      </w:pPr>
      <w:r>
        <w:t>3. Doc-Driven Validation Without a Compiler or Runtime</w:t>
      </w:r>
    </w:p>
    <w:p>
      <w:r>
        <w:t>In many environments, running the official compiler or runtime (e.g., the SAP kernel) is not possible: cloud build pipelines, developer laptops without SAP access, or third-party review tools. Without a compiler, it is hard to know if generated or migrated code is syntactically and stylistically correct.</w:t>
      </w:r>
    </w:p>
    <w:p>
      <w:r>
        <w:t>Our approach is to validate code using rules derived from the platform vendor's own documentation, style guides, and compatibility rules. We check for obsolete constructs, restricted language use, naming conventions, and structural patterns. The result is a quality score and a list of findings that approximate what a compiler or static checker would report, without requiring the actual compiler or runtime to be present.</w:t>
      </w:r>
    </w:p>
    <w:p>
      <w:r>
        <w:t>Patent opportunity: Methods and systems for validating source code in a proprietary or domain-specific language by applying documentation-derived and rule-based checks in environments where the official compiler or runtime is unavailable, including use in CI/CD, code review, and migration tooling.</w:t>
      </w:r>
    </w:p>
    <w:p/>
    <w:p>
      <w:pPr>
        <w:pStyle w:val="Heading1"/>
      </w:pPr>
      <w:r>
        <w:t>4. Integrated Migration Pipeline (Combined Innovation)</w:t>
      </w:r>
    </w:p>
    <w:p>
      <w:r>
        <w:t>A further patent opportunity lies in the combination of the above: an integrated pipeline that (a) extracts and classifies legacy code, (b) applies purpose-based twin discovery with compatibility verification against the vendor's registry, (c) indexes and retrieves knowledge for AI-assisted generation, and (d) validates outputs using documentation-based rules. The orchestration, data flow, and use of a single knowledge base for both human queries and machine-generated code can be claimed as a system and method for automated legacy-to-modern migration in enterprise software.</w:t>
      </w:r>
    </w:p>
    <w:p/>
    <w:p>
      <w:pPr>
        <w:pStyle w:val="Title"/>
      </w:pPr>
      <w:r>
        <w:t>Competitive Advantage</w:t>
      </w:r>
    </w:p>
    <w:p>
      <w:r>
        <w:t>Our differentiators include: (1) purpose-based rather than name-based API matching; (2) use of SAP's public compatibility data to ground recommendations; (3) skill anchoring to improve AI output quality for a low-resource language; (4) validation without dependency on a full SAP system; and (5) a reusable, shareable knowledge base that improves over time. These innovations support both product differentiation and potential patent protection as outlined above.</w:t>
      </w:r>
    </w:p>
    <w:p/>
    <w:p>
      <w:pPr>
        <w:pStyle w:val="Title"/>
      </w:pPr>
      <w:r>
        <w:t>Next Steps</w:t>
      </w:r>
    </w:p>
    <w:p>
      <w:r>
        <w:t>Recommended next steps for the business plan and IP strategy: (1) Validate market size and willingness to pay with target customers and partners. (2) Commission a prior-art search and patentability opinion for the innovations in Sections 1–4. (3) Define productization and licensing options (e.g., SaaS, on-premise, white-label). (4) Identify pilot customers for case studies and referenceability.</w:t>
      </w:r>
    </w:p>
    <w:p/>
    <w:p/>
    <w:p>
      <w:pPr>
        <w:spacing w:before="240"/>
      </w:pPr>
      <w:r>
        <w:t xml:space="preserve">Document generated for business planning purposes. </w:t>
      </w:r>
      <w:r>
        <w:t>Technical details and implementation are available in the ABAP AI Toolkit repository and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