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Plan</w:t>
      </w:r>
    </w:p>
    <w:p>
      <w:r>
        <w:rPr>
          <w:i/>
        </w:rPr>
        <w:t>*Template: Startup Business Plan*</w:t>
      </w:r>
    </w:p>
    <w:p>
      <w:r>
        <w:t>[Insert Date]</w:t>
      </w:r>
    </w:p>
    <w:p/>
    <w:p>
      <w:r/>
      <w:r>
        <w:rPr>
          <w:b/>
        </w:rPr>
        <w:t>Company name:</w:t>
      </w:r>
      <w:r>
        <w:t xml:space="preserve"> Renovar (or [Legal Entity Name])</w:t>
      </w:r>
    </w:p>
    <w:p>
      <w:r/>
      <w:r>
        <w:rPr>
          <w:b/>
        </w:rPr>
        <w:t>Street address 1:</w:t>
      </w:r>
      <w:r>
        <w:t xml:space="preserve"> [Insert]</w:t>
      </w:r>
    </w:p>
    <w:p>
      <w:r/>
      <w:r>
        <w:rPr>
          <w:b/>
        </w:rPr>
        <w:t>Street address 2:</w:t>
      </w:r>
      <w:r>
        <w:t xml:space="preserve"> [Insert]</w:t>
      </w:r>
    </w:p>
    <w:p>
      <w:r/>
      <w:r>
        <w:rPr>
          <w:b/>
        </w:rPr>
        <w:t>City, state, ZIP:</w:t>
      </w:r>
      <w:r>
        <w:t xml:space="preserve"> [Insert]</w:t>
      </w:r>
    </w:p>
    <w:p>
      <w:r/>
      <w:r>
        <w:rPr>
          <w:b/>
        </w:rPr>
        <w:t>Business phone:</w:t>
      </w:r>
      <w:r>
        <w:t xml:space="preserve"> [Insert]</w:t>
      </w:r>
    </w:p>
    <w:p>
      <w:r/>
      <w:r>
        <w:rPr>
          <w:b/>
        </w:rPr>
        <w:t>Website URL:</w:t>
      </w:r>
      <w:r>
        <w:t xml:space="preserve"> [Insert]</w:t>
      </w:r>
    </w:p>
    <w:p>
      <w:r/>
      <w:r>
        <w:rPr>
          <w:b/>
        </w:rPr>
        <w:t>Email address:</w:t>
      </w:r>
      <w:r>
        <w:t xml:space="preserve"> [Insert]</w:t>
      </w:r>
    </w:p>
    <w:p/>
    <w:p>
      <w:pPr>
        <w:pStyle w:val="Heading1"/>
      </w:pPr>
      <w:r>
        <w:t>Confidentiality Agreement</w:t>
      </w:r>
    </w:p>
    <w:p>
      <w:r>
        <w:t xml:space="preserve">The undersigned reader acknowledges that any information provided by </w:t>
      </w:r>
      <w:r>
        <w:rPr>
          <w:b/>
        </w:rPr>
        <w:t>Renovar</w:t>
      </w:r>
      <w:r>
        <w:t xml:space="preserve"> / </w:t>
      </w:r>
      <w:r>
        <w:rPr>
          <w:b/>
        </w:rPr>
        <w:t>[Company Name]</w:t>
      </w:r>
      <w:r>
        <w:t xml:space="preserve"> in this business plan, other than information that is in the public domain, is confidential in nature, and that any disclosure or use of same by the reader may cause serious harm or damage to </w:t>
      </w:r>
      <w:r>
        <w:rPr>
          <w:b/>
        </w:rPr>
        <w:t>Renovar</w:t>
      </w:r>
      <w:r>
        <w:t xml:space="preserve"> / </w:t>
      </w:r>
      <w:r>
        <w:rPr>
          <w:b/>
        </w:rPr>
        <w:t>[Company Name]</w:t>
      </w:r>
      <w:r>
        <w:t xml:space="preserve">. Therefore, the undersigned agrees not to disclose it without express written permission from </w:t>
      </w:r>
      <w:r>
        <w:rPr>
          <w:b/>
        </w:rPr>
        <w:t>Renovar</w:t>
      </w:r>
      <w:r>
        <w:t xml:space="preserve"> / </w:t>
      </w:r>
      <w:r>
        <w:rPr>
          <w:b/>
        </w:rPr>
        <w:t>[Company Name]</w:t>
      </w:r>
      <w:r>
        <w:t>.</w:t>
      </w:r>
    </w:p>
    <w:p>
      <w:r>
        <w:t xml:space="preserve">Upon request, the undersigned reader will immediately return this document to </w:t>
      </w:r>
      <w:r>
        <w:rPr>
          <w:b/>
        </w:rPr>
        <w:t>Renovar</w:t>
      </w:r>
      <w:r>
        <w:t xml:space="preserve"> / </w:t>
      </w:r>
      <w:r>
        <w:rPr>
          <w:b/>
        </w:rPr>
        <w:t>[Company Name]</w:t>
      </w:r>
      <w:r>
        <w:t>.</w:t>
      </w:r>
    </w:p>
    <w:p>
      <w:r>
        <w:t>___________________ Signature</w:t>
      </w:r>
    </w:p>
    <w:p>
      <w:r>
        <w:t>___________________ Name (typed or printed)</w:t>
      </w:r>
    </w:p>
    <w:p>
      <w:r>
        <w:t>___________________ Date</w:t>
      </w:r>
    </w:p>
    <w:p>
      <w:r>
        <w:rPr>
          <w:i/>
        </w:rPr>
        <w:t>This is a business plan. It does not imply an offering of securities.</w:t>
      </w:r>
    </w:p>
    <w:p/>
    <w:p>
      <w:pPr>
        <w:pStyle w:val="Heading1"/>
      </w:pPr>
      <w:r>
        <w:t>Table of Contents</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Page</w:t>
            </w:r>
          </w:p>
        </w:tc>
      </w:tr>
      <w:tr>
        <w:tc>
          <w:tcPr>
            <w:tcW w:type="dxa" w:w="4320"/>
          </w:tcPr>
          <w:p>
            <w:r>
              <w:t>Confidentiality Agreement</w:t>
            </w:r>
          </w:p>
        </w:tc>
        <w:tc>
          <w:tcPr>
            <w:tcW w:type="dxa" w:w="4320"/>
          </w:tcPr>
          <w:p>
            <w:r>
              <w:t>3</w:t>
            </w:r>
          </w:p>
        </w:tc>
      </w:tr>
      <w:tr>
        <w:tc>
          <w:tcPr>
            <w:tcW w:type="dxa" w:w="4320"/>
          </w:tcPr>
          <w:p>
            <w:r>
              <w:t>I. Executive Summary</w:t>
            </w:r>
          </w:p>
        </w:tc>
        <w:tc>
          <w:tcPr>
            <w:tcW w:type="dxa" w:w="4320"/>
          </w:tcPr>
          <w:p>
            <w:r>
              <w:t>5</w:t>
            </w:r>
          </w:p>
        </w:tc>
      </w:tr>
      <w:tr>
        <w:tc>
          <w:tcPr>
            <w:tcW w:type="dxa" w:w="4320"/>
          </w:tcPr>
          <w:p>
            <w:r>
              <w:t>II. Company Description</w:t>
            </w:r>
          </w:p>
        </w:tc>
        <w:tc>
          <w:tcPr>
            <w:tcW w:type="dxa" w:w="4320"/>
          </w:tcPr>
          <w:p>
            <w:r>
              <w:t>7</w:t>
            </w:r>
          </w:p>
        </w:tc>
      </w:tr>
      <w:tr>
        <w:tc>
          <w:tcPr>
            <w:tcW w:type="dxa" w:w="4320"/>
          </w:tcPr>
          <w:p>
            <w:r>
              <w:t>III. Products &amp; Services</w:t>
            </w:r>
          </w:p>
        </w:tc>
        <w:tc>
          <w:tcPr>
            <w:tcW w:type="dxa" w:w="4320"/>
          </w:tcPr>
          <w:p>
            <w:r>
              <w:t>9</w:t>
            </w:r>
          </w:p>
        </w:tc>
      </w:tr>
      <w:tr>
        <w:tc>
          <w:tcPr>
            <w:tcW w:type="dxa" w:w="4320"/>
          </w:tcPr>
          <w:p>
            <w:r>
              <w:t>IV. Marketing Plan</w:t>
            </w:r>
          </w:p>
        </w:tc>
        <w:tc>
          <w:tcPr>
            <w:tcW w:type="dxa" w:w="4320"/>
          </w:tcPr>
          <w:p>
            <w:r>
              <w:t>12</w:t>
            </w:r>
          </w:p>
        </w:tc>
      </w:tr>
      <w:tr>
        <w:tc>
          <w:tcPr>
            <w:tcW w:type="dxa" w:w="4320"/>
          </w:tcPr>
          <w:p>
            <w:r>
              <w:t>V. Operational Plan</w:t>
            </w:r>
          </w:p>
        </w:tc>
        <w:tc>
          <w:tcPr>
            <w:tcW w:type="dxa" w:w="4320"/>
          </w:tcPr>
          <w:p>
            <w:r>
              <w:t>26</w:t>
            </w:r>
          </w:p>
        </w:tc>
      </w:tr>
      <w:tr>
        <w:tc>
          <w:tcPr>
            <w:tcW w:type="dxa" w:w="4320"/>
          </w:tcPr>
          <w:p>
            <w:r>
              <w:t>VI. Management &amp; Organization</w:t>
            </w:r>
          </w:p>
        </w:tc>
        <w:tc>
          <w:tcPr>
            <w:tcW w:type="dxa" w:w="4320"/>
          </w:tcPr>
          <w:p>
            <w:r>
              <w:t>28</w:t>
            </w:r>
          </w:p>
        </w:tc>
      </w:tr>
      <w:tr>
        <w:tc>
          <w:tcPr>
            <w:tcW w:type="dxa" w:w="4320"/>
          </w:tcPr>
          <w:p>
            <w:r>
              <w:t>VII. Startup Expenses &amp; Capitalization</w:t>
            </w:r>
          </w:p>
        </w:tc>
        <w:tc>
          <w:tcPr>
            <w:tcW w:type="dxa" w:w="4320"/>
          </w:tcPr>
          <w:p>
            <w:r>
              <w:t>31</w:t>
            </w:r>
          </w:p>
        </w:tc>
      </w:tr>
      <w:tr>
        <w:tc>
          <w:tcPr>
            <w:tcW w:type="dxa" w:w="4320"/>
          </w:tcPr>
          <w:p>
            <w:r>
              <w:t>VIII. Financial Plan</w:t>
            </w:r>
          </w:p>
        </w:tc>
        <w:tc>
          <w:tcPr>
            <w:tcW w:type="dxa" w:w="4320"/>
          </w:tcPr>
          <w:p>
            <w:r>
              <w:t>32</w:t>
            </w:r>
          </w:p>
        </w:tc>
      </w:tr>
      <w:tr>
        <w:tc>
          <w:tcPr>
            <w:tcW w:type="dxa" w:w="4320"/>
          </w:tcPr>
          <w:p>
            <w:r>
              <w:t>IX. Appendices</w:t>
            </w:r>
          </w:p>
        </w:tc>
        <w:tc>
          <w:tcPr>
            <w:tcW w:type="dxa" w:w="4320"/>
          </w:tcPr>
          <w:p>
            <w:r>
              <w:t>34</w:t>
            </w:r>
          </w:p>
        </w:tc>
      </w:tr>
      <w:tr>
        <w:tc>
          <w:tcPr>
            <w:tcW w:type="dxa" w:w="4320"/>
          </w:tcPr>
          <w:p>
            <w:r>
              <w:t>X. Refining the Plan</w:t>
            </w:r>
          </w:p>
        </w:tc>
        <w:tc>
          <w:tcPr>
            <w:tcW w:type="dxa" w:w="4320"/>
          </w:tcPr>
          <w:p>
            <w:r>
              <w:t>35</w:t>
            </w:r>
          </w:p>
        </w:tc>
      </w:tr>
    </w:tbl>
    <w:p/>
    <w:p>
      <w:pPr>
        <w:pStyle w:val="Title"/>
      </w:pPr>
      <w:r>
        <w:t>I. Executive Summary</w:t>
      </w:r>
    </w:p>
    <w:p>
      <w:r>
        <w:rPr>
          <w:i/>
        </w:rPr>
        <w:t>(Write after completing the rest of the plan; below is a completed version for Renovar.)</w:t>
      </w:r>
    </w:p>
    <w:p>
      <w:r>
        <w:rPr>
          <w:i/>
        </w:rPr>
        <w:t>*Business idea (1–2 sentences)*</w:t>
      </w:r>
    </w:p>
    <w:p>
      <w:r>
        <w:t>Renovar is a technical solution that helps European insurers migrate data from legacy systems to modern platforms and expose legacy capabilities through modern APIs, reducing cost, compliance risk, and time-to-market for digital and S/4HANA initiatives.</w:t>
      </w:r>
    </w:p>
    <w:p>
      <w:r>
        <w:rPr>
          <w:i/>
        </w:rPr>
        <w:t>*Product/service and problem solved*</w:t>
      </w:r>
    </w:p>
    <w:p>
      <w:r>
        <w:t>Renovar provides automated data mapping, ETL, AI-driven validation, and RESTful API wrappers for legacy insurance applications. It solves fragmented data, high maintenance cost (15–20% of IT budget), manual rework (€2–5M/year), and lack of real-time APIs that delay digital channels and increase churn. Target customers are mid-to-large insurers in the UK, Germany, France, Netherlands, and Italy (GDPR, Solvency II).</w:t>
      </w:r>
    </w:p>
    <w:p>
      <w:r>
        <w:rPr>
          <w:i/>
        </w:rPr>
        <w:t>*Goals (1, 3, 5 years)*</w:t>
      </w:r>
    </w:p>
    <w:p>
      <w:pPr>
        <w:pStyle w:val="ListBullet"/>
      </w:pPr>
      <w:r/>
      <w:r>
        <w:rPr>
          <w:b/>
        </w:rPr>
        <w:t>Year 1:</w:t>
      </w:r>
      <w:r>
        <w:t xml:space="preserve"> Pilot with 1–2 insurers (e.g., one business line each); validate product-market fit; achieve first paying customers and referenceable case studies.</w:t>
      </w:r>
    </w:p>
    <w:p>
      <w:pPr>
        <w:pStyle w:val="ListBullet"/>
      </w:pPr>
      <w:r/>
      <w:r>
        <w:rPr>
          <w:b/>
        </w:rPr>
        <w:t>Year 3:</w:t>
      </w:r>
      <w:r>
        <w:t xml:space="preserve"> 10–15 European insurer customers; recurring revenue from licensing and support; partnerships with 2–3 SIs or SAP-focused consultancies.</w:t>
      </w:r>
    </w:p>
    <w:p>
      <w:pPr>
        <w:pStyle w:val="ListBullet"/>
      </w:pPr>
      <w:r/>
      <w:r>
        <w:rPr>
          <w:b/>
        </w:rPr>
        <w:t>Year 5:</w:t>
      </w:r>
      <w:r>
        <w:t xml:space="preserve"> Recognized brand in European insurance data migration and API modernization; optional expansion to adjacent verticals or geographies.</w:t>
      </w:r>
    </w:p>
    <w:p>
      <w:r>
        <w:rPr>
          <w:i/>
        </w:rPr>
        <w:t>*Target market*</w:t>
      </w:r>
    </w:p>
    <w:p>
      <w:r>
        <w:t>Mid-to-large European insurance companies (1M+ policies) across Personal (auto, home), Commercial (liability, property), P&amp;C, Life, and Non-Life (health, travel), operating under GDPR and Solvency II.</w:t>
      </w:r>
    </w:p>
    <w:p>
      <w:r>
        <w:rPr>
          <w:i/>
        </w:rPr>
        <w:t>*Competition and differentiation*</w:t>
      </w:r>
    </w:p>
    <w:p>
      <w:r>
        <w:t>Competitors include IBM InfoSphere, Oracle GoldenGate, Microsoft Azure Data Factory, Accenture, Informatica, Capgemini, Ispirer, Fadata, Talend, Airbyte, Intellias. Renovar differentiates through: SAP ABAP–native design (ideal for SAP-heavy insurers), 20–30% lower TCO, 3–6 month pilot vs. 9–12 months for custom programmes, insurance-line agnostic scope without full core replacement, and built-in API wrappers for real-time use cases.</w:t>
      </w:r>
    </w:p>
    <w:p>
      <w:r>
        <w:rPr>
          <w:i/>
        </w:rPr>
        <w:t>*Management team*</w:t>
      </w:r>
    </w:p>
    <w:p>
      <w:r>
        <w:t>[Insert brief summary: e.g., Founder(s) with experience in SAP, insurance, or data migration; key hires or advisors in product, sales, delivery. See Section VI for full bios.]</w:t>
      </w:r>
    </w:p>
    <w:p>
      <w:r>
        <w:rPr>
          <w:i/>
        </w:rPr>
        <w:t>*Financial outlook (if seeking financing)*</w:t>
      </w:r>
    </w:p>
    <w:p>
      <w:r>
        <w:t xml:space="preserve">Seeking </w:t>
      </w:r>
      <w:r>
        <w:rPr>
          <w:b/>
        </w:rPr>
        <w:t>[€X]</w:t>
      </w:r>
      <w:r>
        <w:t xml:space="preserve"> in [debt/equity]. Use of funds: product development and hardening (€X), sales and marketing in target European markets (€X), delivery and support capacity (€X). Projected [revenue/ARR] Year 1: €X; Year 3: €X. Path to profitability: [e.g., Month 18–24]. [Insert exact ask and use of capital in Section VIII.]</w:t>
      </w:r>
    </w:p>
    <w:p>
      <w:r>
        <w:rPr>
          <w:i/>
        </w:rPr>
        <w:t>Limit: 1–2 pages total.</w:t>
      </w:r>
    </w:p>
    <w:p/>
    <w:p>
      <w:pPr>
        <w:pStyle w:val="Title"/>
      </w:pPr>
      <w:r>
        <w:t>II. Company Description</w:t>
      </w:r>
    </w:p>
    <w:p>
      <w:pPr>
        <w:pStyle w:val="Heading1"/>
      </w:pPr>
      <w:r>
        <w:t>Company Description Worksheet</w:t>
      </w:r>
    </w:p>
    <w:p>
      <w:r>
        <w:rPr>
          <w:i/>
        </w:rPr>
        <w:t>*Mission statement (1–2 sentences)*</w:t>
      </w:r>
    </w:p>
    <w:p>
      <w:r>
        <w:t>Renovar enables European insurers to migrate from legacy systems to modern platforms and expose legacy capabilities via modern APIs with lower cost, less disruption, and faster time-to-value than traditional migration approaches.</w:t>
      </w:r>
    </w:p>
    <w:p>
      <w:r>
        <w:rPr>
          <w:i/>
        </w:rPr>
        <w:t>*Company philosophy and vision*</w:t>
      </w:r>
    </w:p>
    <w:p>
      <w:pPr>
        <w:pStyle w:val="ListBullet"/>
      </w:pPr>
      <w:r/>
      <w:r>
        <w:rPr>
          <w:b/>
        </w:rPr>
        <w:t>Philosophy:</w:t>
      </w:r>
      <w:r>
        <w:t xml:space="preserve"> Integrity, transparency with customers on scope and limits; compliance-first (GDPR, Solvency II); product-led with strong implementation support.</w:t>
      </w:r>
    </w:p>
    <w:p>
      <w:pPr>
        <w:pStyle w:val="ListBullet"/>
      </w:pPr>
      <w:r/>
      <w:r>
        <w:rPr>
          <w:b/>
        </w:rPr>
        <w:t>Vision:</w:t>
      </w:r>
      <w:r>
        <w:t xml:space="preserve"> To become the preferred data migration and API modernization solution for European insurers running SAP and legacy estates, and to support the industry’s move to S/4HANA and digital distribution.</w:t>
      </w:r>
    </w:p>
    <w:p>
      <w:r>
        <w:rPr>
          <w:i/>
        </w:rPr>
        <w:t>*Company goals (long- and short-term; milestones)*</w:t>
      </w:r>
    </w:p>
    <w:tbl>
      <w:tblPr>
        <w:tblStyle w:val="TableGrid"/>
        <w:tblW w:type="auto" w:w="0"/>
        <w:tblLook w:firstColumn="1" w:firstRow="1" w:lastColumn="0" w:lastRow="0" w:noHBand="0" w:noVBand="1" w:val="04A0"/>
      </w:tblPr>
      <w:tblGrid>
        <w:gridCol w:w="4320"/>
        <w:gridCol w:w="4320"/>
      </w:tblGrid>
      <w:tr>
        <w:tc>
          <w:tcPr>
            <w:tcW w:type="dxa" w:w="4320"/>
          </w:tcPr>
          <w:p>
            <w:r>
              <w:t>Goal</w:t>
            </w:r>
          </w:p>
        </w:tc>
        <w:tc>
          <w:tcPr>
            <w:tcW w:type="dxa" w:w="4320"/>
          </w:tcPr>
          <w:p>
            <w:r>
              <w:t>Milestone / benchmark</w:t>
            </w:r>
          </w:p>
        </w:tc>
      </w:tr>
      <w:tr>
        <w:tc>
          <w:tcPr>
            <w:tcW w:type="dxa" w:w="4320"/>
          </w:tcPr>
          <w:p>
            <w:r>
              <w:t>Short-term: First paying pilot</w:t>
            </w:r>
          </w:p>
        </w:tc>
        <w:tc>
          <w:tcPr>
            <w:tcW w:type="dxa" w:w="4320"/>
          </w:tcPr>
          <w:p>
            <w:r>
              <w:t>Signed pilot contract within 6 months; go-live within 3–4 months of kick-off</w:t>
            </w:r>
          </w:p>
        </w:tc>
      </w:tr>
      <w:tr>
        <w:tc>
          <w:tcPr>
            <w:tcW w:type="dxa" w:w="4320"/>
          </w:tcPr>
          <w:p>
            <w:r>
              <w:t>Short-term: Product readiness</w:t>
            </w:r>
          </w:p>
        </w:tc>
        <w:tc>
          <w:tcPr>
            <w:tcW w:type="dxa" w:w="4320"/>
          </w:tcPr>
          <w:p>
            <w:r>
              <w:t>Documented reference architecture, delivery playbook, and support model by Month 6</w:t>
            </w:r>
          </w:p>
        </w:tc>
      </w:tr>
      <w:tr>
        <w:tc>
          <w:tcPr>
            <w:tcW w:type="dxa" w:w="4320"/>
          </w:tcPr>
          <w:p>
            <w:r>
              <w:t>Medium-term: Revenue</w:t>
            </w:r>
          </w:p>
        </w:tc>
        <w:tc>
          <w:tcPr>
            <w:tcW w:type="dxa" w:w="4320"/>
          </w:tcPr>
          <w:p>
            <w:r>
              <w:t>€X ARR by end of Year 2 (adjust to your target)</w:t>
            </w:r>
          </w:p>
        </w:tc>
      </w:tr>
      <w:tr>
        <w:tc>
          <w:tcPr>
            <w:tcW w:type="dxa" w:w="4320"/>
          </w:tcPr>
          <w:p>
            <w:r>
              <w:t>Medium-term: References</w:t>
            </w:r>
          </w:p>
        </w:tc>
        <w:tc>
          <w:tcPr>
            <w:tcW w:type="dxa" w:w="4320"/>
          </w:tcPr>
          <w:p>
            <w:r>
              <w:t>2–3 referenceable customers and one public case study</w:t>
            </w:r>
          </w:p>
        </w:tc>
      </w:tr>
      <w:tr>
        <w:tc>
          <w:tcPr>
            <w:tcW w:type="dxa" w:w="4320"/>
          </w:tcPr>
          <w:p>
            <w:r>
              <w:t>Long-term: Market position</w:t>
            </w:r>
          </w:p>
        </w:tc>
        <w:tc>
          <w:tcPr>
            <w:tcW w:type="dxa" w:w="4320"/>
          </w:tcPr>
          <w:p>
            <w:r>
              <w:t>Top 3 consideration for SAP/ABAP migration in European insurance (survey or pipeline share)</w:t>
            </w:r>
          </w:p>
        </w:tc>
      </w:tr>
    </w:tbl>
    <w:p>
      <w:r>
        <w:rPr>
          <w:i/>
        </w:rPr>
        <w:t>*Target market (brief)*</w:t>
      </w:r>
    </w:p>
    <w:p>
      <w:r>
        <w:t>Mid-to-large insurance carriers in UK, Germany, France, Netherlands, Italy; all lines of business; 1M+ policies; need to reduce legacy cost, meet regulatory requirements, and enable digital/API strategy.</w:t>
      </w:r>
    </w:p>
    <w:p>
      <w:r/>
      <w:r>
        <w:rPr>
          <w:b/>
        </w:rPr>
        <w:t>Industry</w:t>
      </w:r>
    </w:p>
    <w:p>
      <w:r>
        <w:t>Insurance technology and enterprise data migration. Industry is mature and regulated; growth drivers include S/4HANA adoption, Solvency II and EIOPA reporting, GDPR, digital distribution, and embedded insurance. Renovar positions in the niche where SAP/ABAP and legacy migration overlap with insurance-specific requirements (compliance, multi-line, scalability).</w:t>
      </w:r>
    </w:p>
    <w:p>
      <w:r>
        <w:rPr>
          <w:i/>
        </w:rPr>
        <w:t>*Legal structure*</w:t>
      </w:r>
    </w:p>
    <w:p>
      <w:r>
        <w:t>[Insert: e.g., Limited company (UK), GmbH (Germany), SAS (France), B.V. (Netherlands), S.r.l. (Italy), or Delaware C-Corp with European subsidiary.]</w:t>
      </w:r>
    </w:p>
    <w:p>
      <w:r>
        <w:t>Reason for choice: [e.g., liability protection, investor expectations, tax, or local contracting.]</w:t>
      </w:r>
    </w:p>
    <w:p>
      <w:r>
        <w:t>Ownership: [e.g., Founders X%; seed investors Y%; option pool Z%.]</w:t>
      </w:r>
    </w:p>
    <w:p/>
    <w:p>
      <w:pPr>
        <w:pStyle w:val="Title"/>
      </w:pPr>
      <w:r>
        <w:t>III. Products &amp; Services</w:t>
      </w:r>
    </w:p>
    <w:p>
      <w:pPr>
        <w:pStyle w:val="Heading1"/>
      </w:pPr>
      <w:r>
        <w:t>Product &amp; Service Description Worksheet</w:t>
      </w:r>
    </w:p>
    <w:p>
      <w:r>
        <w:rPr>
          <w:i/>
        </w:rPr>
        <w:t>*Products and/or services*</w:t>
      </w:r>
    </w:p>
    <w:p>
      <w:pPr>
        <w:pStyle w:val="ListBullet"/>
      </w:pPr>
      <w:r/>
      <w:r>
        <w:rPr>
          <w:b/>
        </w:rPr>
        <w:t>Renovar Platform:</w:t>
      </w:r>
      <w:r>
        <w:t xml:space="preserve"> Software (SAP ABAP–based) for data migration (extract, map, transform, load) and API modernization (RESTful wrappers around legacy logic).</w:t>
      </w:r>
    </w:p>
    <w:p>
      <w:pPr>
        <w:pStyle w:val="ListBullet"/>
      </w:pPr>
      <w:r/>
      <w:r>
        <w:rPr>
          <w:b/>
        </w:rPr>
        <w:t>Delivery and support:</w:t>
      </w:r>
      <w:r>
        <w:t xml:space="preserve"> Implementation services (discovery, design, build, test, cutover), training, and ongoing support/maintenance.</w:t>
      </w:r>
    </w:p>
    <w:p>
      <w:pPr>
        <w:pStyle w:val="ListBullet"/>
      </w:pPr>
      <w:r/>
      <w:r>
        <w:rPr>
          <w:b/>
        </w:rPr>
        <w:t>Optional:</w:t>
      </w:r>
      <w:r>
        <w:t xml:space="preserve"> Advisory (migration strategy, data quality assessment) and managed services (run and operate migration or API layer).</w:t>
      </w:r>
    </w:p>
    <w:p>
      <w:r>
        <w:rPr>
          <w:i/>
        </w:rPr>
        <w:t>*How it is delivered*</w:t>
      </w:r>
    </w:p>
    <w:p>
      <w:r>
        <w:t>Licensed software deployed on customer or partner infrastructure; implementation and support provided by Renovar or certified partners. Relationships with [SAP, cloud providers, or system integrators] support delivery and reference architectures.</w:t>
      </w:r>
    </w:p>
    <w:p>
      <w:r>
        <w:rPr>
          <w:i/>
        </w:rPr>
        <w:t>*Problem solved*</w:t>
      </w:r>
    </w:p>
    <w:p>
      <w:r>
        <w:t>Legacy systems consume 15–20% of IT budget (€5–10M/year for mid-sized EU insurers), cause €2–5M/year in integration rework, and lack modern APIs—leading to slow digital experiences, higher churn, and compliance risk. Renovar reduces migration cost and time, cuts rework by 50–70%, and provides API-first access for real-time use cases.</w:t>
      </w:r>
    </w:p>
    <w:p>
      <w:r>
        <w:rPr>
          <w:i/>
        </w:rPr>
        <w:t>*Benefits, features, unique selling proposition*</w:t>
      </w:r>
    </w:p>
    <w:p>
      <w:pPr>
        <w:pStyle w:val="ListBullet"/>
      </w:pPr>
      <w:r/>
      <w:r>
        <w:rPr>
          <w:b/>
        </w:rPr>
        <w:t>Benefits:</w:t>
      </w:r>
      <w:r>
        <w:t xml:space="preserve"> Lower TCO (20–30% vs. typical enterprise tools), faster pilot (3–6 months), zero-downtime migration design, insurance-line agnostic, compliance-aware (GDPR, Solvency II).</w:t>
      </w:r>
    </w:p>
    <w:p>
      <w:pPr>
        <w:pStyle w:val="ListBullet"/>
      </w:pPr>
      <w:r/>
      <w:r>
        <w:rPr>
          <w:b/>
        </w:rPr>
        <w:t>Features:</w:t>
      </w:r>
      <w:r>
        <w:t xml:space="preserve"> Automated data mapping, ETL with audit trail, AI-driven validation, RESTful API wrappers, support for SAP S/4HANA and cloud targets.</w:t>
      </w:r>
    </w:p>
    <w:p>
      <w:pPr>
        <w:pStyle w:val="ListBullet"/>
      </w:pPr>
      <w:r/>
      <w:r>
        <w:rPr>
          <w:b/>
        </w:rPr>
        <w:t>USP:</w:t>
      </w:r>
      <w:r>
        <w:t xml:space="preserve"> ABAP-native and purpose-built for SAP-heavy European insurers; no full core replacement required; productised so deployment is faster than bespoke SI programmes.</w:t>
      </w:r>
    </w:p>
    <w:p>
      <w:r>
        <w:rPr>
          <w:i/>
        </w:rPr>
        <w:t>*Proprietary or competitive advantages*</w:t>
      </w:r>
    </w:p>
    <w:p>
      <w:r>
        <w:t>[Insert: e.g., Patent pending on purpose-based API mapping / semantic twin discovery; proprietary connectors or mapping rules; exclusive or preferred partnership with SAP or an SI.]</w:t>
      </w:r>
    </w:p>
    <w:p>
      <w:r>
        <w:t>Exclusive or differentiated: [e.g., only solution combining ABAP-native migration + API wrappers in one product for insurance.]</w:t>
      </w:r>
    </w:p>
    <w:p>
      <w:r>
        <w:rPr>
          <w:i/>
        </w:rPr>
        <w:t>*Pricing (summary)*</w:t>
      </w:r>
    </w:p>
    <w:p>
      <w:pPr>
        <w:pStyle w:val="ListBullet"/>
      </w:pPr>
      <w:r/>
      <w:r>
        <w:rPr>
          <w:b/>
        </w:rPr>
        <w:t>Licensing:</w:t>
      </w:r>
      <w:r>
        <w:t xml:space="preserve"> [e.g., subscription per environment or per policy volume; range €150K–€500K/year for mid-sized insurer.]</w:t>
      </w:r>
    </w:p>
    <w:p>
      <w:pPr>
        <w:pStyle w:val="ListBullet"/>
      </w:pPr>
      <w:r/>
      <w:r>
        <w:rPr>
          <w:b/>
        </w:rPr>
        <w:t>Services:</w:t>
      </w:r>
      <w:r>
        <w:t xml:space="preserve"> Implementation €250K–€1.2M (scope-dependent); training and support separate or bundled.</w:t>
      </w:r>
    </w:p>
    <w:p>
      <w:pPr>
        <w:pStyle w:val="ListBullet"/>
      </w:pPr>
      <w:r/>
      <w:r>
        <w:rPr>
          <w:b/>
        </w:rPr>
        <w:t>Positioning:</w:t>
      </w:r>
      <w:r>
        <w:t xml:space="preserve"> Mid-range vs. IBM/Oracle (lower) and vs. pure consulting (more predictable and product-led).</w:t>
      </w:r>
    </w:p>
    <w:p>
      <w:pPr>
        <w:pStyle w:val="ListBullet"/>
      </w:pPr>
      <w:r/>
      <w:r>
        <w:rPr>
          <w:b/>
        </w:rPr>
        <w:t>Margin:</w:t>
      </w:r>
      <w:r>
        <w:t xml:space="preserve"> [Insert target gross margin for license and for services.]</w:t>
      </w:r>
    </w:p>
    <w:p>
      <w:r>
        <w:rPr>
          <w:i/>
        </w:rPr>
        <w:t>Detailed pricing in Section IV. Technical specs, architecture diagrams, patent references: Appendices.</w:t>
      </w:r>
    </w:p>
    <w:p/>
    <w:p>
      <w:pPr>
        <w:pStyle w:val="Title"/>
      </w:pPr>
      <w:r>
        <w:t>IV. Marketing Plan</w:t>
      </w:r>
    </w:p>
    <w:p>
      <w:pPr>
        <w:pStyle w:val="Heading1"/>
      </w:pPr>
      <w:r>
        <w:t>Market research</w:t>
      </w:r>
    </w:p>
    <w:p>
      <w:pPr>
        <w:pStyle w:val="ListBullet"/>
      </w:pPr>
      <w:r/>
      <w:r>
        <w:rPr>
          <w:b/>
        </w:rPr>
        <w:t>Primary:</w:t>
      </w:r>
      <w:r>
        <w:t xml:space="preserve"> Customer interviews (5–10 insurers or IT leads); pilot feedback; win/loss reviews.</w:t>
      </w:r>
    </w:p>
    <w:p>
      <w:pPr>
        <w:pStyle w:val="ListBullet"/>
      </w:pPr>
      <w:r/>
      <w:r>
        <w:rPr>
          <w:b/>
        </w:rPr>
        <w:t>Secondary:</w:t>
      </w:r>
      <w:r>
        <w:t xml:space="preserve"> Gartner, Forrester (legacy cost, integration spend); EIOPA and national regulator publications; SAP S/4HANA adoption reports; insurance IT surveys.</w:t>
      </w:r>
    </w:p>
    <w:p>
      <w:r>
        <w:rPr>
          <w:i/>
        </w:rPr>
        <w:t>*Industry size and trends*</w:t>
      </w:r>
    </w:p>
    <w:p>
      <w:r>
        <w:t>European insurance IT and data migration market: [Insert size, e.g., €X Bn; source.]</w:t>
      </w:r>
    </w:p>
    <w:p>
      <w:r>
        <w:t>Trends: S/4HANA and cloud adoption; regulatory pressure (Solvency II, GDPR); digital and API demand; 2025+ cyber and nat-cat driving capacity and modernisation.</w:t>
      </w:r>
    </w:p>
    <w:p>
      <w:r>
        <w:t>Target market share: [e.g., X% of mid-to-large EU insurers undertaking migration in next 3 years = Y potential customers.]</w:t>
      </w:r>
    </w:p>
    <w:p>
      <w:r>
        <w:rPr>
          <w:i/>
        </w:rPr>
        <w:t>*Barriers to entry and how you overcome them*</w:t>
      </w:r>
    </w:p>
    <w:tbl>
      <w:tblPr>
        <w:tblStyle w:val="TableGrid"/>
        <w:tblW w:type="auto" w:w="0"/>
        <w:tblLook w:firstColumn="1" w:firstRow="1" w:lastColumn="0" w:lastRow="0" w:noHBand="0" w:noVBand="1" w:val="04A0"/>
      </w:tblPr>
      <w:tblGrid>
        <w:gridCol w:w="4320"/>
        <w:gridCol w:w="4320"/>
      </w:tblGrid>
      <w:tr>
        <w:tc>
          <w:tcPr>
            <w:tcW w:type="dxa" w:w="4320"/>
          </w:tcPr>
          <w:p>
            <w:r>
              <w:t>Barrier</w:t>
            </w:r>
          </w:p>
        </w:tc>
        <w:tc>
          <w:tcPr>
            <w:tcW w:type="dxa" w:w="4320"/>
          </w:tcPr>
          <w:p>
            <w:r>
              <w:t>Mitigation</w:t>
            </w:r>
          </w:p>
        </w:tc>
      </w:tr>
      <w:tr>
        <w:tc>
          <w:tcPr>
            <w:tcW w:type="dxa" w:w="4320"/>
          </w:tcPr>
          <w:p>
            <w:r>
              <w:t>High trust and compliance requirements</w:t>
            </w:r>
          </w:p>
        </w:tc>
        <w:tc>
          <w:tcPr>
            <w:tcW w:type="dxa" w:w="4320"/>
          </w:tcPr>
          <w:p>
            <w:r>
              <w:t>Compliance-first design; references; optional third-party audit or certification</w:t>
            </w:r>
          </w:p>
        </w:tc>
      </w:tr>
      <w:tr>
        <w:tc>
          <w:tcPr>
            <w:tcW w:type="dxa" w:w="4320"/>
          </w:tcPr>
          <w:p>
            <w:r>
              <w:t>Brand recognition</w:t>
            </w:r>
          </w:p>
        </w:tc>
        <w:tc>
          <w:tcPr>
            <w:tcW w:type="dxa" w:w="4320"/>
          </w:tcPr>
          <w:p>
            <w:r>
              <w:t>Focus on niche (SAP + insurance); content and events; SI/partner channel</w:t>
            </w:r>
          </w:p>
        </w:tc>
      </w:tr>
      <w:tr>
        <w:tc>
          <w:tcPr>
            <w:tcW w:type="dxa" w:w="4320"/>
          </w:tcPr>
          <w:p>
            <w:r>
              <w:t>Need for specialised skills</w:t>
            </w:r>
          </w:p>
        </w:tc>
        <w:tc>
          <w:tcPr>
            <w:tcW w:type="dxa" w:w="4320"/>
          </w:tcPr>
          <w:p>
            <w:r>
              <w:t>Productised delivery; train-the-trainer; partner ecosystem</w:t>
            </w:r>
          </w:p>
        </w:tc>
      </w:tr>
      <w:tr>
        <w:tc>
          <w:tcPr>
            <w:tcW w:type="dxa" w:w="4320"/>
          </w:tcPr>
          <w:p>
            <w:r>
              <w:t>Long sales cycles</w:t>
            </w:r>
          </w:p>
        </w:tc>
        <w:tc>
          <w:tcPr>
            <w:tcW w:type="dxa" w:w="4320"/>
          </w:tcPr>
          <w:p>
            <w:r>
              <w:t>Pilot-first commercial (lower commitment); clear ROI and payback (12–18 months)</w:t>
            </w:r>
          </w:p>
        </w:tc>
      </w:tr>
    </w:tbl>
    <w:p>
      <w:r>
        <w:rPr>
          <w:i/>
        </w:rPr>
        <w:t>*Threats and opportunities*</w:t>
      </w:r>
    </w:p>
    <w:p>
      <w:r>
        <w:t>Regulation changes (e.g., Solvency II updates, data localisation): monitor EIOPA and national regulators; design for configurability.</w:t>
      </w:r>
    </w:p>
    <w:p>
      <w:r>
        <w:t>Technology changes (cloud, SAP roadmap): align with S/4HANA and major clouds; modular architecture.</w:t>
      </w:r>
    </w:p>
    <w:p>
      <w:r>
        <w:t>Economic downturn: position on cost reduction and risk reduction, not only growth.</w:t>
      </w:r>
    </w:p>
    <w:p/>
    <w:p>
      <w:pPr>
        <w:pStyle w:val="Heading1"/>
      </w:pPr>
      <w:r>
        <w:t>SWOT Analysis Worksheet</w:t>
      </w:r>
    </w:p>
    <w:tbl>
      <w:tblPr>
        <w:tblStyle w:val="TableGrid"/>
        <w:tblW w:type="auto" w:w="0"/>
        <w:tblLook w:firstColumn="1" w:firstRow="1" w:lastColumn="0" w:lastRow="0" w:noHBand="0" w:noVBand="1" w:val="04A0"/>
      </w:tblPr>
      <w:tblGrid>
        <w:gridCol w:w="2880"/>
        <w:gridCol w:w="2880"/>
        <w:gridCol w:w="2880"/>
      </w:tblGrid>
      <w:tr>
        <w:tc>
          <w:tcPr>
            <w:tcW w:type="dxa" w:w="2880"/>
          </w:tcPr>
          <w:p>
            <w:r>
              <w:t>**Internal**</w:t>
            </w:r>
          </w:p>
        </w:tc>
        <w:tc>
          <w:tcPr>
            <w:tcW w:type="dxa" w:w="2880"/>
          </w:tcPr>
          <w:p>
            <w:r>
              <w:t>**Strengths:** ABAP-native fit for SAP insurers; lower TCO; faster pilot; productised delivery</w:t>
            </w:r>
          </w:p>
        </w:tc>
        <w:tc>
          <w:tcPr>
            <w:tcW w:type="dxa" w:w="2880"/>
          </w:tcPr>
          <w:p>
            <w:r>
              <w:t>**Weaknesses:** New brand; limited references initially; dependency on SAP/ABAP ecosystem</w:t>
            </w:r>
          </w:p>
        </w:tc>
      </w:tr>
      <w:tr>
        <w:tc>
          <w:tcPr>
            <w:tcW w:type="dxa" w:w="2880"/>
          </w:tcPr>
          <w:p>
            <w:r>
              <w:t>**External**</w:t>
            </w:r>
          </w:p>
        </w:tc>
        <w:tc>
          <w:tcPr>
            <w:tcW w:type="dxa" w:w="2880"/>
          </w:tcPr>
          <w:p>
            <w:r>
              <w:t>**Opportunities:** S/4HANA deadlines; EIOPA digital mandates; post-Brexit data flow needs; embedded insurance demand</w:t>
            </w:r>
          </w:p>
        </w:tc>
        <w:tc>
          <w:tcPr>
            <w:tcW w:type="dxa" w:w="2880"/>
          </w:tcPr>
          <w:p>
            <w:r>
              <w:t>**Threats:** Large vendors (IBM, Oracle, Microsoft); SI-led deals; budget cuts in insurance IT</w:t>
            </w:r>
          </w:p>
        </w:tc>
      </w:tr>
    </w:tbl>
    <w:p/>
    <w:p>
      <w:pPr>
        <w:pStyle w:val="Heading1"/>
      </w:pPr>
      <w:r>
        <w:t>Competitor Data Collection Plan</w:t>
      </w:r>
    </w:p>
    <w:tbl>
      <w:tblPr>
        <w:tblStyle w:val="TableGrid"/>
        <w:tblW w:type="auto" w:w="0"/>
        <w:tblLook w:firstColumn="1" w:firstRow="1" w:lastColumn="0" w:lastRow="0" w:noHBand="0" w:noVBand="1" w:val="04A0"/>
      </w:tblPr>
      <w:tblGrid>
        <w:gridCol w:w="4320"/>
        <w:gridCol w:w="4320"/>
      </w:tblGrid>
      <w:tr>
        <w:tc>
          <w:tcPr>
            <w:tcW w:type="dxa" w:w="4320"/>
          </w:tcPr>
          <w:p>
            <w:r>
              <w:t>Competitor type</w:t>
            </w:r>
          </w:p>
        </w:tc>
        <w:tc>
          <w:tcPr>
            <w:tcW w:type="dxa" w:w="4320"/>
          </w:tcPr>
          <w:p>
            <w:r>
              <w:t>How you collect info</w:t>
            </w:r>
          </w:p>
        </w:tc>
      </w:tr>
      <w:tr>
        <w:tc>
          <w:tcPr>
            <w:tcW w:type="dxa" w:w="4320"/>
          </w:tcPr>
          <w:p>
            <w:r>
              <w:t>IBM, Oracle, Microsoft, Informatica</w:t>
            </w:r>
          </w:p>
        </w:tc>
        <w:tc>
          <w:tcPr>
            <w:tcW w:type="dxa" w:w="4320"/>
          </w:tcPr>
          <w:p>
            <w:r>
              <w:t>Gartner/Forrester reports; vendor websites; RFI/RFP feedback from prospects</w:t>
            </w:r>
          </w:p>
        </w:tc>
      </w:tr>
      <w:tr>
        <w:tc>
          <w:tcPr>
            <w:tcW w:type="dxa" w:w="4320"/>
          </w:tcPr>
          <w:p>
            <w:r>
              <w:t>Accenture, Capgemini</w:t>
            </w:r>
          </w:p>
        </w:tc>
        <w:tc>
          <w:tcPr>
            <w:tcW w:type="dxa" w:w="4320"/>
          </w:tcPr>
          <w:p>
            <w:r>
              <w:t>Public case studies; LinkedIn; trade events; win/loss interviews</w:t>
            </w:r>
          </w:p>
        </w:tc>
      </w:tr>
      <w:tr>
        <w:tc>
          <w:tcPr>
            <w:tcW w:type="dxa" w:w="4320"/>
          </w:tcPr>
          <w:p>
            <w:r>
              <w:t>Ispirer, Fadata, Talend, Airbyte, Intellias</w:t>
            </w:r>
          </w:p>
        </w:tc>
        <w:tc>
          <w:tcPr>
            <w:tcW w:type="dxa" w:w="4320"/>
          </w:tcPr>
          <w:p>
            <w:r>
              <w:t>Websites; analyst mentions; peer reviews (G2, Capterra); pricing where public</w:t>
            </w:r>
          </w:p>
        </w:tc>
      </w:tr>
      <w:tr>
        <w:tc>
          <w:tcPr>
            <w:tcW w:type="dxa" w:w="4320"/>
          </w:tcPr>
          <w:p>
            <w:r>
              <w:t>Regional SIs</w:t>
            </w:r>
          </w:p>
        </w:tc>
        <w:tc>
          <w:tcPr>
            <w:tcW w:type="dxa" w:w="4320"/>
          </w:tcPr>
          <w:p>
            <w:r>
              <w:t>Local insurance events; partner and prospect conversations</w:t>
            </w:r>
          </w:p>
        </w:tc>
      </w:tr>
    </w:tbl>
    <w:p/>
    <w:p>
      <w:pPr>
        <w:pStyle w:val="Heading1"/>
      </w:pPr>
      <w:r>
        <w:t>Competitive Analysis Worksheet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Factor</w:t>
            </w:r>
          </w:p>
        </w:tc>
        <w:tc>
          <w:tcPr>
            <w:tcW w:type="dxa" w:w="1728"/>
          </w:tcPr>
          <w:p>
            <w:r>
              <w:t>Your business (S/W)</w:t>
            </w:r>
          </w:p>
        </w:tc>
        <w:tc>
          <w:tcPr>
            <w:tcW w:type="dxa" w:w="1728"/>
          </w:tcPr>
          <w:p>
            <w:r>
              <w:t>Competitor A (e.g. IBM)</w:t>
            </w:r>
          </w:p>
        </w:tc>
        <w:tc>
          <w:tcPr>
            <w:tcW w:type="dxa" w:w="1728"/>
          </w:tcPr>
          <w:p>
            <w:r>
              <w:t>Competitor B (e.g. Accenture)</w:t>
            </w:r>
          </w:p>
        </w:tc>
        <w:tc>
          <w:tcPr>
            <w:tcW w:type="dxa" w:w="1728"/>
          </w:tcPr>
          <w:p>
            <w:r>
              <w:t>Importance to customer (1–5)</w:t>
            </w:r>
          </w:p>
        </w:tc>
      </w:tr>
      <w:tr>
        <w:tc>
          <w:tcPr>
            <w:tcW w:type="dxa" w:w="1728"/>
          </w:tcPr>
          <w:p>
            <w:r>
              <w:t>TCO</w:t>
            </w:r>
          </w:p>
        </w:tc>
        <w:tc>
          <w:tcPr>
            <w:tcW w:type="dxa" w:w="1728"/>
          </w:tcPr>
          <w:p>
            <w:r>
              <w:t>S</w:t>
            </w:r>
          </w:p>
        </w:tc>
        <w:tc>
          <w:tcPr>
            <w:tcW w:type="dxa" w:w="1728"/>
          </w:tcPr>
          <w:p>
            <w:r>
              <w:t>W (high cost)</w:t>
            </w:r>
          </w:p>
        </w:tc>
        <w:tc>
          <w:tcPr>
            <w:tcW w:type="dxa" w:w="1728"/>
          </w:tcPr>
          <w:p>
            <w:r>
              <w:t>W (high consulting)</w:t>
            </w:r>
          </w:p>
        </w:tc>
        <w:tc>
          <w:tcPr>
            <w:tcW w:type="dxa" w:w="1728"/>
          </w:tcPr>
          <w:p>
            <w:r>
              <w:t>1</w:t>
            </w:r>
          </w:p>
        </w:tc>
      </w:tr>
      <w:tr>
        <w:tc>
          <w:tcPr>
            <w:tcW w:type="dxa" w:w="1728"/>
          </w:tcPr>
          <w:p>
            <w:r>
              <w:t>Time to pilot</w:t>
            </w:r>
          </w:p>
        </w:tc>
        <w:tc>
          <w:tcPr>
            <w:tcW w:type="dxa" w:w="1728"/>
          </w:tcPr>
          <w:p>
            <w:r>
              <w:t>S (3–6 months)</w:t>
            </w:r>
          </w:p>
        </w:tc>
        <w:tc>
          <w:tcPr>
            <w:tcW w:type="dxa" w:w="1728"/>
          </w:tcPr>
          <w:p>
            <w:r>
              <w:t>W (longer)</w:t>
            </w:r>
          </w:p>
        </w:tc>
        <w:tc>
          <w:tcPr>
            <w:tcW w:type="dxa" w:w="1728"/>
          </w:tcPr>
          <w:p>
            <w:r>
              <w:t>W (9–12 months)</w:t>
            </w:r>
          </w:p>
        </w:tc>
        <w:tc>
          <w:tcPr>
            <w:tcW w:type="dxa" w:w="1728"/>
          </w:tcPr>
          <w:p>
            <w:r>
              <w:t>1</w:t>
            </w:r>
          </w:p>
        </w:tc>
      </w:tr>
      <w:tr>
        <w:tc>
          <w:tcPr>
            <w:tcW w:type="dxa" w:w="1728"/>
          </w:tcPr>
          <w:p>
            <w:r>
              <w:t>ABAP/SAP fit</w:t>
            </w:r>
          </w:p>
        </w:tc>
        <w:tc>
          <w:tcPr>
            <w:tcW w:type="dxa" w:w="1728"/>
          </w:tcPr>
          <w:p>
            <w:r>
              <w:t>S</w:t>
            </w:r>
          </w:p>
        </w:tc>
        <w:tc>
          <w:tcPr>
            <w:tcW w:type="dxa" w:w="1728"/>
          </w:tcPr>
          <w:p>
            <w:r>
              <w:t>W</w:t>
            </w:r>
          </w:p>
        </w:tc>
        <w:tc>
          <w:tcPr>
            <w:tcW w:type="dxa" w:w="1728"/>
          </w:tcPr>
          <w:p>
            <w:r>
              <w:t>W</w:t>
            </w:r>
          </w:p>
        </w:tc>
        <w:tc>
          <w:tcPr>
            <w:tcW w:type="dxa" w:w="1728"/>
          </w:tcPr>
          <w:p>
            <w:r>
              <w:t>1</w:t>
            </w:r>
          </w:p>
        </w:tc>
      </w:tr>
      <w:tr>
        <w:tc>
          <w:tcPr>
            <w:tcW w:type="dxa" w:w="1728"/>
          </w:tcPr>
          <w:p>
            <w:r>
              <w:t>Insurance experience</w:t>
            </w:r>
          </w:p>
        </w:tc>
        <w:tc>
          <w:tcPr>
            <w:tcW w:type="dxa" w:w="1728"/>
          </w:tcPr>
          <w:p>
            <w:r>
              <w:t>S</w:t>
            </w:r>
          </w:p>
        </w:tc>
        <w:tc>
          <w:tcPr>
            <w:tcW w:type="dxa" w:w="1728"/>
          </w:tcPr>
          <w:p>
            <w:r>
              <w:t>Mixed</w:t>
            </w:r>
          </w:p>
        </w:tc>
        <w:tc>
          <w:tcPr>
            <w:tcW w:type="dxa" w:w="1728"/>
          </w:tcPr>
          <w:p>
            <w:r>
              <w:t>S</w:t>
            </w:r>
          </w:p>
        </w:tc>
        <w:tc>
          <w:tcPr>
            <w:tcW w:type="dxa" w:w="1728"/>
          </w:tcPr>
          <w:p>
            <w:r>
              <w:t>2</w:t>
            </w:r>
          </w:p>
        </w:tc>
      </w:tr>
      <w:tr>
        <w:tc>
          <w:tcPr>
            <w:tcW w:type="dxa" w:w="1728"/>
          </w:tcPr>
          <w:p>
            <w:r>
              <w:t>Brand / references</w:t>
            </w:r>
          </w:p>
        </w:tc>
        <w:tc>
          <w:tcPr>
            <w:tcW w:type="dxa" w:w="1728"/>
          </w:tcPr>
          <w:p>
            <w:r>
              <w:t>W (new)</w:t>
            </w:r>
          </w:p>
        </w:tc>
        <w:tc>
          <w:tcPr>
            <w:tcW w:type="dxa" w:w="1728"/>
          </w:tcPr>
          <w:p>
            <w:r>
              <w:t>S</w:t>
            </w:r>
          </w:p>
        </w:tc>
        <w:tc>
          <w:tcPr>
            <w:tcW w:type="dxa" w:w="1728"/>
          </w:tcPr>
          <w:p>
            <w:r>
              <w:t>S</w:t>
            </w:r>
          </w:p>
        </w:tc>
        <w:tc>
          <w:tcPr>
            <w:tcW w:type="dxa" w:w="1728"/>
          </w:tcPr>
          <w:p>
            <w:r>
              <w:t>2</w:t>
            </w:r>
          </w:p>
        </w:tc>
      </w:tr>
      <w:tr>
        <w:tc>
          <w:tcPr>
            <w:tcW w:type="dxa" w:w="1728"/>
          </w:tcPr>
          <w:p>
            <w:r>
              <w:t>Compliance (GDPR, Solvency II)</w:t>
            </w:r>
          </w:p>
        </w:tc>
        <w:tc>
          <w:tcPr>
            <w:tcW w:type="dxa" w:w="1728"/>
          </w:tcPr>
          <w:p>
            <w:r>
              <w:t>S</w:t>
            </w:r>
          </w:p>
        </w:tc>
        <w:tc>
          <w:tcPr>
            <w:tcW w:type="dxa" w:w="1728"/>
          </w:tcPr>
          <w:p>
            <w:r>
              <w:t>S</w:t>
            </w:r>
          </w:p>
        </w:tc>
        <w:tc>
          <w:tcPr>
            <w:tcW w:type="dxa" w:w="1728"/>
          </w:tcPr>
          <w:p>
            <w:r>
              <w:t>S</w:t>
            </w:r>
          </w:p>
        </w:tc>
        <w:tc>
          <w:tcPr>
            <w:tcW w:type="dxa" w:w="1728"/>
          </w:tcPr>
          <w:p>
            <w:r>
              <w:t>1</w:t>
            </w:r>
          </w:p>
        </w:tc>
      </w:tr>
      <w:tr>
        <w:tc>
          <w:tcPr>
            <w:tcW w:type="dxa" w:w="1728"/>
          </w:tcPr>
          <w:p>
            <w:r>
              <w:t>API / modernisation</w:t>
            </w:r>
          </w:p>
        </w:tc>
        <w:tc>
          <w:tcPr>
            <w:tcW w:type="dxa" w:w="1728"/>
          </w:tcPr>
          <w:p>
            <w:r>
              <w:t>S</w:t>
            </w:r>
          </w:p>
        </w:tc>
        <w:tc>
          <w:tcPr>
            <w:tcW w:type="dxa" w:w="1728"/>
          </w:tcPr>
          <w:p>
            <w:r>
              <w:t>Mixed</w:t>
            </w:r>
          </w:p>
        </w:tc>
        <w:tc>
          <w:tcPr>
            <w:tcW w:type="dxa" w:w="1728"/>
          </w:tcPr>
          <w:p>
            <w:r>
              <w:t>Custom</w:t>
            </w:r>
          </w:p>
        </w:tc>
        <w:tc>
          <w:tcPr>
            <w:tcW w:type="dxa" w:w="1728"/>
          </w:tcPr>
          <w:p>
            <w:r>
              <w:t>1</w:t>
            </w:r>
          </w:p>
        </w:tc>
      </w:tr>
    </w:tbl>
    <w:p>
      <w:r>
        <w:rPr>
          <w:i/>
        </w:rPr>
        <w:t>Use to articulate competitive advantages and disadvantages in the narrative.</w:t>
      </w:r>
    </w:p>
    <w:p>
      <w:r>
        <w:rPr>
          <w:i/>
        </w:rPr>
        <w:t>*Positioning / Niche*</w:t>
      </w:r>
    </w:p>
    <w:p>
      <w:r>
        <w:t xml:space="preserve">Renovar targets the </w:t>
      </w:r>
      <w:r>
        <w:rPr>
          <w:b/>
        </w:rPr>
        <w:t>European insurance segment</w:t>
      </w:r>
      <w:r>
        <w:t xml:space="preserve"> that is </w:t>
      </w:r>
      <w:r>
        <w:rPr>
          <w:b/>
        </w:rPr>
        <w:t>SAP/ABAP-heavy</w:t>
      </w:r>
      <w:r>
        <w:t xml:space="preserve"> and needs </w:t>
      </w:r>
      <w:r>
        <w:rPr>
          <w:b/>
        </w:rPr>
        <w:t>data migration and API modernization</w:t>
      </w:r>
      <w:r>
        <w:t xml:space="preserve"> without a full core replacement. Position: “The cost-effective, fast-to-pilot migration and API platform for European insurers on SAP.”</w:t>
      </w:r>
    </w:p>
    <w:p/>
    <w:p>
      <w:pPr>
        <w:pStyle w:val="Heading1"/>
      </w:pPr>
      <w:r>
        <w:t>Product/Service Features and Benefits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Benefit to customer</w:t>
            </w:r>
          </w:p>
        </w:tc>
      </w:tr>
      <w:tr>
        <w:tc>
          <w:tcPr>
            <w:tcW w:type="dxa" w:w="4320"/>
          </w:tcPr>
          <w:p>
            <w:r>
              <w:t>Automated data mapping</w:t>
            </w:r>
          </w:p>
        </w:tc>
        <w:tc>
          <w:tcPr>
            <w:tcW w:type="dxa" w:w="4320"/>
          </w:tcPr>
          <w:p>
            <w:r>
              <w:t>Less manual specification; fewer errors; faster design phase</w:t>
            </w:r>
          </w:p>
        </w:tc>
      </w:tr>
      <w:tr>
        <w:tc>
          <w:tcPr>
            <w:tcW w:type="dxa" w:w="4320"/>
          </w:tcPr>
          <w:p>
            <w:r>
              <w:t>ETL with audit trail</w:t>
            </w:r>
          </w:p>
        </w:tc>
        <w:tc>
          <w:tcPr>
            <w:tcW w:type="dxa" w:w="4320"/>
          </w:tcPr>
          <w:p>
            <w:r>
              <w:t>Compliance and auditability; rollback and reconciliation</w:t>
            </w:r>
          </w:p>
        </w:tc>
      </w:tr>
      <w:tr>
        <w:tc>
          <w:tcPr>
            <w:tcW w:type="dxa" w:w="4320"/>
          </w:tcPr>
          <w:p>
            <w:r>
              <w:t>AI-driven validation</w:t>
            </w:r>
          </w:p>
        </w:tc>
        <w:tc>
          <w:tcPr>
            <w:tcW w:type="dxa" w:w="4320"/>
          </w:tcPr>
          <w:p>
            <w:r>
              <w:t>Higher data quality; fewer post-go-live defects</w:t>
            </w:r>
          </w:p>
        </w:tc>
      </w:tr>
      <w:tr>
        <w:tc>
          <w:tcPr>
            <w:tcW w:type="dxa" w:w="4320"/>
          </w:tcPr>
          <w:p>
            <w:r>
              <w:t>RESTful API wrappers</w:t>
            </w:r>
          </w:p>
        </w:tc>
        <w:tc>
          <w:tcPr>
            <w:tcW w:type="dxa" w:w="4320"/>
          </w:tcPr>
          <w:p>
            <w:r>
              <w:t>Real-time integration for digital, partners, embedded insurance</w:t>
            </w:r>
          </w:p>
        </w:tc>
      </w:tr>
      <w:tr>
        <w:tc>
          <w:tcPr>
            <w:tcW w:type="dxa" w:w="4320"/>
          </w:tcPr>
          <w:p>
            <w:r>
              <w:t>Zero-downtime design</w:t>
            </w:r>
          </w:p>
        </w:tc>
        <w:tc>
          <w:tcPr>
            <w:tcW w:type="dxa" w:w="4320"/>
          </w:tcPr>
          <w:p>
            <w:r>
              <w:t>Lower business risk during cutover</w:t>
            </w:r>
          </w:p>
        </w:tc>
      </w:tr>
      <w:tr>
        <w:tc>
          <w:tcPr>
            <w:tcW w:type="dxa" w:w="4320"/>
          </w:tcPr>
          <w:p>
            <w:r>
              <w:t>Insurance-line agnostic</w:t>
            </w:r>
          </w:p>
        </w:tc>
        <w:tc>
          <w:tcPr>
            <w:tcW w:type="dxa" w:w="4320"/>
          </w:tcPr>
          <w:p>
            <w:r>
              <w:t>One platform across Personal, Commercial, P&amp;C, Life, Non-Life</w:t>
            </w:r>
          </w:p>
        </w:tc>
      </w:tr>
    </w:tbl>
    <w:p>
      <w:r/>
      <w:r>
        <w:rPr>
          <w:b/>
        </w:rPr>
        <w:t>After-sale:</w:t>
      </w:r>
      <w:r>
        <w:t xml:space="preserve"> Training; warranty/support period; optional managed service or SLA; refund or pilot exit terms as per contract.</w:t>
      </w:r>
    </w:p>
    <w:p/>
    <w:p>
      <w:pPr>
        <w:pStyle w:val="Heading1"/>
      </w:pPr>
      <w:r>
        <w:t>Target customer</w:t>
      </w:r>
    </w:p>
    <w:p>
      <w:r/>
      <w:r>
        <w:rPr>
          <w:b/>
        </w:rPr>
        <w:t>Primary:</w:t>
      </w:r>
      <w:r>
        <w:t xml:space="preserve"> IT and programme leads (Head of IT, CIO, CDO, Programme Director) at mid-to-large European insurers (1M+ policies) with legacy SAP/ABAP or mixed legacy estates.</w:t>
      </w:r>
    </w:p>
    <w:p>
      <w:r/>
      <w:r>
        <w:rPr>
          <w:b/>
        </w:rPr>
        <w:t>Secondary:</w:t>
      </w:r>
      <w:r>
        <w:t xml:space="preserve"> Business leads (COO, CFO) who own migration budget and outcomes; compliance officers concerned with GDPR and Solvency II.</w:t>
      </w:r>
    </w:p>
    <w:p>
      <w:r/>
      <w:r>
        <w:rPr>
          <w:b/>
        </w:rPr>
        <w:t>Persona (business):</w:t>
      </w:r>
      <w:r>
        <w:t xml:space="preserve"> Industry: Insurance. Geography: UK, DE, FR, NL, IT. Size: €500M+ premium or 1M+ policies. Stage: Planning or executing S/4HANA or legacy modernisation. Annual IT spend: relevant to €5–10M+ legacy run cost.</w:t>
      </w:r>
    </w:p>
    <w:p/>
    <w:p>
      <w:pPr>
        <w:pStyle w:val="Heading1"/>
      </w:pPr>
      <w:r>
        <w:t>Key competitors</w:t>
      </w:r>
    </w:p>
    <w:p>
      <w:r>
        <w:rPr>
          <w:i/>
        </w:rPr>
        <w:t>(Summarise from Section 7 of the Renovar European Business Case.)</w:t>
      </w:r>
    </w:p>
    <w:p>
      <w:r>
        <w:t>IBM (InfoSphere), Oracle (GoldenGate), Microsoft (Azure Data Factory), Accenture (custom migration), Informatica (PowerCenter), Capgemini (regulated/cloud), Ispirer, Fadata, Talend, Airbyte, Intellias.</w:t>
      </w:r>
    </w:p>
    <w:p>
      <w:r>
        <w:t>Direct: same problem (migration + APIs). Indirect: in-house development, generic ETL without insurance/SAP focus.</w:t>
      </w:r>
    </w:p>
    <w:p>
      <w:r>
        <w:t>Differentiation: ABAP-native, 20–30% lower TCO, 3–6 month pilot, insurance-line agnostic, API wrappers included.</w:t>
      </w:r>
    </w:p>
    <w:p/>
    <w:p>
      <w:pPr>
        <w:pStyle w:val="Heading1"/>
      </w:pPr>
      <w:r>
        <w:t>How you will market your product/service</w:t>
      </w:r>
    </w:p>
    <w:tbl>
      <w:tblPr>
        <w:tblStyle w:val="TableGrid"/>
        <w:tblW w:type="auto" w:w="0"/>
        <w:tblLook w:firstColumn="1" w:firstRow="1" w:lastColumn="0" w:lastRow="0" w:noHBand="0" w:noVBand="1" w:val="04A0"/>
      </w:tblPr>
      <w:tblGrid>
        <w:gridCol w:w="2880"/>
        <w:gridCol w:w="2880"/>
        <w:gridCol w:w="2880"/>
      </w:tblGrid>
      <w:tr>
        <w:tc>
          <w:tcPr>
            <w:tcW w:type="dxa" w:w="2880"/>
          </w:tcPr>
          <w:p>
            <w:r>
              <w:t>Tactic</w:t>
            </w:r>
          </w:p>
        </w:tc>
        <w:tc>
          <w:tcPr>
            <w:tcW w:type="dxa" w:w="2880"/>
          </w:tcPr>
          <w:p>
            <w:r>
              <w:t>Channel</w:t>
            </w:r>
          </w:p>
        </w:tc>
        <w:tc>
          <w:tcPr>
            <w:tcW w:type="dxa" w:w="2880"/>
          </w:tcPr>
          <w:p>
            <w:r>
              <w:t>Why / frequency</w:t>
            </w:r>
          </w:p>
        </w:tc>
      </w:tr>
      <w:tr>
        <w:tc>
          <w:tcPr>
            <w:tcW w:type="dxa" w:w="2880"/>
          </w:tcPr>
          <w:p>
            <w:r>
              <w:t>Content</w:t>
            </w:r>
          </w:p>
        </w:tc>
        <w:tc>
          <w:tcPr>
            <w:tcW w:type="dxa" w:w="2880"/>
          </w:tcPr>
          <w:p>
            <w:r>
              <w:t>Website, LinkedIn, industry reports</w:t>
            </w:r>
          </w:p>
        </w:tc>
        <w:tc>
          <w:tcPr>
            <w:tcW w:type="dxa" w:w="2880"/>
          </w:tcPr>
          <w:p>
            <w:r>
              <w:t>SEO; thought leadership; lead nurture</w:t>
            </w:r>
          </w:p>
        </w:tc>
      </w:tr>
      <w:tr>
        <w:tc>
          <w:tcPr>
            <w:tcW w:type="dxa" w:w="2880"/>
          </w:tcPr>
          <w:p>
            <w:r>
              <w:t>Events</w:t>
            </w:r>
          </w:p>
        </w:tc>
        <w:tc>
          <w:tcPr>
            <w:tcW w:type="dxa" w:w="2880"/>
          </w:tcPr>
          <w:p>
            <w:r>
              <w:t>Insurance IT conferences (e.g., DIA, InsurTech); SAP/insurance webinars</w:t>
            </w:r>
          </w:p>
        </w:tc>
        <w:tc>
          <w:tcPr>
            <w:tcW w:type="dxa" w:w="2880"/>
          </w:tcPr>
          <w:p>
            <w:r>
              <w:t>Visibility; pipeline</w:t>
            </w:r>
          </w:p>
        </w:tc>
      </w:tr>
      <w:tr>
        <w:tc>
          <w:tcPr>
            <w:tcW w:type="dxa" w:w="2880"/>
          </w:tcPr>
          <w:p>
            <w:r>
              <w:t>PR</w:t>
            </w:r>
          </w:p>
        </w:tc>
        <w:tc>
          <w:tcPr>
            <w:tcW w:type="dxa" w:w="2880"/>
          </w:tcPr>
          <w:p>
            <w:r>
              <w:t>Press releases; analyst briefings (Gartner, Forrester)</w:t>
            </w:r>
          </w:p>
        </w:tc>
        <w:tc>
          <w:tcPr>
            <w:tcW w:type="dxa" w:w="2880"/>
          </w:tcPr>
          <w:p>
            <w:r>
              <w:t>Credibility</w:t>
            </w:r>
          </w:p>
        </w:tc>
      </w:tr>
      <w:tr>
        <w:tc>
          <w:tcPr>
            <w:tcW w:type="dxa" w:w="2880"/>
          </w:tcPr>
          <w:p>
            <w:r>
              <w:t>Direct</w:t>
            </w:r>
          </w:p>
        </w:tc>
        <w:tc>
          <w:tcPr>
            <w:tcW w:type="dxa" w:w="2880"/>
          </w:tcPr>
          <w:p>
            <w:r>
              <w:t>Outbound to target accounts; pilot offer</w:t>
            </w:r>
          </w:p>
        </w:tc>
        <w:tc>
          <w:tcPr>
            <w:tcW w:type="dxa" w:w="2880"/>
          </w:tcPr>
          <w:p>
            <w:r>
              <w:t>Short-cycle pilot conversion</w:t>
            </w:r>
          </w:p>
        </w:tc>
      </w:tr>
      <w:tr>
        <w:tc>
          <w:tcPr>
            <w:tcW w:type="dxa" w:w="2880"/>
          </w:tcPr>
          <w:p>
            <w:r>
              <w:t>Partners</w:t>
            </w:r>
          </w:p>
        </w:tc>
        <w:tc>
          <w:tcPr>
            <w:tcW w:type="dxa" w:w="2880"/>
          </w:tcPr>
          <w:p>
            <w:r>
              <w:t>SIs, SAP, cloud providers</w:t>
            </w:r>
          </w:p>
        </w:tc>
        <w:tc>
          <w:tcPr>
            <w:tcW w:type="dxa" w:w="2880"/>
          </w:tcPr>
          <w:p>
            <w:r>
              <w:t>Referrals; co-sell</w:t>
            </w:r>
          </w:p>
        </w:tc>
      </w:tr>
      <w:tr>
        <w:tc>
          <w:tcPr>
            <w:tcW w:type="dxa" w:w="2880"/>
          </w:tcPr>
          <w:p>
            <w:r>
              <w:t>Referrals</w:t>
            </w:r>
          </w:p>
        </w:tc>
        <w:tc>
          <w:tcPr>
            <w:tcW w:type="dxa" w:w="2880"/>
          </w:tcPr>
          <w:p>
            <w:r>
              <w:t>Existing customers and pilots</w:t>
            </w:r>
          </w:p>
        </w:tc>
        <w:tc>
          <w:tcPr>
            <w:tcW w:type="dxa" w:w="2880"/>
          </w:tcPr>
          <w:p>
            <w:r>
              <w:t>References and case studies</w:t>
            </w:r>
          </w:p>
        </w:tc>
      </w:tr>
    </w:tbl>
    <w:p>
      <w:r/>
      <w:r>
        <w:rPr>
          <w:b/>
        </w:rPr>
        <w:t>Brand image:</w:t>
      </w:r>
      <w:r>
        <w:t xml:space="preserve"> Professional, compliant, pragmatic; “fast and cost-effective migration and API modernisation for European insurers.”</w:t>
      </w:r>
    </w:p>
    <w:p>
      <w:r/>
      <w:r>
        <w:rPr>
          <w:b/>
        </w:rPr>
        <w:t>Design:</w:t>
      </w:r>
      <w:r>
        <w:t xml:space="preserve"> [Insert: logo, signage if physical, slide deck, one-pager, demo environment.]</w:t>
      </w:r>
    </w:p>
    <w:p/>
    <w:p>
      <w:pPr>
        <w:pStyle w:val="Heading1"/>
      </w:pPr>
      <w:r>
        <w:t>Marketing Expenses Strategy Chart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Target market / tactic</w:t>
            </w:r>
          </w:p>
        </w:tc>
        <w:tc>
          <w:tcPr>
            <w:tcW w:type="dxa" w:w="2160"/>
          </w:tcPr>
          <w:p>
            <w:r>
              <w:t>Before startup (€)</w:t>
            </w:r>
          </w:p>
        </w:tc>
        <w:tc>
          <w:tcPr>
            <w:tcW w:type="dxa" w:w="2160"/>
          </w:tcPr>
          <w:p>
            <w:r>
              <w:t>Ongoing annual (€)</w:t>
            </w:r>
          </w:p>
        </w:tc>
        <w:tc>
          <w:tcPr>
            <w:tcW w:type="dxa" w:w="2160"/>
          </w:tcPr>
          <w:p>
            <w:r>
              <w:t>Notes</w:t>
            </w:r>
          </w:p>
        </w:tc>
      </w:tr>
      <w:tr>
        <w:tc>
          <w:tcPr>
            <w:tcW w:type="dxa" w:w="2160"/>
          </w:tcPr>
          <w:p>
            <w:r>
              <w:t>Website and content</w:t>
            </w:r>
          </w:p>
        </w:tc>
        <w:tc>
          <w:tcPr>
            <w:tcW w:type="dxa" w:w="2160"/>
          </w:tcPr>
          <w:p>
            <w:r>
              <w:t>X</w:t>
            </w:r>
          </w:p>
        </w:tc>
        <w:tc>
          <w:tcPr>
            <w:tcW w:type="dxa" w:w="2160"/>
          </w:tcPr>
          <w:p>
            <w:r>
              <w:t>X</w:t>
            </w:r>
          </w:p>
        </w:tc>
        <w:tc>
          <w:tcPr>
            <w:tcW w:type="dxa" w:w="2160"/>
          </w:tcPr>
          <w:p>
            <w:r>
              <w:t>Hosting, copy, SEO</w:t>
            </w:r>
          </w:p>
        </w:tc>
      </w:tr>
      <w:tr>
        <w:tc>
          <w:tcPr>
            <w:tcW w:type="dxa" w:w="2160"/>
          </w:tcPr>
          <w:p>
            <w:r>
              <w:t>LinkedIn / social</w:t>
            </w:r>
          </w:p>
        </w:tc>
        <w:tc>
          <w:tcPr>
            <w:tcW w:type="dxa" w:w="2160"/>
          </w:tcPr>
          <w:p>
            <w:r>
              <w:t>X</w:t>
            </w:r>
          </w:p>
        </w:tc>
        <w:tc>
          <w:tcPr>
            <w:tcW w:type="dxa" w:w="2160"/>
          </w:tcPr>
          <w:p>
            <w:r>
              <w:t>X</w:t>
            </w:r>
          </w:p>
        </w:tc>
        <w:tc>
          <w:tcPr>
            <w:tcW w:type="dxa" w:w="2160"/>
          </w:tcPr>
          <w:p>
            <w:r>
              <w:t>Ads, content</w:t>
            </w:r>
          </w:p>
        </w:tc>
      </w:tr>
      <w:tr>
        <w:tc>
          <w:tcPr>
            <w:tcW w:type="dxa" w:w="2160"/>
          </w:tcPr>
          <w:p>
            <w:r>
              <w:t>Events and webinars</w:t>
            </w:r>
          </w:p>
        </w:tc>
        <w:tc>
          <w:tcPr>
            <w:tcW w:type="dxa" w:w="2160"/>
          </w:tcPr>
          <w:p>
            <w:r>
              <w:t>X</w:t>
            </w:r>
          </w:p>
        </w:tc>
        <w:tc>
          <w:tcPr>
            <w:tcW w:type="dxa" w:w="2160"/>
          </w:tcPr>
          <w:p>
            <w:r>
              <w:t>X</w:t>
            </w:r>
          </w:p>
        </w:tc>
        <w:tc>
          <w:tcPr>
            <w:tcW w:type="dxa" w:w="2160"/>
          </w:tcPr>
          <w:p>
            <w:r>
              <w:t>2–4 events/year</w:t>
            </w:r>
          </w:p>
        </w:tc>
      </w:tr>
      <w:tr>
        <w:tc>
          <w:tcPr>
            <w:tcW w:type="dxa" w:w="2160"/>
          </w:tcPr>
          <w:p>
            <w:r>
              <w:t>PR and analyst</w:t>
            </w:r>
          </w:p>
        </w:tc>
        <w:tc>
          <w:tcPr>
            <w:tcW w:type="dxa" w:w="2160"/>
          </w:tcPr>
          <w:p>
            <w:r>
              <w:t>X</w:t>
            </w:r>
          </w:p>
        </w:tc>
        <w:tc>
          <w:tcPr>
            <w:tcW w:type="dxa" w:w="2160"/>
          </w:tcPr>
          <w:p>
            <w:r>
              <w:t>X</w:t>
            </w:r>
          </w:p>
        </w:tc>
        <w:tc>
          <w:tcPr>
            <w:tcW w:type="dxa" w:w="2160"/>
          </w:tcPr>
          <w:p>
            <w:r>
              <w:t>Agency or in-house</w:t>
            </w:r>
          </w:p>
        </w:tc>
      </w:tr>
      <w:tr>
        <w:tc>
          <w:tcPr>
            <w:tcW w:type="dxa" w:w="2160"/>
          </w:tcPr>
          <w:p>
            <w:r>
              <w:t>Collateral and demo</w:t>
            </w:r>
          </w:p>
        </w:tc>
        <w:tc>
          <w:tcPr>
            <w:tcW w:type="dxa" w:w="2160"/>
          </w:tcPr>
          <w:p>
            <w:r>
              <w:t>X</w:t>
            </w:r>
          </w:p>
        </w:tc>
        <w:tc>
          <w:tcPr>
            <w:tcW w:type="dxa" w:w="2160"/>
          </w:tcPr>
          <w:p>
            <w:r>
              <w:t>X</w:t>
            </w:r>
          </w:p>
        </w:tc>
        <w:tc>
          <w:tcPr>
            <w:tcW w:type="dxa" w:w="2160"/>
          </w:tcPr>
          <w:p>
            <w:r>
              <w:t>One-pagers, demo</w:t>
            </w:r>
          </w:p>
        </w:tc>
      </w:tr>
      <w:tr>
        <w:tc>
          <w:tcPr>
            <w:tcW w:type="dxa" w:w="2160"/>
          </w:tcPr>
          <w:p>
            <w:r>
              <w:t>**Total**</w:t>
            </w:r>
          </w:p>
        </w:tc>
        <w:tc>
          <w:tcPr>
            <w:tcW w:type="dxa" w:w="2160"/>
          </w:tcPr>
          <w:p>
            <w:r>
              <w:t>**X**</w:t>
            </w:r>
          </w:p>
        </w:tc>
        <w:tc>
          <w:tcPr>
            <w:tcW w:type="dxa" w:w="2160"/>
          </w:tcPr>
          <w:p>
            <w:r>
              <w:t>**X**</w:t>
            </w:r>
          </w:p>
        </w:tc>
        <w:tc>
          <w:tcPr>
            <w:tcW w:type="dxa" w:w="2160"/>
          </w:tcPr>
          <w:p>
            <w:r>
              <w:t>Reserve 15–20% for contingencies</w:t>
            </w:r>
          </w:p>
        </w:tc>
      </w:tr>
    </w:tbl>
    <w:p>
      <w:r>
        <w:rPr>
          <w:i/>
        </w:rPr>
        <w:t>Download Annual Marketing Budget Template; populate with your figures.</w:t>
      </w:r>
    </w:p>
    <w:p/>
    <w:p>
      <w:pPr>
        <w:pStyle w:val="Heading1"/>
      </w:pPr>
      <w:r>
        <w:t>Pricing Strategy Worksheet</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Pricing strategy (e.g., value-based, cost-plus)</w:t>
            </w:r>
          </w:p>
        </w:tc>
        <w:tc>
          <w:tcPr>
            <w:tcW w:type="dxa" w:w="4320"/>
          </w:tcPr>
          <w:p>
            <w:r>
              <w:t>[e.g., Value-based: tied to customer’s OpEx savings and risk reduction]</w:t>
            </w:r>
          </w:p>
        </w:tc>
      </w:tr>
      <w:tr>
        <w:tc>
          <w:tcPr>
            <w:tcW w:type="dxa" w:w="4320"/>
          </w:tcPr>
          <w:p>
            <w:r>
              <w:t>vs. competitors</w:t>
            </w:r>
          </w:p>
        </w:tc>
        <w:tc>
          <w:tcPr>
            <w:tcW w:type="dxa" w:w="4320"/>
          </w:tcPr>
          <w:p>
            <w:r>
              <w:t>Lower than IBM/Oracle/Accenture; comparable or premium to pure open-source (with support)</w:t>
            </w:r>
          </w:p>
        </w:tc>
      </w:tr>
      <w:tr>
        <w:tc>
          <w:tcPr>
            <w:tcW w:type="dxa" w:w="4320"/>
          </w:tcPr>
          <w:p>
            <w:r>
              <w:t>Importance of price to customer</w:t>
            </w:r>
          </w:p>
        </w:tc>
        <w:tc>
          <w:tcPr>
            <w:tcW w:type="dxa" w:w="4320"/>
          </w:tcPr>
          <w:p>
            <w:r>
              <w:t>High for TCO; not only lowest price—outcomes and risk matter</w:t>
            </w:r>
          </w:p>
        </w:tc>
      </w:tr>
      <w:tr>
        <w:tc>
          <w:tcPr>
            <w:tcW w:type="dxa" w:w="4320"/>
          </w:tcPr>
          <w:p>
            <w:r>
              <w:t>Customer service and credit</w:t>
            </w:r>
          </w:p>
        </w:tc>
        <w:tc>
          <w:tcPr>
            <w:tcW w:type="dxa" w:w="4320"/>
          </w:tcPr>
          <w:p>
            <w:r>
              <w:t>Standard payment terms (e.g., 30 days); pilot: milestone-based or monthly; credit check for large deals</w:t>
            </w:r>
          </w:p>
        </w:tc>
      </w:tr>
      <w:tr>
        <w:tc>
          <w:tcPr>
            <w:tcW w:type="dxa" w:w="4320"/>
          </w:tcPr>
          <w:p>
            <w:r>
              <w:t>Discount policy</w:t>
            </w:r>
          </w:p>
        </w:tc>
        <w:tc>
          <w:tcPr>
            <w:tcW w:type="dxa" w:w="4320"/>
          </w:tcPr>
          <w:p>
            <w:r>
              <w:t>Pilot discount; multi-year or multi-line discount; partner-led discount</w:t>
            </w:r>
          </w:p>
        </w:tc>
      </w:tr>
    </w:tbl>
    <w:p/>
    <w:p>
      <w:pPr>
        <w:pStyle w:val="Heading1"/>
      </w:pPr>
      <w:r>
        <w:t>Location or proposed location</w:t>
      </w:r>
    </w:p>
    <w:p>
      <w:r>
        <w:t>[Insert: Headquarters and/or main delivery location. If not chosen: criteria—e.g., access to talent (SAP, insurance), time zone for UK/continental Europe, legal and tax (EU/UK).]</w:t>
      </w:r>
    </w:p>
    <w:p/>
    <w:p>
      <w:pPr>
        <w:pStyle w:val="Heading1"/>
      </w:pPr>
      <w:r>
        <w:t>Distribution Channel Assessment Worksheet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Channel</w:t>
            </w:r>
          </w:p>
        </w:tc>
        <w:tc>
          <w:tcPr>
            <w:tcW w:type="dxa" w:w="2160"/>
          </w:tcPr>
          <w:p>
            <w:r>
              <w:t>Pros</w:t>
            </w:r>
          </w:p>
        </w:tc>
        <w:tc>
          <w:tcPr>
            <w:tcW w:type="dxa" w:w="2160"/>
          </w:tcPr>
          <w:p>
            <w:r>
              <w:t>Cons</w:t>
            </w:r>
          </w:p>
        </w:tc>
        <w:tc>
          <w:tcPr>
            <w:tcW w:type="dxa" w:w="2160"/>
          </w:tcPr>
          <w:p>
            <w:r>
              <w:t>Use (Y/N)</w:t>
            </w:r>
          </w:p>
        </w:tc>
      </w:tr>
      <w:tr>
        <w:tc>
          <w:tcPr>
            <w:tcW w:type="dxa" w:w="2160"/>
          </w:tcPr>
          <w:p>
            <w:r>
              <w:t>Direct sales</w:t>
            </w:r>
          </w:p>
        </w:tc>
        <w:tc>
          <w:tcPr>
            <w:tcW w:type="dxa" w:w="2160"/>
          </w:tcPr>
          <w:p>
            <w:r>
              <w:t>Control; margin; relationship</w:t>
            </w:r>
          </w:p>
        </w:tc>
        <w:tc>
          <w:tcPr>
            <w:tcW w:type="dxa" w:w="2160"/>
          </w:tcPr>
          <w:p>
            <w:r>
              <w:t>Cost; scale</w:t>
            </w:r>
          </w:p>
        </w:tc>
        <w:tc>
          <w:tcPr>
            <w:tcW w:type="dxa" w:w="2160"/>
          </w:tcPr>
          <w:p>
            <w:r>
              <w:t>Y (key accounts and pilots)</w:t>
            </w:r>
          </w:p>
        </w:tc>
      </w:tr>
      <w:tr>
        <w:tc>
          <w:tcPr>
            <w:tcW w:type="dxa" w:w="2160"/>
          </w:tcPr>
          <w:p>
            <w:r>
              <w:t>SI / partner</w:t>
            </w:r>
          </w:p>
        </w:tc>
        <w:tc>
          <w:tcPr>
            <w:tcW w:type="dxa" w:w="2160"/>
          </w:tcPr>
          <w:p>
            <w:r>
              <w:t>Reach; credibility; local presence</w:t>
            </w:r>
          </w:p>
        </w:tc>
        <w:tc>
          <w:tcPr>
            <w:tcW w:type="dxa" w:w="2160"/>
          </w:tcPr>
          <w:p>
            <w:r>
              <w:t>Margin share; dependency</w:t>
            </w:r>
          </w:p>
        </w:tc>
        <w:tc>
          <w:tcPr>
            <w:tcW w:type="dxa" w:w="2160"/>
          </w:tcPr>
          <w:p>
            <w:r>
              <w:t>Y (scale and geographic cover)</w:t>
            </w:r>
          </w:p>
        </w:tc>
      </w:tr>
      <w:tr>
        <w:tc>
          <w:tcPr>
            <w:tcW w:type="dxa" w:w="2160"/>
          </w:tcPr>
          <w:p>
            <w:r>
              <w:t>OEM / SAP</w:t>
            </w:r>
          </w:p>
        </w:tc>
        <w:tc>
          <w:tcPr>
            <w:tcW w:type="dxa" w:w="2160"/>
          </w:tcPr>
          <w:p>
            <w:r>
              <w:t>Volume; brand</w:t>
            </w:r>
          </w:p>
        </w:tc>
        <w:tc>
          <w:tcPr>
            <w:tcW w:type="dxa" w:w="2160"/>
          </w:tcPr>
          <w:p>
            <w:r>
              <w:t>Dependency; terms</w:t>
            </w:r>
          </w:p>
        </w:tc>
        <w:tc>
          <w:tcPr>
            <w:tcW w:type="dxa" w:w="2160"/>
          </w:tcPr>
          <w:p>
            <w:r>
              <w:t>Optional (if partnership)</w:t>
            </w:r>
          </w:p>
        </w:tc>
      </w:tr>
      <w:tr>
        <w:tc>
          <w:tcPr>
            <w:tcW w:type="dxa" w:w="2160"/>
          </w:tcPr>
          <w:p>
            <w:r>
              <w:t>Online / self-serve</w:t>
            </w:r>
          </w:p>
        </w:tc>
        <w:tc>
          <w:tcPr>
            <w:tcW w:type="dxa" w:w="2160"/>
          </w:tcPr>
          <w:p>
            <w:r>
              <w:t>Scale; low touch</w:t>
            </w:r>
          </w:p>
        </w:tc>
        <w:tc>
          <w:tcPr>
            <w:tcW w:type="dxa" w:w="2160"/>
          </w:tcPr>
          <w:p>
            <w:r>
              <w:t>Less fit for enterprise insurance</w:t>
            </w:r>
          </w:p>
        </w:tc>
        <w:tc>
          <w:tcPr>
            <w:tcW w:type="dxa" w:w="2160"/>
          </w:tcPr>
          <w:p>
            <w:r>
              <w:t>N or later (e.g., assessment tools)</w:t>
            </w:r>
          </w:p>
        </w:tc>
      </w:tr>
    </w:tbl>
    <w:p>
      <w:r>
        <w:rPr>
          <w:i/>
        </w:rPr>
        <w:t>Strategic partnerships: [e.g., SAP, one or two European SIs, cloud provider].</w:t>
      </w:r>
    </w:p>
    <w:p/>
    <w:p>
      <w:pPr>
        <w:pStyle w:val="Heading1"/>
      </w:pPr>
      <w:r>
        <w:t>12-month sales forecast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Month</w:t>
            </w:r>
          </w:p>
        </w:tc>
        <w:tc>
          <w:tcPr>
            <w:tcW w:type="dxa" w:w="2160"/>
          </w:tcPr>
          <w:p>
            <w:r>
              <w:t>Best guess (€)</w:t>
            </w:r>
          </w:p>
        </w:tc>
        <w:tc>
          <w:tcPr>
            <w:tcW w:type="dxa" w:w="2160"/>
          </w:tcPr>
          <w:p>
            <w:r>
              <w:t>Worst case (€)</w:t>
            </w:r>
          </w:p>
        </w:tc>
        <w:tc>
          <w:tcPr>
            <w:tcW w:type="dxa" w:w="2160"/>
          </w:tcPr>
          <w:p>
            <w:r>
              <w:t>Notes</w:t>
            </w:r>
          </w:p>
        </w:tc>
      </w:tr>
      <w:tr>
        <w:tc>
          <w:tcPr>
            <w:tcW w:type="dxa" w:w="2160"/>
          </w:tcPr>
          <w:p>
            <w:r>
              <w:t>1–3</w:t>
            </w:r>
          </w:p>
        </w:tc>
        <w:tc>
          <w:tcPr>
            <w:tcW w:type="dxa" w:w="2160"/>
          </w:tcPr>
          <w:p>
            <w:r>
              <w:t>X</w:t>
            </w:r>
          </w:p>
        </w:tc>
        <w:tc>
          <w:tcPr>
            <w:tcW w:type="dxa" w:w="2160"/>
          </w:tcPr>
          <w:p>
            <w:r>
              <w:t>X</w:t>
            </w:r>
          </w:p>
        </w:tc>
        <w:tc>
          <w:tcPr>
            <w:tcW w:type="dxa" w:w="2160"/>
          </w:tcPr>
          <w:p>
            <w:r>
              <w:t>Pipeline and first pilot signature</w:t>
            </w:r>
          </w:p>
        </w:tc>
      </w:tr>
      <w:tr>
        <w:tc>
          <w:tcPr>
            <w:tcW w:type="dxa" w:w="2160"/>
          </w:tcPr>
          <w:p>
            <w:r>
              <w:t>4–6</w:t>
            </w:r>
          </w:p>
        </w:tc>
        <w:tc>
          <w:tcPr>
            <w:tcW w:type="dxa" w:w="2160"/>
          </w:tcPr>
          <w:p>
            <w:r>
              <w:t>X</w:t>
            </w:r>
          </w:p>
        </w:tc>
        <w:tc>
          <w:tcPr>
            <w:tcW w:type="dxa" w:w="2160"/>
          </w:tcPr>
          <w:p>
            <w:r>
              <w:t>X</w:t>
            </w:r>
          </w:p>
        </w:tc>
        <w:tc>
          <w:tcPr>
            <w:tcW w:type="dxa" w:w="2160"/>
          </w:tcPr>
          <w:p>
            <w:r>
              <w:t>Second pilot; first go-live</w:t>
            </w:r>
          </w:p>
        </w:tc>
      </w:tr>
      <w:tr>
        <w:tc>
          <w:tcPr>
            <w:tcW w:type="dxa" w:w="2160"/>
          </w:tcPr>
          <w:p>
            <w:r>
              <w:t>7–9</w:t>
            </w:r>
          </w:p>
        </w:tc>
        <w:tc>
          <w:tcPr>
            <w:tcW w:type="dxa" w:w="2160"/>
          </w:tcPr>
          <w:p>
            <w:r>
              <w:t>X</w:t>
            </w:r>
          </w:p>
        </w:tc>
        <w:tc>
          <w:tcPr>
            <w:tcW w:type="dxa" w:w="2160"/>
          </w:tcPr>
          <w:p>
            <w:r>
              <w:t>X</w:t>
            </w:r>
          </w:p>
        </w:tc>
        <w:tc>
          <w:tcPr>
            <w:tcW w:type="dxa" w:w="2160"/>
          </w:tcPr>
          <w:p>
            <w:r>
              <w:t>Recurring revenue from first customers</w:t>
            </w:r>
          </w:p>
        </w:tc>
      </w:tr>
      <w:tr>
        <w:tc>
          <w:tcPr>
            <w:tcW w:type="dxa" w:w="2160"/>
          </w:tcPr>
          <w:p>
            <w:r>
              <w:t>10–12</w:t>
            </w:r>
          </w:p>
        </w:tc>
        <w:tc>
          <w:tcPr>
            <w:tcW w:type="dxa" w:w="2160"/>
          </w:tcPr>
          <w:p>
            <w:r>
              <w:t>X</w:t>
            </w:r>
          </w:p>
        </w:tc>
        <w:tc>
          <w:tcPr>
            <w:tcW w:type="dxa" w:w="2160"/>
          </w:tcPr>
          <w:p>
            <w:r>
              <w:t>X</w:t>
            </w:r>
          </w:p>
        </w:tc>
        <w:tc>
          <w:tcPr>
            <w:tcW w:type="dxa" w:w="2160"/>
          </w:tcPr>
          <w:p>
            <w:r>
              <w:t>New deals and expansion</w:t>
            </w:r>
          </w:p>
        </w:tc>
      </w:tr>
      <w:tr>
        <w:tc>
          <w:tcPr>
            <w:tcW w:type="dxa" w:w="2160"/>
          </w:tcPr>
          <w:p>
            <w:r>
              <w:t>**Year 1 total**</w:t>
            </w:r>
          </w:p>
        </w:tc>
        <w:tc>
          <w:tcPr>
            <w:tcW w:type="dxa" w:w="2160"/>
          </w:tcPr>
          <w:p>
            <w:r>
              <w:t>**X**</w:t>
            </w:r>
          </w:p>
        </w:tc>
        <w:tc>
          <w:tcPr>
            <w:tcW w:type="dxa" w:w="2160"/>
          </w:tcPr>
          <w:p>
            <w:r>
              <w:t>**X**</w:t>
            </w:r>
          </w:p>
        </w:tc>
        <w:tc>
          <w:tcPr>
            <w:tcW w:type="dxa" w:w="2160"/>
          </w:tcPr>
          <w:p>
            <w:r>
              <w:t>[Document assumptions: e.g., 1–2 pilots at €X each; support €Y]</w:t>
            </w:r>
          </w:p>
        </w:tc>
      </w:tr>
    </w:tbl>
    <w:p>
      <w:r>
        <w:rPr>
          <w:i/>
        </w:rPr>
        <w:t>Download Sales Forecast spreadsheet; keep notes on research and assumptions for lenders/investors.</w:t>
      </w:r>
    </w:p>
    <w:p/>
    <w:p>
      <w:pPr>
        <w:pStyle w:val="Title"/>
      </w:pPr>
      <w:r>
        <w:t>V. Operational Plan</w:t>
      </w:r>
    </w:p>
    <w:p>
      <w:r>
        <w:rPr>
          <w:i/>
        </w:rPr>
        <w:t>*Production / delivery*</w:t>
      </w:r>
    </w:p>
    <w:p>
      <w:pPr>
        <w:pStyle w:val="ListBullet"/>
      </w:pPr>
      <w:r/>
      <w:r>
        <w:rPr>
          <w:b/>
        </w:rPr>
        <w:t>Product:</w:t>
      </w:r>
      <w:r>
        <w:t xml:space="preserve"> Software developed and tested (ABAP, integration components, documentation); releases and support via [e.g., versioned releases, support portal].</w:t>
      </w:r>
    </w:p>
    <w:p>
      <w:pPr>
        <w:pStyle w:val="ListBullet"/>
      </w:pPr>
      <w:r/>
      <w:r>
        <w:rPr>
          <w:b/>
        </w:rPr>
        <w:t>Services:</w:t>
      </w:r>
      <w:r>
        <w:t xml:space="preserve"> Delivery using defined methodology (discovery → design → build → test → cutover); project management and quality gates.</w:t>
      </w:r>
    </w:p>
    <w:p>
      <w:pPr>
        <w:pStyle w:val="ListBullet"/>
      </w:pPr>
      <w:r/>
      <w:r>
        <w:rPr>
          <w:b/>
        </w:rPr>
        <w:t>Equipment and tools:</w:t>
      </w:r>
      <w:r>
        <w:t xml:space="preserve"> Development and test environments; collaboration and support tools; [e.g., cloud or on-prem for demo and support].</w:t>
      </w:r>
    </w:p>
    <w:p>
      <w:r>
        <w:rPr>
          <w:i/>
        </w:rPr>
        <w:t>*Quality control*</w:t>
      </w:r>
    </w:p>
    <w:p>
      <w:pPr>
        <w:pStyle w:val="ListBullet"/>
      </w:pPr>
      <w:r>
        <w:t>Code and release reviews; automated tests where applicable.</w:t>
      </w:r>
    </w:p>
    <w:p>
      <w:pPr>
        <w:pStyle w:val="ListBullet"/>
      </w:pPr>
      <w:r>
        <w:t>Delivery: sign-off at each phase; UAT with customer; post-go-live review and lessons learned.</w:t>
      </w:r>
    </w:p>
    <w:p>
      <w:pPr>
        <w:pStyle w:val="ListBullet"/>
      </w:pPr>
      <w:r>
        <w:t>Support: SLA (response and resolution); escalation path.</w:t>
      </w:r>
    </w:p>
    <w:p>
      <w:r/>
      <w:r>
        <w:rPr>
          <w:b/>
        </w:rPr>
        <w:t>Location</w:t>
      </w:r>
    </w:p>
    <w:p>
      <w:r>
        <w:t>[Insert: Office address; size; type (e.g., commercial); zoning; accessibility; rent, utilities, insurance, build-out. If remote-first: primary jurisdiction and any physical presence.]</w:t>
      </w:r>
    </w:p>
    <w:p>
      <w:r>
        <w:rPr>
          <w:i/>
        </w:rPr>
        <w:t>*Legal environment*</w:t>
      </w:r>
    </w:p>
    <w:p>
      <w:pPr>
        <w:pStyle w:val="ListBullet"/>
      </w:pPr>
      <w:r/>
      <w:r>
        <w:rPr>
          <w:b/>
        </w:rPr>
        <w:t>Licences/permits:</w:t>
      </w:r>
      <w:r>
        <w:t xml:space="preserve"> [e.g., business registration; any sector-specific authorisation.]</w:t>
      </w:r>
    </w:p>
    <w:p>
      <w:pPr>
        <w:pStyle w:val="ListBullet"/>
      </w:pPr>
      <w:r/>
      <w:r>
        <w:rPr>
          <w:b/>
        </w:rPr>
        <w:t>IP:</w:t>
      </w:r>
      <w:r>
        <w:t xml:space="preserve"> [e.g., trademarks, patents pending or granted—see Appendices.]</w:t>
      </w:r>
    </w:p>
    <w:p>
      <w:pPr>
        <w:pStyle w:val="ListBullet"/>
      </w:pPr>
      <w:r/>
      <w:r>
        <w:rPr>
          <w:b/>
        </w:rPr>
        <w:t>Insurance:</w:t>
      </w:r>
      <w:r>
        <w:t xml:space="preserve"> [e.g., PI, D&amp;O, cyber; amounts.]</w:t>
      </w:r>
    </w:p>
    <w:p>
      <w:pPr>
        <w:pStyle w:val="ListBullet"/>
      </w:pPr>
      <w:r/>
      <w:r>
        <w:rPr>
          <w:b/>
        </w:rPr>
        <w:t>Regulation:</w:t>
      </w:r>
      <w:r>
        <w:t xml:space="preserve"> Compliance with GDPR (if processing personal data); alignment with customer regulatory context (Solvency II, etc.).</w:t>
      </w:r>
    </w:p>
    <w:p>
      <w:pPr>
        <w:pStyle w:val="ListBullet"/>
      </w:pPr>
      <w:r/>
      <w:r>
        <w:rPr>
          <w:b/>
        </w:rPr>
        <w:t>Contracts:</w:t>
      </w:r>
      <w:r>
        <w:t xml:space="preserve"> Standard terms for licence, services, support; DPA and security annex where required.</w:t>
      </w:r>
    </w:p>
    <w:p>
      <w:r/>
      <w:r>
        <w:rPr>
          <w:b/>
        </w:rPr>
        <w:t>Personnel</w:t>
      </w:r>
    </w:p>
    <w:p>
      <w:pPr>
        <w:pStyle w:val="ListBullet"/>
      </w:pPr>
      <w:r/>
      <w:r>
        <w:rPr>
          <w:b/>
        </w:rPr>
        <w:t>Types:</w:t>
      </w:r>
      <w:r>
        <w:t xml:space="preserve"> Product/engineering, delivery, sales, marketing, operations/admin.</w:t>
      </w:r>
    </w:p>
    <w:p>
      <w:pPr>
        <w:pStyle w:val="ListBullet"/>
      </w:pPr>
      <w:r/>
      <w:r>
        <w:rPr>
          <w:b/>
        </w:rPr>
        <w:t>Numbers:</w:t>
      </w:r>
      <w:r>
        <w:t xml:space="preserve"> [e.g., Year 1: 5–8 FTE; Year 2: 10–15.]</w:t>
      </w:r>
    </w:p>
    <w:p>
      <w:pPr>
        <w:pStyle w:val="ListBullet"/>
      </w:pPr>
      <w:r/>
      <w:r>
        <w:rPr>
          <w:b/>
        </w:rPr>
        <w:t>Freelancers/contractors:</w:t>
      </w:r>
      <w:r>
        <w:t xml:space="preserve"> [e.g., for peak delivery or specialist skills.]</w:t>
      </w:r>
    </w:p>
    <w:p>
      <w:pPr>
        <w:pStyle w:val="ListBullet"/>
      </w:pPr>
      <w:r/>
      <w:r>
        <w:rPr>
          <w:b/>
        </w:rPr>
        <w:t>Job descriptions:</w:t>
      </w:r>
      <w:r>
        <w:t xml:space="preserve"> [Attach or summarise in Appendices.]</w:t>
      </w:r>
    </w:p>
    <w:p>
      <w:pPr>
        <w:pStyle w:val="ListBullet"/>
      </w:pPr>
      <w:r/>
      <w:r>
        <w:rPr>
          <w:b/>
        </w:rPr>
        <w:t>Pay structure:</w:t>
      </w:r>
      <w:r>
        <w:t xml:space="preserve"> [e.g., salary; commission for sales; bonuses tied to milestones.]</w:t>
      </w:r>
    </w:p>
    <w:p>
      <w:pPr>
        <w:pStyle w:val="ListBullet"/>
      </w:pPr>
      <w:r/>
      <w:r>
        <w:rPr>
          <w:b/>
        </w:rPr>
        <w:t>Recruitment:</w:t>
      </w:r>
      <w:r>
        <w:t xml:space="preserve"> [e.g., LinkedIn, referrals, agencies.]</w:t>
      </w:r>
    </w:p>
    <w:p>
      <w:pPr>
        <w:pStyle w:val="ListBullet"/>
      </w:pPr>
      <w:r/>
      <w:r>
        <w:rPr>
          <w:b/>
        </w:rPr>
        <w:t>Training:</w:t>
      </w:r>
      <w:r>
        <w:t xml:space="preserve"> Onboarding (product, delivery, compliance); ongoing (product updates, security).</w:t>
      </w:r>
    </w:p>
    <w:p>
      <w:r/>
      <w:r>
        <w:rPr>
          <w:b/>
        </w:rPr>
        <w:t>Inventory</w:t>
      </w:r>
    </w:p>
    <w:p>
      <w:r>
        <w:t>Not applicable (software and services). If any: [e.g., hardware for demo or hosting—list and value.]</w:t>
      </w:r>
    </w:p>
    <w:p>
      <w:r/>
      <w:r>
        <w:rPr>
          <w:b/>
        </w:rPr>
        <w:t>Suppliers</w:t>
      </w:r>
    </w:p>
    <w:p>
      <w:pPr>
        <w:pStyle w:val="ListBullet"/>
      </w:pPr>
      <w:r/>
      <w:r>
        <w:rPr>
          <w:b/>
        </w:rPr>
        <w:t>Technology:</w:t>
      </w:r>
      <w:r>
        <w:t xml:space="preserve"> [e.g., cloud provider, SAP (if applicable), tools.]</w:t>
      </w:r>
    </w:p>
    <w:p>
      <w:pPr>
        <w:pStyle w:val="ListBullet"/>
      </w:pPr>
      <w:r/>
      <w:r>
        <w:rPr>
          <w:b/>
        </w:rPr>
        <w:t>Other:</w:t>
      </w:r>
      <w:r>
        <w:t xml:space="preserve"> [e.g., legal, accounting, insurance broker.]</w:t>
      </w:r>
    </w:p>
    <w:p>
      <w:r>
        <w:t>Credit and delivery terms; backup or alternative where critical; handling of cost changes.</w:t>
      </w:r>
    </w:p>
    <w:p>
      <w:r>
        <w:rPr>
          <w:i/>
        </w:rPr>
        <w:t>*Credit policies*</w:t>
      </w:r>
    </w:p>
    <w:p>
      <w:r>
        <w:t>[If you extend credit to customers:] Typical in B2B; terms [e.g., 30 days net]; credit check for new customers above €X; follow-up at X days; escalation to legal/collections at Y days. Cost of credit built into pricing.</w:t>
      </w:r>
    </w:p>
    <w:p/>
    <w:p>
      <w:pPr>
        <w:pStyle w:val="Title"/>
      </w:pPr>
      <w:r>
        <w:t>VI. Management &amp; Organization</w:t>
      </w:r>
    </w:p>
    <w:p>
      <w:pPr>
        <w:pStyle w:val="Heading1"/>
      </w:pPr>
      <w:r>
        <w:t>Management Worksheet</w:t>
      </w:r>
    </w:p>
    <w:p>
      <w:r>
        <w:rPr>
          <w:i/>
        </w:rPr>
        <w:t>*Owner(s) and key employees – brief bios*</w:t>
      </w:r>
    </w:p>
    <w:p>
      <w:r>
        <w:t>[For each: name, role, 2–3 sentences on relevant experience (SAP, insurance, data migration, scaling a business). Focus on what prepares them for this venture. Full resumes in Appendices.]</w:t>
      </w:r>
    </w:p>
    <w:p>
      <w:r/>
      <w:r>
        <w:rPr>
          <w:b/>
        </w:rPr>
        <w:t>Gaps</w:t>
      </w:r>
    </w:p>
    <w:p>
      <w:r>
        <w:t>[e.g., Lack of in-house sales leader: hire by Month X or use interim/partner. Lack of regulatory depth: retain advisor or legal with insurance experience.]</w:t>
      </w:r>
    </w:p>
    <w:p>
      <w:r/>
      <w:r>
        <w:rPr>
          <w:b/>
        </w:rPr>
        <w:t>Advisors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 / firm</w:t>
            </w:r>
          </w:p>
        </w:tc>
        <w:tc>
          <w:tcPr>
            <w:tcW w:type="dxa" w:w="2880"/>
          </w:tcPr>
          <w:p>
            <w:r>
              <w:t>Relevance</w:t>
            </w:r>
          </w:p>
        </w:tc>
      </w:tr>
      <w:tr>
        <w:tc>
          <w:tcPr>
            <w:tcW w:type="dxa" w:w="2880"/>
          </w:tcPr>
          <w:p>
            <w:r>
              <w:t>Attorney</w:t>
            </w:r>
          </w:p>
        </w:tc>
        <w:tc>
          <w:tcPr>
            <w:tcW w:type="dxa" w:w="2880"/>
          </w:tcPr>
          <w:p>
            <w:r>
              <w:t>[Insert]</w:t>
            </w:r>
          </w:p>
        </w:tc>
        <w:tc>
          <w:tcPr>
            <w:tcW w:type="dxa" w:w="2880"/>
          </w:tcPr>
          <w:p>
            <w:r>
              <w:t>Contracts, IP, corporate</w:t>
            </w:r>
          </w:p>
        </w:tc>
      </w:tr>
      <w:tr>
        <w:tc>
          <w:tcPr>
            <w:tcW w:type="dxa" w:w="2880"/>
          </w:tcPr>
          <w:p>
            <w:r>
              <w:t>Accountant</w:t>
            </w:r>
          </w:p>
        </w:tc>
        <w:tc>
          <w:tcPr>
            <w:tcW w:type="dxa" w:w="2880"/>
          </w:tcPr>
          <w:p>
            <w:r>
              <w:t>[Insert]</w:t>
            </w:r>
          </w:p>
        </w:tc>
        <w:tc>
          <w:tcPr>
            <w:tcW w:type="dxa" w:w="2880"/>
          </w:tcPr>
          <w:p>
            <w:r>
              <w:t>Financials, tax</w:t>
            </w:r>
          </w:p>
        </w:tc>
      </w:tr>
      <w:tr>
        <w:tc>
          <w:tcPr>
            <w:tcW w:type="dxa" w:w="2880"/>
          </w:tcPr>
          <w:p>
            <w:r>
              <w:t>Board / advisory board</w:t>
            </w:r>
          </w:p>
        </w:tc>
        <w:tc>
          <w:tcPr>
            <w:tcW w:type="dxa" w:w="2880"/>
          </w:tcPr>
          <w:p>
            <w:r>
              <w:t>[Insert]</w:t>
            </w:r>
          </w:p>
        </w:tc>
        <w:tc>
          <w:tcPr>
            <w:tcW w:type="dxa" w:w="2880"/>
          </w:tcPr>
          <w:p>
            <w:r>
              <w:t>Strategy, industry, fundraising</w:t>
            </w:r>
          </w:p>
        </w:tc>
      </w:tr>
      <w:tr>
        <w:tc>
          <w:tcPr>
            <w:tcW w:type="dxa" w:w="2880"/>
          </w:tcPr>
          <w:p>
            <w:r>
              <w:t>Insurance agent</w:t>
            </w:r>
          </w:p>
        </w:tc>
        <w:tc>
          <w:tcPr>
            <w:tcW w:type="dxa" w:w="2880"/>
          </w:tcPr>
          <w:p>
            <w:r>
              <w:t>[Insert]</w:t>
            </w:r>
          </w:p>
        </w:tc>
        <w:tc>
          <w:tcPr>
            <w:tcW w:type="dxa" w:w="2880"/>
          </w:tcPr>
          <w:p>
            <w:r>
              <w:t>PI, D&amp;O, cyber</w:t>
            </w:r>
          </w:p>
        </w:tc>
      </w:tr>
      <w:tr>
        <w:tc>
          <w:tcPr>
            <w:tcW w:type="dxa" w:w="2880"/>
          </w:tcPr>
          <w:p>
            <w:r>
              <w:t>Banker</w:t>
            </w:r>
          </w:p>
        </w:tc>
        <w:tc>
          <w:tcPr>
            <w:tcW w:type="dxa" w:w="2880"/>
          </w:tcPr>
          <w:p>
            <w:r>
              <w:t>[Insert]</w:t>
            </w:r>
          </w:p>
        </w:tc>
        <w:tc>
          <w:tcPr>
            <w:tcW w:type="dxa" w:w="2880"/>
          </w:tcPr>
          <w:p>
            <w:r>
              <w:t>Banking, debt</w:t>
            </w:r>
          </w:p>
        </w:tc>
      </w:tr>
      <w:tr>
        <w:tc>
          <w:tcPr>
            <w:tcW w:type="dxa" w:w="2880"/>
          </w:tcPr>
          <w:p>
            <w:r>
              <w:t>Mentor / other</w:t>
            </w:r>
          </w:p>
        </w:tc>
        <w:tc>
          <w:tcPr>
            <w:tcW w:type="dxa" w:w="2880"/>
          </w:tcPr>
          <w:p>
            <w:r>
              <w:t>[Insert]</w:t>
            </w:r>
          </w:p>
        </w:tc>
        <w:tc>
          <w:tcPr>
            <w:tcW w:type="dxa" w:w="2880"/>
          </w:tcPr>
          <w:p>
            <w:r>
              <w:t>[e.g., former insurer CIO, SAP executive]</w:t>
            </w:r>
          </w:p>
        </w:tc>
      </w:tr>
    </w:tbl>
    <w:p/>
    <w:p>
      <w:pPr>
        <w:pStyle w:val="Heading1"/>
      </w:pPr>
      <w:r>
        <w:t>Organization Chart</w:t>
      </w:r>
    </w:p>
    <w:p>
      <w:pPr/>
      <w:r>
        <w:rPr>
          <w:rFonts w:ascii="Consolas" w:hAnsi="Consolas"/>
          <w:sz w:val="18"/>
        </w:rPr>
        <w:t xml:space="preserve">                    [CEO / Founder]</w:t>
        <w:br/>
        <w:t xml:space="preserve">                           |</w:t>
        <w:br/>
        <w:t xml:space="preserve">        +------------------+------------------+</w:t>
        <w:br/>
        <w:t xml:space="preserve">        |                  |                  |</w:t>
        <w:br/>
        <w:t xml:space="preserve">   [Product/Eng]    [Delivery/CS]      [Sales/Marketing]</w:t>
        <w:br/>
        <w:t xml:space="preserve">        |                  |                  |</w:t>
        <w:br/>
        <w:t xml:space="preserve">   [Dev 1, 2]        [PM, Consultants]   [Sales, Marketing]</w:t>
      </w:r>
    </w:p>
    <w:p>
      <w:r>
        <w:rPr>
          <w:i/>
        </w:rPr>
        <w:t>[Adjust titles and roles to your structure; include roles to be filled.]</w:t>
      </w:r>
    </w:p>
    <w:p/>
    <w:p>
      <w:pPr>
        <w:pStyle w:val="Title"/>
      </w:pPr>
      <w:r>
        <w:t>VII. Startup Expenses &amp; Capitalization</w:t>
      </w:r>
    </w:p>
    <w:p>
      <w:r>
        <w:rPr>
          <w:i/>
        </w:rPr>
        <w:t>*Start-up expenses*</w:t>
      </w:r>
    </w:p>
    <w:p>
      <w:r>
        <w:t>[Use Start-Up Expenses template. Summarise below.]</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Amount (€)</w:t>
            </w:r>
          </w:p>
        </w:tc>
        <w:tc>
          <w:tcPr>
            <w:tcW w:type="dxa" w:w="2880"/>
          </w:tcPr>
          <w:p>
            <w:r>
              <w:t>Assumptions</w:t>
            </w:r>
          </w:p>
        </w:tc>
      </w:tr>
      <w:tr>
        <w:tc>
          <w:tcPr>
            <w:tcW w:type="dxa" w:w="2880"/>
          </w:tcPr>
          <w:p>
            <w:r>
              <w:t>Product development</w:t>
            </w:r>
          </w:p>
        </w:tc>
        <w:tc>
          <w:tcPr>
            <w:tcW w:type="dxa" w:w="2880"/>
          </w:tcPr>
          <w:p>
            <w:r>
              <w:t>X</w:t>
            </w:r>
          </w:p>
        </w:tc>
        <w:tc>
          <w:tcPr>
            <w:tcW w:type="dxa" w:w="2880"/>
          </w:tcPr>
          <w:p>
            <w:r>
              <w:t>Salaries, tools, hosting for 12 months</w:t>
            </w:r>
          </w:p>
        </w:tc>
      </w:tr>
      <w:tr>
        <w:tc>
          <w:tcPr>
            <w:tcW w:type="dxa" w:w="2880"/>
          </w:tcPr>
          <w:p>
            <w:r>
              <w:t>Sales and marketing</w:t>
            </w:r>
          </w:p>
        </w:tc>
        <w:tc>
          <w:tcPr>
            <w:tcW w:type="dxa" w:w="2880"/>
          </w:tcPr>
          <w:p>
            <w:r>
              <w:t>X</w:t>
            </w:r>
          </w:p>
        </w:tc>
        <w:tc>
          <w:tcPr>
            <w:tcW w:type="dxa" w:w="2880"/>
          </w:tcPr>
          <w:p>
            <w:r>
              <w:t>First year (website, events, 1–2 FTE or agency)</w:t>
            </w:r>
          </w:p>
        </w:tc>
      </w:tr>
      <w:tr>
        <w:tc>
          <w:tcPr>
            <w:tcW w:type="dxa" w:w="2880"/>
          </w:tcPr>
          <w:p>
            <w:r>
              <w:t>Legal and incorporation</w:t>
            </w:r>
          </w:p>
        </w:tc>
        <w:tc>
          <w:tcPr>
            <w:tcW w:type="dxa" w:w="2880"/>
          </w:tcPr>
          <w:p>
            <w:r>
              <w:t>X</w:t>
            </w:r>
          </w:p>
        </w:tc>
        <w:tc>
          <w:tcPr>
            <w:tcW w:type="dxa" w:w="2880"/>
          </w:tcPr>
          <w:p>
            <w:r>
              <w:t>Setup, IP, contracts</w:t>
            </w:r>
          </w:p>
        </w:tc>
      </w:tr>
      <w:tr>
        <w:tc>
          <w:tcPr>
            <w:tcW w:type="dxa" w:w="2880"/>
          </w:tcPr>
          <w:p>
            <w:r>
              <w:t>Insurance</w:t>
            </w:r>
          </w:p>
        </w:tc>
        <w:tc>
          <w:tcPr>
            <w:tcW w:type="dxa" w:w="2880"/>
          </w:tcPr>
          <w:p>
            <w:r>
              <w:t>X</w:t>
            </w:r>
          </w:p>
        </w:tc>
        <w:tc>
          <w:tcPr>
            <w:tcW w:type="dxa" w:w="2880"/>
          </w:tcPr>
          <w:p>
            <w:r>
              <w:t>PI, D&amp;O, cyber</w:t>
            </w:r>
          </w:p>
        </w:tc>
      </w:tr>
      <w:tr>
        <w:tc>
          <w:tcPr>
            <w:tcW w:type="dxa" w:w="2880"/>
          </w:tcPr>
          <w:p>
            <w:r>
              <w:t>Office / remote setup</w:t>
            </w:r>
          </w:p>
        </w:tc>
        <w:tc>
          <w:tcPr>
            <w:tcW w:type="dxa" w:w="2880"/>
          </w:tcPr>
          <w:p>
            <w:r>
              <w:t>X</w:t>
            </w:r>
          </w:p>
        </w:tc>
        <w:tc>
          <w:tcPr>
            <w:tcW w:type="dxa" w:w="2880"/>
          </w:tcPr>
          <w:p>
            <w:r>
              <w:t>If applicable</w:t>
            </w:r>
          </w:p>
        </w:tc>
      </w:tr>
      <w:tr>
        <w:tc>
          <w:tcPr>
            <w:tcW w:type="dxa" w:w="2880"/>
          </w:tcPr>
          <w:p>
            <w:r>
              <w:t>Contingency (20–25%)</w:t>
            </w:r>
          </w:p>
        </w:tc>
        <w:tc>
          <w:tcPr>
            <w:tcW w:type="dxa" w:w="2880"/>
          </w:tcPr>
          <w:p>
            <w:r>
              <w:t>X</w:t>
            </w:r>
          </w:p>
        </w:tc>
        <w:tc>
          <w:tcPr>
            <w:tcW w:type="dxa" w:w="2880"/>
          </w:tcPr>
          <w:p>
            <w:r>
              <w:t>Unexpected cost buffer</w:t>
            </w:r>
          </w:p>
        </w:tc>
      </w:tr>
      <w:tr>
        <w:tc>
          <w:tcPr>
            <w:tcW w:type="dxa" w:w="2880"/>
          </w:tcPr>
          <w:p>
            <w:r>
              <w:t>**Total start-up**</w:t>
            </w:r>
          </w:p>
        </w:tc>
        <w:tc>
          <w:tcPr>
            <w:tcW w:type="dxa" w:w="2880"/>
          </w:tcPr>
          <w:p>
            <w:r>
              <w:t>**X**</w:t>
            </w:r>
          </w:p>
        </w:tc>
        <w:tc>
          <w:tcPr>
            <w:tcW w:type="dxa" w:w="2880"/>
          </w:tcPr>
          <w:p>
            <w:r/>
          </w:p>
        </w:tc>
      </w:tr>
    </w:tbl>
    <w:p>
      <w:r/>
      <w:r>
        <w:rPr>
          <w:b/>
        </w:rPr>
        <w:t>Financing</w:t>
      </w:r>
    </w:p>
    <w:p>
      <w:pPr>
        <w:pStyle w:val="ListBullet"/>
      </w:pPr>
      <w:r/>
      <w:r>
        <w:rPr>
          <w:b/>
        </w:rPr>
        <w:t>Seeking:</w:t>
      </w:r>
      <w:r>
        <w:t xml:space="preserve"> €X total.</w:t>
      </w:r>
    </w:p>
    <w:p>
      <w:pPr>
        <w:pStyle w:val="ListBullet"/>
      </w:pPr>
      <w:r/>
      <w:r>
        <w:rPr>
          <w:b/>
        </w:rPr>
        <w:t>Sources:</w:t>
      </w:r>
      <w:r>
        <w:t xml:space="preserve"> [e.g., Founder €X; grant €X; debt €X; equity €X.]</w:t>
      </w:r>
    </w:p>
    <w:p>
      <w:pPr>
        <w:pStyle w:val="ListBullet"/>
      </w:pPr>
      <w:r/>
      <w:r>
        <w:rPr>
          <w:b/>
        </w:rPr>
        <w:t>Use:</w:t>
      </w:r>
      <w:r>
        <w:t xml:space="preserve"> [Breakdown matching categories above.]</w:t>
      </w:r>
    </w:p>
    <w:p>
      <w:pPr>
        <w:pStyle w:val="ListBullet"/>
      </w:pPr>
      <w:r/>
      <w:r>
        <w:rPr>
          <w:b/>
        </w:rPr>
        <w:t>Repayment / terms:</w:t>
      </w:r>
      <w:r>
        <w:t xml:space="preserve"> [If debt: term, rate, collateral. If equity: % and conditions.]</w:t>
      </w:r>
    </w:p>
    <w:p>
      <w:r>
        <w:rPr>
          <w:i/>
        </w:rPr>
        <w:t>*Opening day balance sheet*</w:t>
      </w:r>
    </w:p>
    <w:p>
      <w:r>
        <w:t>[Use Opening Day Balance Sheet template. Summarise: Assets (cash, equipment, etc.); Liabilities (loans, payables); Equity. Explain assumptions.]</w:t>
      </w:r>
    </w:p>
    <w:p>
      <w:r>
        <w:rPr>
          <w:i/>
        </w:rPr>
        <w:t>*Personal financial statement*</w:t>
      </w:r>
    </w:p>
    <w:p>
      <w:r>
        <w:t>[If seeking financing: attach personal financial statements for each owner and major stockholder (assets, liabilities, net worth).]</w:t>
      </w:r>
    </w:p>
    <w:p/>
    <w:p>
      <w:pPr>
        <w:pStyle w:val="Title"/>
      </w:pPr>
      <w:r>
        <w:t>VIII. Financial Plan</w:t>
      </w:r>
    </w:p>
    <w:p>
      <w:r>
        <w:rPr>
          <w:i/>
        </w:rPr>
        <w:t>*12-month profit &amp; loss projection*</w:t>
      </w:r>
    </w:p>
    <w:p>
      <w:r>
        <w:t>[Use 12-Month P&amp;L template. Refer to Sales Forecast from Section IV.]</w:t>
      </w:r>
    </w:p>
    <w:tbl>
      <w:tblPr>
        <w:tblStyle w:val="TableGrid"/>
        <w:tblW w:type="auto" w:w="0"/>
        <w:tblLook w:firstColumn="1" w:firstRow="1" w:lastColumn="0" w:lastRow="0" w:noHBand="0" w:noVBand="1" w:val="04A0"/>
      </w:tblPr>
      <w:tblGrid>
        <w:gridCol w:w="4320"/>
        <w:gridCol w:w="4320"/>
      </w:tblGrid>
      <w:tr>
        <w:tc>
          <w:tcPr>
            <w:tcW w:type="dxa" w:w="4320"/>
          </w:tcPr>
          <w:p>
            <w:r>
              <w:t>Line</w:t>
            </w:r>
          </w:p>
        </w:tc>
        <w:tc>
          <w:tcPr>
            <w:tcW w:type="dxa" w:w="4320"/>
          </w:tcPr>
          <w:p>
            <w:r>
              <w:t>Notes</w:t>
            </w:r>
          </w:p>
        </w:tc>
      </w:tr>
      <w:tr>
        <w:tc>
          <w:tcPr>
            <w:tcW w:type="dxa" w:w="4320"/>
          </w:tcPr>
          <w:p>
            <w:r>
              <w:t>Revenue</w:t>
            </w:r>
          </w:p>
        </w:tc>
        <w:tc>
          <w:tcPr>
            <w:tcW w:type="dxa" w:w="4320"/>
          </w:tcPr>
          <w:p>
            <w:r>
              <w:t>Licence + services + support; from sales forecast</w:t>
            </w:r>
          </w:p>
        </w:tc>
      </w:tr>
      <w:tr>
        <w:tc>
          <w:tcPr>
            <w:tcW w:type="dxa" w:w="4320"/>
          </w:tcPr>
          <w:p>
            <w:r>
              <w:t>Cost of goods sold / delivery</w:t>
            </w:r>
          </w:p>
        </w:tc>
        <w:tc>
          <w:tcPr>
            <w:tcW w:type="dxa" w:w="4320"/>
          </w:tcPr>
          <w:p>
            <w:r>
              <w:t>Delivery labour, subcontractors, travel</w:t>
            </w:r>
          </w:p>
        </w:tc>
      </w:tr>
      <w:tr>
        <w:tc>
          <w:tcPr>
            <w:tcW w:type="dxa" w:w="4320"/>
          </w:tcPr>
          <w:p>
            <w:r>
              <w:t>Gross profit</w:t>
            </w:r>
          </w:p>
        </w:tc>
        <w:tc>
          <w:tcPr>
            <w:tcW w:type="dxa" w:w="4320"/>
          </w:tcPr>
          <w:p>
            <w:r>
              <w:t>Revenue − COGS</w:t>
            </w:r>
          </w:p>
        </w:tc>
      </w:tr>
      <w:tr>
        <w:tc>
          <w:tcPr>
            <w:tcW w:type="dxa" w:w="4320"/>
          </w:tcPr>
          <w:p>
            <w:r>
              <w:t>Operating expenses</w:t>
            </w:r>
          </w:p>
        </w:tc>
        <w:tc>
          <w:tcPr>
            <w:tcW w:type="dxa" w:w="4320"/>
          </w:tcPr>
          <w:p>
            <w:r>
              <w:t>Salaries (non-delivery), marketing, rent, legal, insurance, etc.</w:t>
            </w:r>
          </w:p>
        </w:tc>
      </w:tr>
      <w:tr>
        <w:tc>
          <w:tcPr>
            <w:tcW w:type="dxa" w:w="4320"/>
          </w:tcPr>
          <w:p>
            <w:r>
              <w:t>Net profit before tax</w:t>
            </w:r>
          </w:p>
        </w:tc>
        <w:tc>
          <w:tcPr>
            <w:tcW w:type="dxa" w:w="4320"/>
          </w:tcPr>
          <w:p>
            <w:r/>
          </w:p>
        </w:tc>
      </w:tr>
      <w:tr>
        <w:tc>
          <w:tcPr>
            <w:tcW w:type="dxa" w:w="4320"/>
          </w:tcPr>
          <w:p>
            <w:r>
              <w:t>Tax</w:t>
            </w:r>
          </w:p>
        </w:tc>
        <w:tc>
          <w:tcPr>
            <w:tcW w:type="dxa" w:w="4320"/>
          </w:tcPr>
          <w:p>
            <w:r/>
          </w:p>
        </w:tc>
      </w:tr>
      <w:tr>
        <w:tc>
          <w:tcPr>
            <w:tcW w:type="dxa" w:w="4320"/>
          </w:tcPr>
          <w:p>
            <w:r>
              <w:t>Net income</w:t>
            </w:r>
          </w:p>
        </w:tc>
        <w:tc>
          <w:tcPr>
            <w:tcW w:type="dxa" w:w="4320"/>
          </w:tcPr>
          <w:p>
            <w:r/>
          </w:p>
        </w:tc>
      </w:tr>
    </w:tbl>
    <w:p>
      <w:r>
        <w:rPr>
          <w:i/>
        </w:rPr>
        <w:t>Document assumptions (pricing, utilisation, ramp, seasonality).</w:t>
      </w:r>
    </w:p>
    <w:p>
      <w:r>
        <w:rPr>
          <w:i/>
        </w:rPr>
        <w:t>*Optional: 3-year P&amp;L*</w:t>
      </w:r>
    </w:p>
    <w:p>
      <w:r>
        <w:t>[Use 3-Year P&amp;L template if required by audience or for internal planning.]</w:t>
      </w:r>
    </w:p>
    <w:p>
      <w:r>
        <w:rPr>
          <w:i/>
        </w:rPr>
        <w:t>*Cash flow projection*</w:t>
      </w:r>
    </w:p>
    <w:p>
      <w:r>
        <w:t>[Use 12-Month Cash Flow Statement. Timing of receipts (e.g., 30–60 days from invoice) and payments (payroll, suppliers, rent). Ensure runway covers troughs; note when financing or first revenues are needed.]</w:t>
      </w:r>
    </w:p>
    <w:p>
      <w:r>
        <w:rPr>
          <w:i/>
        </w:rPr>
        <w:t>*Optional: 3-year cash flow*</w:t>
      </w:r>
    </w:p>
    <w:p>
      <w:r>
        <w:t>[If needed.]</w:t>
      </w:r>
    </w:p>
    <w:p>
      <w:r>
        <w:rPr>
          <w:i/>
        </w:rPr>
        <w:t>*Projected balance sheet (end of Year 1)*</w:t>
      </w:r>
    </w:p>
    <w:p>
      <w:r>
        <w:t>[Use Balance Sheet (Projected). Opening balance sheet + Year 1 P&amp;L and cash movements = closing position; show owner’s equity at end of Year 1.]</w:t>
      </w:r>
    </w:p>
    <w:p>
      <w:r>
        <w:rPr>
          <w:i/>
        </w:rPr>
        <w:t>*Break-even calculation*</w:t>
      </w:r>
    </w:p>
    <w:p>
      <w:r>
        <w:t>[Use Break-Even Analysis template. Fixed costs (salaries, rent, etc.) and variable (delivery, commission). Break-even volume (revenue or units) = fixed / (price − variable per unit). Optionally: scenario with full-time vs. contractors.]</w:t>
      </w:r>
    </w:p>
    <w:p>
      <w:r>
        <w:rPr>
          <w:i/>
        </w:rPr>
        <w:t>*Use of capital (if seeking financing)*</w:t>
      </w:r>
    </w:p>
    <w:tbl>
      <w:tblPr>
        <w:tblStyle w:val="TableGrid"/>
        <w:tblW w:type="auto" w:w="0"/>
        <w:tblLook w:firstColumn="1" w:firstRow="1" w:lastColumn="0" w:lastRow="0" w:noHBand="0" w:noVBand="1" w:val="04A0"/>
      </w:tblPr>
      <w:tblGrid>
        <w:gridCol w:w="2880"/>
        <w:gridCol w:w="2880"/>
        <w:gridCol w:w="2880"/>
      </w:tblGrid>
      <w:tr>
        <w:tc>
          <w:tcPr>
            <w:tcW w:type="dxa" w:w="2880"/>
          </w:tcPr>
          <w:p>
            <w:r>
              <w:t>Use</w:t>
            </w:r>
          </w:p>
        </w:tc>
        <w:tc>
          <w:tcPr>
            <w:tcW w:type="dxa" w:w="2880"/>
          </w:tcPr>
          <w:p>
            <w:r>
              <w:t>Amount (€)</w:t>
            </w:r>
          </w:p>
        </w:tc>
        <w:tc>
          <w:tcPr>
            <w:tcW w:type="dxa" w:w="2880"/>
          </w:tcPr>
          <w:p>
            <w:r>
              <w:t>Expected result</w:t>
            </w:r>
          </w:p>
        </w:tc>
      </w:tr>
      <w:tr>
        <w:tc>
          <w:tcPr>
            <w:tcW w:type="dxa" w:w="2880"/>
          </w:tcPr>
          <w:p>
            <w:r>
              <w:t>Product</w:t>
            </w:r>
          </w:p>
        </w:tc>
        <w:tc>
          <w:tcPr>
            <w:tcW w:type="dxa" w:w="2880"/>
          </w:tcPr>
          <w:p>
            <w:r>
              <w:t>X</w:t>
            </w:r>
          </w:p>
        </w:tc>
        <w:tc>
          <w:tcPr>
            <w:tcW w:type="dxa" w:w="2880"/>
          </w:tcPr>
          <w:p>
            <w:r>
              <w:t>[e.g., Pilot-ready product; 2 reference customers]</w:t>
            </w:r>
          </w:p>
        </w:tc>
      </w:tr>
      <w:tr>
        <w:tc>
          <w:tcPr>
            <w:tcW w:type="dxa" w:w="2880"/>
          </w:tcPr>
          <w:p>
            <w:r>
              <w:t>Sales and marketing</w:t>
            </w:r>
          </w:p>
        </w:tc>
        <w:tc>
          <w:tcPr>
            <w:tcW w:type="dxa" w:w="2880"/>
          </w:tcPr>
          <w:p>
            <w:r>
              <w:t>X</w:t>
            </w:r>
          </w:p>
        </w:tc>
        <w:tc>
          <w:tcPr>
            <w:tcW w:type="dxa" w:w="2880"/>
          </w:tcPr>
          <w:p>
            <w:r>
              <w:t>[e.g., Pipeline €X; 2–3 signed pilots]</w:t>
            </w:r>
          </w:p>
        </w:tc>
      </w:tr>
      <w:tr>
        <w:tc>
          <w:tcPr>
            <w:tcW w:type="dxa" w:w="2880"/>
          </w:tcPr>
          <w:p>
            <w:r>
              <w:t>Delivery and support</w:t>
            </w:r>
          </w:p>
        </w:tc>
        <w:tc>
          <w:tcPr>
            <w:tcW w:type="dxa" w:w="2880"/>
          </w:tcPr>
          <w:p>
            <w:r>
              <w:t>X</w:t>
            </w:r>
          </w:p>
        </w:tc>
        <w:tc>
          <w:tcPr>
            <w:tcW w:type="dxa" w:w="2880"/>
          </w:tcPr>
          <w:p>
            <w:r>
              <w:t>[e.g., Capacity for 2 concurrent implementations]</w:t>
            </w:r>
          </w:p>
        </w:tc>
      </w:tr>
      <w:tr>
        <w:tc>
          <w:tcPr>
            <w:tcW w:type="dxa" w:w="2880"/>
          </w:tcPr>
          <w:p>
            <w:r>
              <w:t>Working capital / contingency</w:t>
            </w:r>
          </w:p>
        </w:tc>
        <w:tc>
          <w:tcPr>
            <w:tcW w:type="dxa" w:w="2880"/>
          </w:tcPr>
          <w:p>
            <w:r>
              <w:t>X</w:t>
            </w:r>
          </w:p>
        </w:tc>
        <w:tc>
          <w:tcPr>
            <w:tcW w:type="dxa" w:w="2880"/>
          </w:tcPr>
          <w:p>
            <w:r>
              <w:t>[e.g., 6–12 months runway]</w:t>
            </w:r>
          </w:p>
        </w:tc>
      </w:tr>
      <w:tr>
        <w:tc>
          <w:tcPr>
            <w:tcW w:type="dxa" w:w="2880"/>
          </w:tcPr>
          <w:p>
            <w:r>
              <w:t>**Total**</w:t>
            </w:r>
          </w:p>
        </w:tc>
        <w:tc>
          <w:tcPr>
            <w:tcW w:type="dxa" w:w="2880"/>
          </w:tcPr>
          <w:p>
            <w:r>
              <w:t>**X**</w:t>
            </w:r>
          </w:p>
        </w:tc>
        <w:tc>
          <w:tcPr>
            <w:tcW w:type="dxa" w:w="2880"/>
          </w:tcPr>
          <w:p>
            <w:r/>
          </w:p>
        </w:tc>
      </w:tr>
    </w:tbl>
    <w:p/>
    <w:p>
      <w:pPr>
        <w:pStyle w:val="Title"/>
      </w:pPr>
      <w:r>
        <w:t>IX. Appendices</w:t>
      </w:r>
    </w:p>
    <w:p>
      <w:pPr>
        <w:pStyle w:val="ListBullet"/>
      </w:pPr>
      <w:r>
        <w:t>Agreements (e.g., pilot contract template, partner LOI, key supplier terms)</w:t>
      </w:r>
    </w:p>
    <w:p>
      <w:pPr>
        <w:pStyle w:val="ListBullet"/>
      </w:pPr>
      <w:r>
        <w:t>Intellectual property (trademarks, patents pending or granted)</w:t>
      </w:r>
    </w:p>
    <w:p>
      <w:pPr>
        <w:pStyle w:val="ListBullet"/>
      </w:pPr>
      <w:r>
        <w:t>Resumes of owners and key employees</w:t>
      </w:r>
    </w:p>
    <w:p>
      <w:pPr>
        <w:pStyle w:val="ListBullet"/>
      </w:pPr>
      <w:r>
        <w:t>Marketing materials (one-pager, slide deck, screenshots)</w:t>
      </w:r>
    </w:p>
    <w:p>
      <w:pPr>
        <w:pStyle w:val="ListBullet"/>
      </w:pPr>
      <w:r>
        <w:t>Market research (summaries or links to Gartner, Forrester, EIOPA)</w:t>
      </w:r>
    </w:p>
    <w:p>
      <w:pPr>
        <w:pStyle w:val="ListBullet"/>
      </w:pPr>
      <w:r>
        <w:t>List of equipment or significant assets (if any)</w:t>
      </w:r>
    </w:p>
    <w:p>
      <w:pPr>
        <w:pStyle w:val="ListBullet"/>
      </w:pPr>
      <w:r>
        <w:t>Other supporting documents (e.g., reference architecture diagram, compliance checklist)</w:t>
      </w:r>
    </w:p>
    <w:p>
      <w:r>
        <w:rPr>
          <w:i/>
        </w:rPr>
        <w:t>Refer to these in the body of the plan where relevant.</w:t>
      </w:r>
    </w:p>
    <w:p/>
    <w:p>
      <w:pPr>
        <w:pStyle w:val="Title"/>
      </w:pPr>
      <w:r>
        <w:t>X. Refining the Plan</w:t>
      </w:r>
    </w:p>
    <w:p>
      <w:r/>
      <w:r>
        <w:rPr>
          <w:b/>
        </w:rPr>
        <w:t>For bankers:</w:t>
      </w:r>
      <w:r>
        <w:t xml:space="preserve"> Emphasise repayment capacity, collateral (if any), and use of loan proceeds. Include: amount requested, use of funds, repayment term, existing liens.</w:t>
      </w:r>
    </w:p>
    <w:p>
      <w:r/>
      <w:r>
        <w:rPr>
          <w:b/>
        </w:rPr>
        <w:t>For investors:</w:t>
      </w:r>
      <w:r>
        <w:t xml:space="preserve"> Emphasise growth, scalability, and return. Include: investment amount (short-term and 2–5 years), use of funds, expected ROI, exit (buyback, sale, IPO), % ownership, milestones, reporting, board involvement.</w:t>
      </w:r>
    </w:p>
    <w:p>
      <w:r>
        <w:rPr>
          <w:i/>
        </w:rPr>
        <w:t>*For a B2B / software / services business:*</w:t>
      </w:r>
    </w:p>
    <w:p>
      <w:pPr>
        <w:pStyle w:val="ListBullet"/>
      </w:pPr>
      <w:r>
        <w:t>Pricing and positioning (as in Sections III and IV).</w:t>
      </w:r>
    </w:p>
    <w:p>
      <w:pPr>
        <w:pStyle w:val="ListBullet"/>
      </w:pPr>
      <w:r>
        <w:t>Delivery and quality control (Section V).</w:t>
      </w:r>
    </w:p>
    <w:p>
      <w:pPr>
        <w:pStyle w:val="ListBullet"/>
      </w:pPr>
      <w:r>
        <w:t>Recurring vs. project revenue; path to ARR and retention.</w:t>
      </w:r>
    </w:p>
    <w:p>
      <w:pPr>
        <w:pStyle w:val="ListBullet"/>
      </w:pPr>
      <w:r>
        <w:t>IP and differentiation (Section III; Appendices).</w:t>
      </w:r>
    </w:p>
    <w:p>
      <w:pPr>
        <w:pStyle w:val="ListBullet"/>
      </w:pPr>
      <w:r>
        <w:t>Key personnel and gaps (Section VI).</w:t>
      </w:r>
    </w:p>
    <w:p/>
    <w:p>
      <w:pPr>
        <w:pStyle w:val="Heading1"/>
      </w:pPr>
      <w:r>
        <w:t>Now That You're (Almost) Finished . . .</w:t>
      </w:r>
    </w:p>
    <w:p>
      <w:pPr>
        <w:pStyle w:val="ListNumber"/>
      </w:pPr>
      <w:r/>
      <w:r>
        <w:rPr>
          <w:b/>
        </w:rPr>
        <w:t>Complete the Executive Summary</w:t>
      </w:r>
      <w:r>
        <w:t xml:space="preserve"> (Section I) last, so it accurately reflects the full plan.</w:t>
      </w:r>
    </w:p>
    <w:p>
      <w:pPr>
        <w:pStyle w:val="ListNumber"/>
      </w:pPr>
      <w:r/>
      <w:r>
        <w:rPr>
          <w:b/>
        </w:rPr>
        <w:t>Proofread</w:t>
      </w:r>
      <w:r>
        <w:t xml:space="preserve"> for spelling, grammar, and consistency of figures.</w:t>
      </w:r>
    </w:p>
    <w:p>
      <w:pPr>
        <w:pStyle w:val="ListNumber"/>
      </w:pPr>
      <w:r/>
      <w:r>
        <w:rPr>
          <w:b/>
        </w:rPr>
        <w:t>Check</w:t>
      </w:r>
      <w:r>
        <w:t xml:space="preserve"> that all worksheets and templates are filled and that assumptions are documented.</w:t>
      </w:r>
    </w:p>
    <w:p>
      <w:pPr>
        <w:pStyle w:val="ListNumber"/>
      </w:pPr>
      <w:r/>
      <w:r>
        <w:rPr>
          <w:b/>
        </w:rPr>
        <w:t>Review</w:t>
      </w:r>
      <w:r>
        <w:t xml:space="preserve"> with an advisor (e.g., SCORE mentor, accountant, or investor) before submitting to lenders or investors.</w:t>
      </w:r>
    </w:p>
    <w:p>
      <w:r>
        <w:rPr>
          <w:i/>
        </w:rPr>
        <w:t>End of Business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