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Ubuntu" w:cs="Ubuntu" w:eastAsia="Ubuntu" w:hAnsi="Ubuntu"/>
          <w:b w:val="1"/>
          <w:sz w:val="46"/>
          <w:szCs w:val="46"/>
        </w:rPr>
      </w:pPr>
      <w:bookmarkStart w:colFirst="0" w:colLast="0" w:name="_c3ym10ybgfoh" w:id="0"/>
      <w:bookmarkEnd w:id="0"/>
      <w:r w:rsidDel="00000000" w:rsidR="00000000" w:rsidRPr="00000000">
        <w:rPr>
          <w:rFonts w:ascii="Ubuntu" w:cs="Ubuntu" w:eastAsia="Ubuntu" w:hAnsi="Ubuntu"/>
          <w:b w:val="1"/>
          <w:sz w:val="46"/>
          <w:szCs w:val="46"/>
          <w:rtl w:val="0"/>
        </w:rPr>
        <w:t xml:space="preserve">Walansi Kontonbile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rFonts w:ascii="Ubuntu" w:cs="Ubuntu" w:eastAsia="Ubuntu" w:hAnsi="Ubuntu"/>
          <w:b w:val="1"/>
          <w:sz w:val="46"/>
          <w:szCs w:val="46"/>
        </w:rPr>
      </w:pPr>
      <w:bookmarkStart w:colFirst="0" w:colLast="0" w:name="_ptb9i4aohrum" w:id="1"/>
      <w:bookmarkEnd w:id="1"/>
      <w:r w:rsidDel="00000000" w:rsidR="00000000" w:rsidRPr="00000000">
        <w:rPr>
          <w:rFonts w:ascii="Ubuntu" w:cs="Ubuntu" w:eastAsia="Ubuntu" w:hAnsi="Ubuntu"/>
          <w:b w:val="1"/>
          <w:sz w:val="46"/>
          <w:szCs w:val="46"/>
          <w:rtl w:val="0"/>
        </w:rPr>
        <w:t xml:space="preserve">Software Requirements Specification</w:t>
      </w:r>
    </w:p>
    <w:sdt>
      <w:sdtPr>
        <w:id w:val="-205857976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3ym10ybgfo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Walansi Kontonbile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tb9i4aohrum">
            <w:r w:rsidDel="00000000" w:rsidR="00000000" w:rsidRPr="00000000">
              <w:rPr>
                <w:rFonts w:ascii="Ubuntu" w:cs="Ubuntu" w:eastAsia="Ubuntu" w:hAnsi="Ubuntu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Requirements Specification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f6kkymckskr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Executive Summary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f3aj3myutsj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Business Objectives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okrv8484w28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Success Metrics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2v175nn91eg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Target Stakeholders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y1v74g99e2b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Functional Requirements Specification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968uez8ezim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User Management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firtubyxh7p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Multilingual &amp; Multimodal Interface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k0onjluw7fa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AI Story-Teacher Module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ag8y44i2saz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Fact-Checking Engine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jf4drpq8f9p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SafeSpace SOS Module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9fv6dnab5mk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Campaign Generator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ggxtj9ybp3u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Data Analytics &amp; Reporting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fw4mqgaf4qv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Non-Functional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u3eme4jebvh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Performance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hypzhp98j5s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Security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wwxgfu3zma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Scalability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gstgfpsw1s9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Usability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j3m0r7p5iuu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Reliability Requirements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c29jf9hl68j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Technical Requirements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gj5i18cc06o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Platform Requirements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nxxlttxxxmp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Integration Requirements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30v64h9b6wb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Data Storage Requirements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crmhko51yqh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Constraints and Assumptions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tppb77fzgz8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Technical Constraints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3c61ukhptlh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Budget Constraints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jkjtd7gl1nq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Timeline Constraints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cc8q7kxbb3t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Assumptions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gtdx96qe6t6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Risk Assessment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y9z28s1rtbi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Technical Risks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iwvc4bymg5y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User Adoption Risks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0bqbtf86dvz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Operational Risks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5f6kkymckskr" w:id="2"/>
      <w:bookmarkEnd w:id="2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1.1 Executive Summary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Walansi Kontonbile addresses the critical need for culturally relevant digital safety education for girls and young people in Ghana, particularly in underserved communities where technology-facilitated gender-based violence, misinformation, and cyber threats are prevalent.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ff3aj3myutsj" w:id="3"/>
      <w:bookmarkEnd w:id="3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1.2 Business Objectives</w:t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Primary Goal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Reduce digital exclusion of girls and young people from online spaces</w:t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Secondary Goals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Decrease incidents of TGBV through prevention education</w:t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Combat misinformation in local communities</w:t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Increase civic engagement among youth</w:t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spacing w:after="240" w:before="0" w:beforeAutospacing="0" w:lineRule="auto"/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Build digital literacy using culturally appropriate methods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xokrv8484w28" w:id="4"/>
      <w:bookmarkEnd w:id="4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1.3 Success Metrics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User engagement: 70% monthly active users within 6 months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Safety impact: 40% reduction in reported harassment cases among users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Fact-checking usage: 1000+ daily fact-check requests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Language adoption: 60% of interactions in local languages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Community reach: Deployment in 50+ schools/communities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v2v175nn91eg" w:id="5"/>
      <w:bookmarkEnd w:id="5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1.4 Target Stakeholders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Primary Users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Girls and young people (13-25 years) in Ghana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Secondary Users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Educators, community leaders, parents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Partners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NGOs, schools, government agencies, fact-checking organizations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rFonts w:ascii="Ubuntu" w:cs="Ubuntu" w:eastAsia="Ubuntu" w:hAnsi="Ubuntu"/>
          <w:b w:val="1"/>
          <w:sz w:val="34"/>
          <w:szCs w:val="34"/>
        </w:rPr>
      </w:pPr>
      <w:bookmarkStart w:colFirst="0" w:colLast="0" w:name="_4y1v74g99e2b" w:id="6"/>
      <w:bookmarkEnd w:id="6"/>
      <w:r w:rsidDel="00000000" w:rsidR="00000000" w:rsidRPr="00000000">
        <w:rPr>
          <w:rFonts w:ascii="Ubuntu" w:cs="Ubuntu" w:eastAsia="Ubuntu" w:hAnsi="Ubuntu"/>
          <w:b w:val="1"/>
          <w:sz w:val="34"/>
          <w:szCs w:val="34"/>
          <w:rtl w:val="0"/>
        </w:rPr>
        <w:t xml:space="preserve">2. Functional Requirements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y968uez8ezim" w:id="7"/>
      <w:bookmarkEnd w:id="7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2.1 User Management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FR-001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support user registration via WhatsApp, SMS, and Telegram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FR-002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maintain anonymous user profiles (no personal data collection)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FR-003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allow users to select preferred language (Waali, Dagbani, Twi, Hausa, or English)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FR-004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remember user language preference across sessions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nfirtubyxh7p" w:id="8"/>
      <w:bookmarkEnd w:id="8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2.2 Multilingual &amp; Multimodal Interface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FR-010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process text messages in different languages (Waali, Dagbani, Twi, Hausa or English)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FR-011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accept and process voice messages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FR-012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generate audio responses in user's preferred language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FR-013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support SMS for low-connectivity environments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FR-014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integrate with WhatsApp Business API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FR-015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integrate with Telegram Bot API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kk0onjluw7fa" w:id="9"/>
      <w:bookmarkEnd w:id="9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2.3 AI Story-Teacher Module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FR-020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embed cultural elements (proverbs, folktales, idioms) in responses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FR-021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maintain database of culturally appropriate teaching content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FR-022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adapt explanation complexity based on user literacy level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FR-023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provide contextual digital safety education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vag8y44i2saz" w:id="10"/>
      <w:bookmarkEnd w:id="10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2.4 Fact-Checking Engine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FR-030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accept text, links, and image inputs for verification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FR-031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integrate with fact-checking APIs (Dubawa, Africa Check)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FR-032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return verification status (True/False/Misleading)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FR-033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generate shareable fact cards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FR-034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provide explanations in user's preferred language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FR-035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maintain local misinformation database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8jf4drpq8f9p" w:id="11"/>
      <w:bookmarkEnd w:id="11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2.5 SafeSpace SOS Module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FR-040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recognize trigger words ("Help", "Harassment", "Walansi")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FR-041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provide immediate safety guidance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FR-042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offer escalation options to trusted partners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FR-043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maintain directory of support organizations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FR-044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ensure confidential handling of SOS requests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g9fv6dnab5mk" w:id="12"/>
      <w:bookmarkEnd w:id="12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2.6 Campaign Generator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FR-050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generate advocacy content templates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FR-051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create culturally relevant memes and graphics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FR-052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produce audio content with local language voiceovers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FR-053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provide TikTok-style script templates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FR-054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incorporate Ghanaian cultural elements in designs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4ggxtj9ybp3u" w:id="13"/>
      <w:bookmarkEnd w:id="13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2.7 Data Analytics &amp; Reporting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FR-060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log anonymous interaction data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FR-061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generate monthly community dashboards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FR-062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track misinformation trends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FR-063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provide usage analytics for stakeholders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FR-064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System shall ensure full data anonymization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rFonts w:ascii="Ubuntu" w:cs="Ubuntu" w:eastAsia="Ubuntu" w:hAnsi="Ubuntu"/>
          <w:b w:val="1"/>
          <w:sz w:val="34"/>
          <w:szCs w:val="34"/>
        </w:rPr>
      </w:pPr>
      <w:bookmarkStart w:colFirst="0" w:colLast="0" w:name="_ofw4mqgaf4qv" w:id="14"/>
      <w:bookmarkEnd w:id="14"/>
      <w:r w:rsidDel="00000000" w:rsidR="00000000" w:rsidRPr="00000000">
        <w:rPr>
          <w:rFonts w:ascii="Ubuntu" w:cs="Ubuntu" w:eastAsia="Ubuntu" w:hAnsi="Ubuntu"/>
          <w:b w:val="1"/>
          <w:sz w:val="34"/>
          <w:szCs w:val="34"/>
          <w:rtl w:val="0"/>
        </w:rPr>
        <w:t xml:space="preserve">3. Non-Functional Requirements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vu3eme4jebvh" w:id="15"/>
      <w:bookmarkEnd w:id="15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3.1 Performance Requirements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NFR-001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Response time ≤ 3 seconds for text messages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NFR-002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Voice message processing ≤ 10 seconds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NFR-003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System availability ≥ 99.5%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NFR-004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Support for 10,000+ concurrent users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NFR-005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Fact-checking response ≤ 15 seconds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4hypzhp98j5s" w:id="16"/>
      <w:bookmarkEnd w:id="16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3.2 Security Requirements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NFR-010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End-to-end encryption for all communications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NFR-011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No storage of personal identifiable information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NFR-012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Secure API integrations with third-party services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NFR-013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Regular security audits and penetration testing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NFR-014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Compliance with data protection laws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qwwxgfu3zma" w:id="17"/>
      <w:bookmarkEnd w:id="17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3.3 Scalability Requirements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NFR-020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Horizontal scaling capability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NFR-021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Multi-region deployment support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NFR-022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Database partitioning for performance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NFR-023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CDN integration for media content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5gstgfpsw1s9" w:id="18"/>
      <w:bookmarkEnd w:id="18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3.4 Usability Requirements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NFR-030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Interface accessible to users with basic literacy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NFR-031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Support for low-bandwidth environments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NFR-032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Intuitive command structure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NFR-033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Cultural appropriateness validation by local experts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fj3m0r7p5iuu" w:id="19"/>
      <w:bookmarkEnd w:id="19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3.5 Reliability Requirements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NFR-040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Automated failover mechanisms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NFR-041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Data backup and recovery procedures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NFR-042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Error handling with user-friendly messages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NFR-043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Monitoring and alerting systems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rFonts w:ascii="Ubuntu" w:cs="Ubuntu" w:eastAsia="Ubuntu" w:hAnsi="Ubuntu"/>
          <w:b w:val="1"/>
          <w:sz w:val="34"/>
          <w:szCs w:val="34"/>
        </w:rPr>
      </w:pPr>
      <w:bookmarkStart w:colFirst="0" w:colLast="0" w:name="_jc29jf9hl68j" w:id="20"/>
      <w:bookmarkEnd w:id="20"/>
      <w:r w:rsidDel="00000000" w:rsidR="00000000" w:rsidRPr="00000000">
        <w:rPr>
          <w:rFonts w:ascii="Ubuntu" w:cs="Ubuntu" w:eastAsia="Ubuntu" w:hAnsi="Ubuntu"/>
          <w:b w:val="1"/>
          <w:sz w:val="34"/>
          <w:szCs w:val="34"/>
          <w:rtl w:val="0"/>
        </w:rPr>
        <w:t xml:space="preserve">4. Technical Requirements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ogj5i18cc06o" w:id="21"/>
      <w:bookmarkEnd w:id="21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4.1 Platform Requirements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Cloud-based deployment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(AWS/Azure/GCP)</w:t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Microservices architecture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API-first design approach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Mobile-responsive web interface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anxxlttxxxmp" w:id="22"/>
      <w:bookmarkEnd w:id="22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4.2 Integration Requirements</w:t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WhatsApp Business API</w:t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Telegram Bot API</w:t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SMS gateway providers (e.g., Twilio)</w:t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Fact-checking APIs (Dubawa, Africa Check)</w:t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Speech-to-text and text-to-speech services</w:t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Local language processing tools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130v64h9b6wb" w:id="23"/>
      <w:bookmarkEnd w:id="23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4.3 Data Storage Requirements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NoSQL database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for conversation logs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Relational database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for structured data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File storage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for media content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Cache layer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for performance optimization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4.4 Architecture Patterns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Microservices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Enables independent scaling of AI-intensive services vs. simple messaging services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Layered Architecture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Provides clear separation of concerns and maintainability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Event-Driven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Essential for real-time messaging and analytics requirements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API Gateway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Necessary for managing multiple client types (WhatsApp, Telegram, SMS)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CQRS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Optimizes for both real-time interactions and analytical reporting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Caching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Critical for performance in low-bandwidth environments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rFonts w:ascii="Ubuntu" w:cs="Ubuntu" w:eastAsia="Ubuntu" w:hAnsi="Ubuntu"/>
          <w:b w:val="1"/>
          <w:sz w:val="34"/>
          <w:szCs w:val="34"/>
        </w:rPr>
      </w:pPr>
      <w:bookmarkStart w:colFirst="0" w:colLast="0" w:name="_5crmhko51yqh" w:id="24"/>
      <w:bookmarkEnd w:id="24"/>
      <w:r w:rsidDel="00000000" w:rsidR="00000000" w:rsidRPr="00000000">
        <w:rPr>
          <w:rFonts w:ascii="Ubuntu" w:cs="Ubuntu" w:eastAsia="Ubuntu" w:hAnsi="Ubuntu"/>
          <w:b w:val="1"/>
          <w:sz w:val="34"/>
          <w:szCs w:val="34"/>
          <w:rtl w:val="0"/>
        </w:rPr>
        <w:t xml:space="preserve">5. Constraints and Assumptions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1tppb77fzgz8" w:id="25"/>
      <w:bookmarkEnd w:id="25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5.1 Technical Constraints</w:t>
      </w:r>
    </w:p>
    <w:p w:rsidR="00000000" w:rsidDel="00000000" w:rsidP="00000000" w:rsidRDefault="00000000" w:rsidRPr="00000000" w14:paraId="0000009A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Limited internet connectivity in rural areas</w:t>
      </w:r>
    </w:p>
    <w:p w:rsidR="00000000" w:rsidDel="00000000" w:rsidP="00000000" w:rsidRDefault="00000000" w:rsidRPr="00000000" w14:paraId="0000009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Varying smartphone capabilities among users</w:t>
      </w:r>
    </w:p>
    <w:p w:rsidR="00000000" w:rsidDel="00000000" w:rsidP="00000000" w:rsidRDefault="00000000" w:rsidRPr="00000000" w14:paraId="0000009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Local language processing limitations</w:t>
      </w:r>
    </w:p>
    <w:p w:rsidR="00000000" w:rsidDel="00000000" w:rsidP="00000000" w:rsidRDefault="00000000" w:rsidRPr="00000000" w14:paraId="0000009D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Third-party API dependencies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u3c61ukhptlh" w:id="26"/>
      <w:bookmarkEnd w:id="26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5.2 Budget Constraints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Development budget: To be determined based on funding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Operational costs including API usage fees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Content creation and localization costs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djkjtd7gl1nq" w:id="27"/>
      <w:bookmarkEnd w:id="27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5.3 Timeline Constraints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MVP development: 6 months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Beta testing: 2 months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Full deployment: 3 months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ecc8q7kxbb3t" w:id="28"/>
      <w:bookmarkEnd w:id="28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5.4 Assumptions</w:t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Users have access to basic mobile phones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Community partners will support user acquisition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Fact-checking partners will provide API access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Local language experts will be available for content validation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rFonts w:ascii="Ubuntu" w:cs="Ubuntu" w:eastAsia="Ubuntu" w:hAnsi="Ubuntu"/>
          <w:b w:val="1"/>
          <w:sz w:val="34"/>
          <w:szCs w:val="34"/>
        </w:rPr>
      </w:pPr>
      <w:bookmarkStart w:colFirst="0" w:colLast="0" w:name="_vgtdx96qe6t6" w:id="29"/>
      <w:bookmarkEnd w:id="29"/>
      <w:r w:rsidDel="00000000" w:rsidR="00000000" w:rsidRPr="00000000">
        <w:rPr>
          <w:rFonts w:ascii="Ubuntu" w:cs="Ubuntu" w:eastAsia="Ubuntu" w:hAnsi="Ubuntu"/>
          <w:b w:val="1"/>
          <w:sz w:val="34"/>
          <w:szCs w:val="34"/>
          <w:rtl w:val="0"/>
        </w:rPr>
        <w:t xml:space="preserve">6. Risk Assessment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xy9z28s1rtbi" w:id="30"/>
      <w:bookmarkEnd w:id="30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6.1 Technical Risks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API dependencies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Mitigation through multiple provider contracts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Language processing accuracy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Extensive testing with native speakers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Scalability challenges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Phased rollout approach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7iwvc4bymg5y" w:id="31"/>
      <w:bookmarkEnd w:id="31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6.2 User Adoption Risks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Cultural resistance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Community leader engagement strategy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Digital literacy barriers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Simplified interface design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Trust building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Transparency in AI decision-making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rFonts w:ascii="Ubuntu" w:cs="Ubuntu" w:eastAsia="Ubuntu" w:hAnsi="Ubuntu"/>
          <w:b w:val="1"/>
          <w:color w:val="000000"/>
          <w:sz w:val="26"/>
          <w:szCs w:val="26"/>
        </w:rPr>
      </w:pPr>
      <w:bookmarkStart w:colFirst="0" w:colLast="0" w:name="_80bqbtf86dvz" w:id="32"/>
      <w:bookmarkEnd w:id="32"/>
      <w:r w:rsidDel="00000000" w:rsidR="00000000" w:rsidRPr="00000000">
        <w:rPr>
          <w:rFonts w:ascii="Ubuntu" w:cs="Ubuntu" w:eastAsia="Ubuntu" w:hAnsi="Ubuntu"/>
          <w:b w:val="1"/>
          <w:color w:val="000000"/>
          <w:sz w:val="26"/>
          <w:szCs w:val="26"/>
          <w:rtl w:val="0"/>
        </w:rPr>
        <w:t xml:space="preserve">6.3 Operational Risks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Content moderation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Human oversight protocols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False information spread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Robust fact-checking workflows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Privacy concerns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Clear data handling policies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