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sz w:val="54"/>
          <w:szCs w:val="54"/>
          <w:rtl w:val="0"/>
        </w:rPr>
        <w:t xml:space="preserve">Podpořte zelenější Prahu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Podpořte naše úsilí v zakládání nových komunitních zahrad a městských farem.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Je to práce časově náročná, ale z jejich plodů máme radost my i příroda.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-12699</wp:posOffset>
                </wp:positionV>
                <wp:extent cx="2661920" cy="704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4090" y="3446625"/>
                          <a:ext cx="2623820" cy="666750"/>
                        </a:xfrm>
                        <a:custGeom>
                          <a:rect b="b" l="l" r="r" t="t"/>
                          <a:pathLst>
                            <a:path extrusionOk="0" h="666750" w="2623820">
                              <a:moveTo>
                                <a:pt x="0" y="0"/>
                              </a:moveTo>
                              <a:lnTo>
                                <a:pt x="0" y="666750"/>
                              </a:lnTo>
                              <a:lnTo>
                                <a:pt x="2623820" y="666750"/>
                              </a:lnTo>
                              <a:lnTo>
                                <a:pt x="2623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646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Platební brána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https://www.darujme.cz/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-12699</wp:posOffset>
                </wp:positionV>
                <wp:extent cx="266192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92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Během 3 let zakládáme již třetí komunitní zahradu. Za tu dobu jsme se dobře seznámili s možnostmi, které Praha a její okolí pro pěstování a farmaření nabízí.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Musíme konstatovat, že nabídka vhodných míst k vytvoření nových komunitních zahrad, městských farem nebo zahrádkářských kolonií je široká. Ať už se jedná o pražské brownfieldy, konvenčně obhospodařovaná pole a nebo střechy mnoha pražských budov.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 druhé straně evidujeme velký zájem ze strany nás pražanů o zahradničení, hospodaření, pěstování nebo nakupování lokálních potravin.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Jednání s majiteli pozemků, příprava a rozjezd nových projektů je nicméně časově i finančně náročné a proto budeme rádi, pokud se nás rozhodnete podpořit.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070B1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021C9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021C9C"/>
    <w:rPr>
      <w:rFonts w:ascii="Tahoma" w:cs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 w:val="1"/>
    <w:rsid w:val="00021C9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6vTElSWuJ4HTJkwE4XDmNkzsA==">AMUW2mWp3dBj5kTolrVD+Z9moV54vU87zmuEeMDT2q5T7Zc6N900+udVuZ5Hoad3JFp8sn+FV4oPXnnz1wF9KsUaaFFFwxw41pHIR33tqGbagKkK+Lk4n0VwdBzB7B5XFMLYexVeUsjPmBDNvyRwoeQNXoptwaJw4RJcFNhtEUf+hcoaMSePQRg=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2022-01-18T16:50:00Z</dcterms:created>
  <dc:creator>Štěpán</dc:creator>
</cp:coreProperties>
</file>