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Product Requirements Document (PRD): mantap.work Landing Page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Version: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Finalized Design Specification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Project Owner: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mantap.work Team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define the functional, technical, and design requirements for the primary "mantap.work" landing page to ensure consistency across future iterations.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mantap.work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landing page serves as the entry point for a dual-sided marketplace (Tutors &amp; Parents) and a public utility (Schools &amp; Library). It must communicate the "Open Source for Education" motto through a high-performance, transparent, and community-centric interface.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Target Audience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Freelance Educators: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Looking for professional tools (invoicing, verification) at no cost.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Parents/Guardians: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Seeking verified, safe, and merit-based tutoring for their children.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School Administrators: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Looking to "claim" their school profile and update local data.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Merchants: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Educational suppliers looking for targeted advertising.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Functional Requirements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FR-01: Persistent Navigation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Sticky Header: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Must remain visible on scroll with a blur effect (backdrop-blur).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Navigation Links: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Tutors, Mentors, School Directory, Merchant Directory, Library, Free Tools.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CTA: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Primary "Login/Register" button prominent in the top right.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FR-02: Infinite News Ticker (Pulse)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Data Source: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Currently hardcoded (future: Firestore public/data/updates).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Behavior: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Vertical scrolling items with an infinite loop (cloned first item).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Must initialize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after window.onload to prevent layout shift.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Contained within a "Sticky Note" card (rotate-2).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FR-03: Verified Tutor Network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Grid System: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Responsive 3-column grid (mobile: 1-column).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Tutor Cards: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Must display Name, Rating, Verification Status (CTC), and a brief bio.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Interactive State: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Hovering over a card must trigger a border-color transition to mantap-orange.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FR-04: School &amp; Merchant Directory (The Engine)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Dual-Panel Layout: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Split screen for Schools vs. Merchants.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Status Indicators: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Schools must clearly label profiles as "CLAIMED" or "UNCLAIMED."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Search Trigger: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"Search All" button that links to the deeper directory sub-page.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FR-05: Resource Library &amp; Tools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Library UI: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 aspect ratio "Book Covers."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Micro-Apps: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Four distinct "Sticky Note" cards for: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Reunion Planner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Resume Creator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Uniform Guide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Passport Editor (Photo Resize logic).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Design &amp; UI Specifications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4.1 Color Palette (The "Malay Pride" Palette)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Primary: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Mantap Orange (#F97316)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Secondary: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Heritage Teal (#0D9488)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Accent: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Sunset Gold (#FBBF24)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Backgrounds: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Sticky Yellow (#FEF9C3) for hero cards; White/Gray-50 for sections.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4.2 Typography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Headings: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Plus Jakarta Sans (Extra Bold).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Accent/Testimonials: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Gochi Hand (Handwritten font).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4.3 Key Components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"Fold":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Use CSS pseudo-elements (::before) to create a 45-degree corner fold on all sticky-note style cards.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Shadows: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Soft, colored shadows (e.g., shadow-orange-200/50) rather than standard black.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Technical Requirements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HTML5, Tailwind CSS.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Animation Engine: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GSAP (GreenSock) for Ticker and ScrollTrigger reveals.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Asset Management: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Use inline SVGs or Emojis to minimize external HTTP requests and maximize load speed.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Responsiveness: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Mobile-first approach. No horizontal scrolling permitted at any breakpoint (320px to 1920px).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Compliance &amp; Trust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PDPA: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Footer must include explicit mention of Malaysian Personal Data Protection Act compliance.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OSA 2025: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Design must include "OSA 2025 Ready" trust signals near user-input areas.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Performance KPIs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LCP (Largest Contentful Paint):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&lt; 1.5 seconds.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Accessibility: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WCAG 2.1 Level AA compliant.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Responsiveness: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Zero "Ticker Glitch" on window resize.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of PRD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