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Nunito Sans" w:hAnsi="Nunito Sans" w:cs="Nunito Sans" w:eastAsia="Nunito Sans"/>
          <w:color w:val="3F3F3F"/>
          <w:spacing w:val="0"/>
          <w:position w:val="0"/>
          <w:sz w:val="24"/>
          <w:shd w:fill="auto" w:val="clear"/>
        </w:rPr>
      </w:pPr>
    </w:p>
    <w:tbl>
      <w:tblPr/>
      <w:tblGrid>
        <w:gridCol w:w="10170"/>
      </w:tblGrid>
      <w:tr>
        <w:trPr>
          <w:trHeight w:val="524" w:hRule="auto"/>
          <w:jc w:val="left"/>
        </w:trPr>
        <w:tc>
          <w:tcPr>
            <w:tcW w:w="10170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Must have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рівень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контролю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швидкістю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руху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має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наступні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характеристики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50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менше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реагує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більше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50,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але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менше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55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видає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попередження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більше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55,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але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менше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випише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штраф</w:t>
            </w:r>
          </w:p>
          <w:p>
            <w:pPr>
              <w:numPr>
                <w:ilvl w:val="0"/>
                <w:numId w:val="4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більше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водій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отримає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штраф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штрафний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бал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водійське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посвідчення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Швидкість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вимірюється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цілими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значеннями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наборів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тестових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даних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можна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використати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перевірки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всіх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граничних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значень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еквівалентних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класів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? 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0, 49, 50, 54, 59, 60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50, 55, 60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49, 50, 54, 55, 60, 62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50, 51, 55, 56, 60, 61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Фітнес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рахує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кількість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надсилає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користувачам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повідомлення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щоб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заохотити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їх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рухатися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залежності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кількості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фідбек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буде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таким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включно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“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Житель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дивана”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1000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2000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включно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“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Лежибока”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2000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4000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включно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“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Рухай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тілом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!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4000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кроків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включно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“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Непогано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!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Rubik" w:hAnsi="Rubik" w:cs="Rubik" w:eastAsia="Rubik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більше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6000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“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Молодець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тримати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!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набір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тестових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даних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надасть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найкраще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покриття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класів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еквівалентності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0, 1000, 2000, 3000, 4000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1000, 2001, 4000, 4001, 6000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123, 2345, 3456, 4567, 5678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666, 999, 2222, 5555, 6666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0170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Середній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рівень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Виконай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завдання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попереднього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рівня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Пристрій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вимірює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час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інтенсивність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сонячного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світла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отримала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рослина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рахує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комбінацію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параметрів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час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сонці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менше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ніж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3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години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3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годин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понад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годин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інтенсивність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світла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дуже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низька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низька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середня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висока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наступний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набір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tbl>
            <w:tblPr>
              <w:tblInd w:w="1095" w:type="dxa"/>
            </w:tblPr>
            <w:tblGrid>
              <w:gridCol w:w="975"/>
              <w:gridCol w:w="1125"/>
              <w:gridCol w:w="1860"/>
              <w:gridCol w:w="2535"/>
            </w:tblGrid>
            <w:tr>
              <w:trPr>
                <w:trHeight w:val="440" w:hRule="auto"/>
                <w:jc w:val="left"/>
              </w:trPr>
              <w:tc>
                <w:tcPr>
                  <w:tcW w:w="97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Години</w:t>
                  </w:r>
                </w:p>
              </w:tc>
              <w:tc>
                <w:tcPr>
                  <w:tcW w:w="186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Інтенсивність</w:t>
                  </w:r>
                </w:p>
              </w:tc>
              <w:tc>
                <w:tcPr>
                  <w:tcW w:w="253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Індекс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опромінення</w:t>
                  </w:r>
                </w:p>
              </w:tc>
            </w:tr>
            <w:tr>
              <w:trPr>
                <w:trHeight w:val="440" w:hRule="auto"/>
                <w:jc w:val="left"/>
              </w:trPr>
              <w:tc>
                <w:tcPr>
                  <w:tcW w:w="97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Тест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1</w:t>
                  </w:r>
                </w:p>
              </w:tc>
              <w:tc>
                <w:tcPr>
                  <w:tcW w:w="11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1,5</w:t>
                  </w:r>
                </w:p>
              </w:tc>
              <w:tc>
                <w:tcPr>
                  <w:tcW w:w="186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дуже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низька</w:t>
                  </w:r>
                </w:p>
              </w:tc>
              <w:tc>
                <w:tcPr>
                  <w:tcW w:w="253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</w:p>
              </w:tc>
            </w:tr>
            <w:tr>
              <w:trPr>
                <w:trHeight w:val="440" w:hRule="auto"/>
                <w:jc w:val="left"/>
              </w:trPr>
              <w:tc>
                <w:tcPr>
                  <w:tcW w:w="97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Тест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2</w:t>
                  </w:r>
                </w:p>
              </w:tc>
              <w:tc>
                <w:tcPr>
                  <w:tcW w:w="11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186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середня</w:t>
                  </w:r>
                </w:p>
              </w:tc>
              <w:tc>
                <w:tcPr>
                  <w:tcW w:w="253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60</w:t>
                  </w:r>
                </w:p>
              </w:tc>
            </w:tr>
            <w:tr>
              <w:trPr>
                <w:trHeight w:val="440" w:hRule="auto"/>
                <w:jc w:val="left"/>
              </w:trPr>
              <w:tc>
                <w:tcPr>
                  <w:tcW w:w="97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Тест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3</w:t>
                  </w:r>
                </w:p>
              </w:tc>
              <w:tc>
                <w:tcPr>
                  <w:tcW w:w="112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0,5</w:t>
                  </w:r>
                </w:p>
              </w:tc>
              <w:tc>
                <w:tcPr>
                  <w:tcW w:w="1860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дуже</w:t>
                  </w: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  <w:r>
                    <w:rPr>
                      <w:rFonts w:ascii="Calibri" w:hAnsi="Calibri" w:cs="Calibri" w:eastAsia="Calibri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низька</w:t>
                  </w:r>
                </w:p>
              </w:tc>
              <w:tc>
                <w:tcPr>
                  <w:tcW w:w="2535" w:type="dxa"/>
                  <w:tcBorders>
                    <w:top w:val="single" w:color="000000" w:sz="8"/>
                    <w:left w:val="single" w:color="000000" w:sz="8"/>
                    <w:bottom w:val="single" w:color="000000" w:sz="8"/>
                    <w:right w:val="single" w:color="000000" w:sz="8"/>
                  </w:tcBorders>
                  <w:shd w:color="000000" w:fill="auto" w:val="clear"/>
                  <w:tcMar>
                    <w:left w:w="100" w:type="dxa"/>
                    <w:right w:w="10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Nunito Sans" w:hAnsi="Nunito Sans" w:cs="Nunito Sans" w:eastAsia="Nunito Sans"/>
                      <w:color w:val="3F3F3F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3F3F3F"/>
                <w:spacing w:val="0"/>
                <w:position w:val="0"/>
                <w:sz w:val="24"/>
                <w:shd w:fill="auto" w:val="clear"/>
              </w:rPr>
              <w:t xml:space="preserve">мінімальна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кількість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додаткових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потрібна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щоб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упевнитися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всі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валідні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класи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еквівалентності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покриті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?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1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відтворення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відео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має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вимоги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буде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працювати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пристроях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такою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розподільчою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здатністю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640x480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1280x720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1600x1200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1920x1080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результатом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застосування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техніки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розподілення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класи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еквівалентності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?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Обгрунтуй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свою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відповідь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Перевірити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відтворює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відео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дисплеї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1920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1080 (1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Перевірити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відтворює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відео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дисплеї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640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480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 1920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1080 (2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кейси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00FF00" w:val="clear"/>
              </w:rPr>
              <w:t xml:space="preserve">)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00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00FFFF" w:val="clear"/>
              </w:rPr>
              <w:t xml:space="preserve">На мо думку цього набору має вистачити, так як ми спочатку запустимо додаток на дисплеї з мінімальнльною розподільної здадністтю і якщо  воно буде працювати коректно, далі ми тестуємо на фул хд, якщо і там все ок, то і на проміжних дисплеях має бути все добре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Перевірити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відтворює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відео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дисплеях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всіх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розмірів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вказаних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вимогах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(4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Перевірити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застосунок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відтворює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відео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дисплеї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будь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якого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розміру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вказані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вимогах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(1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020" w:hRule="auto"/>
          <w:jc w:val="left"/>
        </w:trPr>
        <w:tc>
          <w:tcPr>
            <w:tcW w:w="10170" w:type="dxa"/>
            <w:tcBorders>
              <w:top w:val="single" w:color="666666" w:sz="8"/>
              <w:left w:val="single" w:color="666666" w:sz="8"/>
              <w:bottom w:val="single" w:color="666666" w:sz="8"/>
              <w:right w:val="single" w:color="666666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Програма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максимум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Виконай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завдання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двох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попередніх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рівнів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Продовжуємо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розвивати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стартап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застосунку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дозволяє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обмінюватися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фотографіями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котиків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Напиши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вимоги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для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застосунку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регламентували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мінімальний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максимальний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розмір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фотографії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що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користувачі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можуть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завантажити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систему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також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такі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параметри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мінімальна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довжина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коментаря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фотографіями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максимальна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довжина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коментаря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під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фотографіями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чим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більше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параметрів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придумаєш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тим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краще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Напиши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тест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кейси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які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допомогою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розділення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класи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еквівалентності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та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аналіз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граничних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значень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дозволять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перевірити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ці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3F3F3F"/>
                <w:spacing w:val="0"/>
                <w:position w:val="0"/>
                <w:sz w:val="24"/>
                <w:shd w:fill="auto" w:val="clear"/>
              </w:rPr>
              <w:t xml:space="preserve">вимоги</w:t>
            </w:r>
            <w:r>
              <w:rPr>
                <w:rFonts w:ascii="Nunito Sans" w:hAnsi="Nunito Sans" w:cs="Nunito Sans" w:eastAsia="Nunito Sans"/>
                <w:color w:val="3F3F3F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Nunito Sans" w:hAnsi="Nunito Sans" w:cs="Nunito Sans" w:eastAsia="Nunito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