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ítulo"/>
      </w:pPr>
      <w:bookmarkStart w:name="Xc71455d8db482fe662d53c9d1ddf6e4e8d72be7" w:id="0"/>
      <w:r>
        <w:rPr>
          <w:rStyle w:val="Ninguno"/>
          <w:rtl w:val="0"/>
          <w:lang w:val="es-ES_tradnl"/>
        </w:rPr>
        <w:t>Modelo de Medición de Apuestas Estrat</w:t>
      </w:r>
      <w:r>
        <w:rPr>
          <w:rStyle w:val="Ninguno"/>
          <w:rtl w:val="0"/>
          <w:lang w:val="fr-FR"/>
        </w:rPr>
        <w:t>é</w:t>
      </w:r>
      <w:r>
        <w:rPr>
          <w:rStyle w:val="Ninguno"/>
          <w:rtl w:val="0"/>
          <w:lang w:val="es-ES_tradnl"/>
        </w:rPr>
        <w:t>gicas de Ciudad</w:t>
      </w:r>
      <w:bookmarkEnd w:id="0"/>
    </w:p>
    <w:p>
      <w:pPr>
        <w:pStyle w:val="Título 2"/>
      </w:pPr>
      <w:bookmarkStart w:name="X253462d1943f0fd611e95dba628c0888e1b5b8b" w:id="1"/>
      <w:r>
        <w:rPr>
          <w:rStyle w:val="Ninguno"/>
          <w:rtl w:val="0"/>
          <w:lang w:val="pt-PT"/>
        </w:rPr>
        <w:t>Sistema de Medici</w:t>
      </w:r>
      <w:r>
        <w:rPr>
          <w:rStyle w:val="Ninguno"/>
          <w:rtl w:val="0"/>
          <w:lang w:val="es-ES_tradnl"/>
        </w:rPr>
        <w:t>ón de Transformació</w:t>
      </w:r>
      <w:r>
        <w:rPr>
          <w:rStyle w:val="Ninguno"/>
          <w:rtl w:val="0"/>
          <w:lang w:val="it-IT"/>
        </w:rPr>
        <w:t xml:space="preserve">n Territorial </w:t>
      </w:r>
      <w:r>
        <w:rPr>
          <w:rStyle w:val="Ninguno"/>
          <w:rtl w:val="0"/>
        </w:rPr>
        <w:t xml:space="preserve">– </w:t>
      </w:r>
      <w:r>
        <w:rPr>
          <w:rStyle w:val="Ninguno"/>
          <w:rtl w:val="0"/>
          <w:lang w:val="es-ES_tradnl"/>
        </w:rPr>
        <w:t>Alcald</w:t>
      </w:r>
      <w:r>
        <w:rPr>
          <w:rStyle w:val="Ninguno"/>
          <w:rtl w:val="0"/>
        </w:rPr>
        <w:t>í</w:t>
      </w:r>
      <w:r>
        <w:rPr>
          <w:rStyle w:val="Ninguno"/>
          <w:rtl w:val="0"/>
          <w:lang w:val="es-ES_tradnl"/>
        </w:rPr>
        <w:t>a de Cali</w:t>
      </w:r>
      <w:bookmarkEnd w:id="1"/>
    </w:p>
    <w:p>
      <w:pPr>
        <w:pStyle w:val="Título 2"/>
      </w:pPr>
      <w:bookmarkStart w:name="objetivodeldocumento" w:id="2"/>
      <w:r>
        <w:rPr>
          <w:rStyle w:val="Ninguno"/>
          <w:rtl w:val="0"/>
          <w:lang w:val="es-ES_tradnl"/>
        </w:rPr>
        <w:t>1. Objetivo del documento</w:t>
      </w:r>
    </w:p>
    <w:p>
      <w:pPr>
        <w:pStyle w:val="First Paragraph"/>
      </w:pPr>
      <w:r>
        <w:rPr>
          <w:rStyle w:val="Ninguno"/>
          <w:rtl w:val="0"/>
          <w:lang w:val="en-US"/>
        </w:rPr>
        <w:t>Definir el modelo conceptual, metodológico y técnico para la medición del impacto territorial de las Apuestas Estratégicas de ciudad, integrando información proveniente de múltiples organismos de la administración municipal.</w:t>
      </w:r>
    </w:p>
    <w:p>
      <w:pPr>
        <w:pStyle w:val="Body Text"/>
      </w:pPr>
      <w:r>
        <w:rPr>
          <w:rStyle w:val="Ninguno"/>
          <w:rtl w:val="0"/>
          <w:lang w:val="en-US"/>
        </w:rPr>
        <w:t>El sistema permitirá:</w:t>
      </w:r>
    </w:p>
    <w:p>
      <w:pPr>
        <w:pStyle w:val="Compact"/>
        <w:numPr>
          <w:ilvl w:val="0"/>
          <w:numId w:val="2"/>
        </w:numPr>
        <w:rPr>
          <w:lang w:val="en-US"/>
        </w:rPr>
      </w:pPr>
      <w:r>
        <w:rPr>
          <w:rStyle w:val="Ninguno"/>
          <w:rtl w:val="0"/>
          <w:lang w:val="en-US"/>
        </w:rPr>
        <w:t>Consolidar indicadores territoriales</w:t>
      </w:r>
    </w:p>
    <w:p>
      <w:pPr>
        <w:pStyle w:val="Compact"/>
        <w:numPr>
          <w:ilvl w:val="0"/>
          <w:numId w:val="2"/>
        </w:numPr>
        <w:rPr>
          <w:lang w:val="en-US"/>
        </w:rPr>
      </w:pPr>
      <w:r>
        <w:rPr>
          <w:rStyle w:val="Ninguno"/>
          <w:rtl w:val="0"/>
          <w:lang w:val="en-US"/>
        </w:rPr>
        <w:t>Establecer líneas base</w:t>
      </w:r>
    </w:p>
    <w:p>
      <w:pPr>
        <w:pStyle w:val="Compact"/>
        <w:numPr>
          <w:ilvl w:val="0"/>
          <w:numId w:val="2"/>
        </w:numPr>
        <w:rPr>
          <w:lang w:val="en-US"/>
        </w:rPr>
      </w:pPr>
      <w:r>
        <w:rPr>
          <w:rStyle w:val="Ninguno"/>
          <w:rtl w:val="0"/>
          <w:lang w:val="en-US"/>
        </w:rPr>
        <w:t>Medir cambios asociados a intervenciones públicas</w:t>
      </w:r>
    </w:p>
    <w:p>
      <w:pPr>
        <w:pStyle w:val="Compact"/>
        <w:numPr>
          <w:ilvl w:val="0"/>
          <w:numId w:val="2"/>
        </w:numPr>
        <w:rPr>
          <w:lang w:val="en-US"/>
        </w:rPr>
      </w:pPr>
      <w:r>
        <w:rPr>
          <w:rStyle w:val="Ninguno"/>
          <w:rtl w:val="0"/>
          <w:lang w:val="en-US"/>
        </w:rPr>
        <w:t>Visualizar resultados de forma integrada</w:t>
      </w:r>
    </w:p>
    <w:p>
      <w:pPr>
        <w:pStyle w:val="First Paragraph"/>
      </w:pPr>
      <w:r>
        <w:rPr>
          <w:rStyle w:val="Ninguno"/>
          <w:rtl w:val="0"/>
          <w:lang w:val="en-US"/>
        </w:rPr>
        <w:t>Este documento sirve como guía de implementación para los equipos de ciencia de datos, ingeniería de datos y desarrollo analítico.</w:t>
      </w:r>
      <w:bookmarkEnd w:id="2"/>
    </w:p>
    <w:p>
      <w:pPr>
        <w:pStyle w:val="Título 2"/>
      </w:pPr>
      <w:bookmarkStart w:name="contextoyantecedentes" w:id="3"/>
      <w:r>
        <w:rPr>
          <w:rStyle w:val="Ninguno"/>
          <w:rtl w:val="0"/>
          <w:lang w:val="es-ES_tradnl"/>
        </w:rPr>
        <w:t>2. Contexto y antecedentes</w:t>
      </w:r>
    </w:p>
    <w:p>
      <w:pPr>
        <w:pStyle w:val="First Paragraph"/>
      </w:pPr>
      <w:r>
        <w:rPr>
          <w:rStyle w:val="Ninguno"/>
          <w:rtl w:val="0"/>
          <w:lang w:val="en-US"/>
        </w:rPr>
        <w:t>La administración municipal ha priorizado diversas Apuestas Estratégicas de Transformación Territorial:</w:t>
      </w:r>
    </w:p>
    <w:p>
      <w:pPr>
        <w:pStyle w:val="Compact"/>
        <w:numPr>
          <w:ilvl w:val="0"/>
          <w:numId w:val="2"/>
        </w:numPr>
        <w:rPr>
          <w:lang w:val="en-US"/>
        </w:rPr>
      </w:pPr>
      <w:r>
        <w:rPr>
          <w:rStyle w:val="Ninguno"/>
          <w:rFonts w:ascii="Aptos" w:cs="Aptos" w:hAnsi="Aptos" w:eastAsia="Aptos"/>
          <w:b w:val="1"/>
          <w:bCs w:val="1"/>
          <w:rtl w:val="0"/>
          <w:lang w:val="en-US"/>
        </w:rPr>
        <w:t>Pulmón de Oriente</w:t>
      </w:r>
      <w:r>
        <w:rPr>
          <w:rStyle w:val="Ninguno"/>
          <w:rtl w:val="0"/>
          <w:lang w:val="en-US"/>
        </w:rPr>
        <w:t xml:space="preserve"> – Infraestructura urbana y recuperación territorial</w:t>
      </w:r>
    </w:p>
    <w:p>
      <w:pPr>
        <w:pStyle w:val="Compact"/>
        <w:numPr>
          <w:ilvl w:val="0"/>
          <w:numId w:val="2"/>
        </w:numPr>
        <w:rPr>
          <w:lang w:val="en-US"/>
        </w:rPr>
      </w:pPr>
      <w:r>
        <w:rPr>
          <w:rStyle w:val="Ninguno"/>
          <w:rFonts w:ascii="Aptos" w:cs="Aptos" w:hAnsi="Aptos" w:eastAsia="Aptos"/>
          <w:b w:val="1"/>
          <w:bCs w:val="1"/>
          <w:rtl w:val="0"/>
          <w:lang w:val="en-US"/>
        </w:rPr>
        <w:t>MicroTIO</w:t>
      </w:r>
      <w:r>
        <w:rPr>
          <w:rStyle w:val="Ninguno"/>
          <w:rtl w:val="0"/>
          <w:lang w:val="en-US"/>
        </w:rPr>
        <w:t xml:space="preserve"> – Intervención social y comunitaria</w:t>
      </w:r>
    </w:p>
    <w:p>
      <w:pPr>
        <w:pStyle w:val="Compact"/>
        <w:numPr>
          <w:ilvl w:val="0"/>
          <w:numId w:val="2"/>
        </w:numPr>
        <w:rPr>
          <w:lang w:val="en-US"/>
        </w:rPr>
      </w:pPr>
      <w:r>
        <w:rPr>
          <w:rStyle w:val="Ninguno"/>
          <w:rFonts w:ascii="Aptos" w:cs="Aptos" w:hAnsi="Aptos" w:eastAsia="Aptos"/>
          <w:b w:val="1"/>
          <w:bCs w:val="1"/>
          <w:rtl w:val="0"/>
          <w:lang w:val="en-US"/>
        </w:rPr>
        <w:t>Barrio Obrero</w:t>
      </w:r>
      <w:r>
        <w:rPr>
          <w:rStyle w:val="Ninguno"/>
          <w:rtl w:val="0"/>
          <w:lang w:val="en-US"/>
        </w:rPr>
        <w:t xml:space="preserve"> – Revitalización urbana, económica y cultural</w:t>
      </w:r>
    </w:p>
    <w:p>
      <w:pPr>
        <w:pStyle w:val="First Paragraph"/>
      </w:pPr>
      <w:r>
        <w:rPr>
          <w:rStyle w:val="Ninguno"/>
          <w:rtl w:val="0"/>
          <w:lang w:val="en-US"/>
        </w:rPr>
        <w:t>Estas intervenciones buscan generar transformaciones en seguridad, movilidad, entorno urbano, desarrollo social y actividad económica.</w:t>
      </w:r>
    </w:p>
    <w:p>
      <w:pPr>
        <w:pStyle w:val="Body Text"/>
      </w:pPr>
      <w:r>
        <w:rPr>
          <w:rStyle w:val="Ninguno"/>
          <w:rtl w:val="0"/>
          <w:lang w:val="en-US"/>
        </w:rPr>
        <w:t>Actualmente la medición de resultados se realiza mediante indicadores sectoriales independientes. El presente modelo propone un sistema integrado de medición territorial.</w:t>
      </w:r>
      <w:bookmarkEnd w:id="3"/>
    </w:p>
    <w:p>
      <w:pPr>
        <w:pStyle w:val="Título 2"/>
      </w:pPr>
      <w:bookmarkStart w:name="visióndelmodelo" w:id="4"/>
      <w:r>
        <w:rPr>
          <w:rStyle w:val="Ninguno"/>
          <w:rtl w:val="0"/>
        </w:rPr>
        <w:t>3. Visi</w:t>
      </w:r>
      <w:r>
        <w:rPr>
          <w:rStyle w:val="Ninguno"/>
          <w:rtl w:val="0"/>
          <w:lang w:val="es-ES_tradnl"/>
        </w:rPr>
        <w:t>ón del modelo</w:t>
      </w:r>
    </w:p>
    <w:p>
      <w:pPr>
        <w:pStyle w:val="First Paragraph"/>
      </w:pPr>
      <w:r>
        <w:rPr>
          <w:rStyle w:val="Ninguno"/>
          <w:rtl w:val="0"/>
          <w:lang w:val="en-US"/>
        </w:rPr>
        <w:t>El modelo conceptual de medición sigue la siguiente lógica:</w:t>
      </w:r>
    </w:p>
    <w:p>
      <w:pPr>
        <w:pStyle w:val="Body Text"/>
      </w:pPr>
      <w:r>
        <w:rPr>
          <w:rStyle w:val="Ninguno"/>
          <w:b w:val="1"/>
          <w:bCs w:val="1"/>
          <w:rtl w:val="0"/>
        </w:rPr>
        <w:t>Output → Outcome inmediato → Outcome intermedio → Impact → Nivel de madurez</w:t>
      </w:r>
    </w:p>
    <w:p>
      <w:pPr>
        <w:pStyle w:val="Body Text"/>
      </w:pPr>
      <w:r>
        <w:rPr>
          <w:rStyle w:val="Ninguno"/>
          <w:rtl w:val="0"/>
          <w:lang w:val="en-US"/>
        </w:rPr>
        <w:t>Esta cadena lógica sigue el marco estándar del Banco Mundial y el BID. Los Outputs son lo que se ejecuta físicamente. Los Outcomes (inmediato e intermedio) son los cambios atribuibles a la intervención. El Impact son los cambios estructurales de largo plazo. El Nivel de madurez es la lectura integrada del ITT en la escala 1–4.</w:t>
      </w:r>
      <w:bookmarkEnd w:id="4"/>
    </w:p>
    <w:p>
      <w:pPr>
        <w:pStyle w:val="Título 2"/>
      </w:pPr>
      <w:bookmarkStart w:name="dimensionesdemedición" w:id="5"/>
      <w:r>
        <w:rPr>
          <w:rStyle w:val="Ninguno"/>
          <w:rtl w:val="0"/>
          <w:lang w:val="es-ES_tradnl"/>
        </w:rPr>
        <w:t>4. Dimensiones de medició</w:t>
      </w:r>
      <w:r>
        <w:rPr>
          <w:rStyle w:val="Ninguno"/>
          <w:rtl w:val="0"/>
        </w:rPr>
        <w:t>n</w:t>
      </w:r>
    </w:p>
    <w:p>
      <w:pPr>
        <w:pStyle w:val="First Paragraph"/>
      </w:pPr>
      <w:r>
        <w:rPr>
          <w:rStyle w:val="Ninguno"/>
          <w:rtl w:val="0"/>
          <w:lang w:val="en-US"/>
        </w:rPr>
        <w:t>El modelo utiliza cinco dimensiones principales:</w:t>
      </w:r>
    </w:p>
    <w:p>
      <w:pPr>
        <w:pStyle w:val="Compact"/>
        <w:numPr>
          <w:ilvl w:val="0"/>
          <w:numId w:val="4"/>
        </w:numPr>
        <w:rPr>
          <w:lang w:val="en-US"/>
        </w:rPr>
      </w:pPr>
      <w:r>
        <w:rPr>
          <w:rStyle w:val="Ninguno"/>
          <w:rFonts w:ascii="Aptos" w:cs="Aptos" w:hAnsi="Aptos" w:eastAsia="Aptos"/>
          <w:b w:val="1"/>
          <w:bCs w:val="1"/>
          <w:rtl w:val="0"/>
          <w:lang w:val="en-US"/>
        </w:rPr>
        <w:t>Seguridad</w:t>
      </w:r>
    </w:p>
    <w:p>
      <w:pPr>
        <w:pStyle w:val="Compact"/>
        <w:numPr>
          <w:ilvl w:val="0"/>
          <w:numId w:val="4"/>
        </w:numPr>
        <w:rPr>
          <w:lang w:val="en-US"/>
        </w:rPr>
      </w:pPr>
      <w:r>
        <w:rPr>
          <w:rStyle w:val="Ninguno"/>
          <w:rFonts w:ascii="Aptos" w:cs="Aptos" w:hAnsi="Aptos" w:eastAsia="Aptos"/>
          <w:b w:val="1"/>
          <w:bCs w:val="1"/>
          <w:rtl w:val="0"/>
          <w:lang w:val="en-US"/>
        </w:rPr>
        <w:t>Movilidad</w:t>
      </w:r>
    </w:p>
    <w:p>
      <w:pPr>
        <w:pStyle w:val="Compact"/>
        <w:numPr>
          <w:ilvl w:val="0"/>
          <w:numId w:val="4"/>
        </w:numPr>
        <w:rPr>
          <w:lang w:val="en-US"/>
        </w:rPr>
      </w:pPr>
      <w:r>
        <w:rPr>
          <w:rStyle w:val="Ninguno"/>
          <w:rFonts w:ascii="Aptos" w:cs="Aptos" w:hAnsi="Aptos" w:eastAsia="Aptos"/>
          <w:b w:val="1"/>
          <w:bCs w:val="1"/>
          <w:rtl w:val="0"/>
          <w:lang w:val="en-US"/>
        </w:rPr>
        <w:t>Entorno urbano</w:t>
      </w:r>
    </w:p>
    <w:p>
      <w:pPr>
        <w:pStyle w:val="Compact"/>
        <w:numPr>
          <w:ilvl w:val="0"/>
          <w:numId w:val="4"/>
        </w:numPr>
        <w:rPr>
          <w:lang w:val="en-US"/>
        </w:rPr>
      </w:pPr>
      <w:r>
        <w:rPr>
          <w:rStyle w:val="Ninguno"/>
          <w:rFonts w:ascii="Aptos" w:cs="Aptos" w:hAnsi="Aptos" w:eastAsia="Aptos"/>
          <w:b w:val="1"/>
          <w:bCs w:val="1"/>
          <w:rtl w:val="0"/>
          <w:lang w:val="en-US"/>
        </w:rPr>
        <w:t>Desarrollo social</w:t>
      </w:r>
    </w:p>
    <w:p>
      <w:pPr>
        <w:pStyle w:val="Compact"/>
        <w:numPr>
          <w:ilvl w:val="0"/>
          <w:numId w:val="4"/>
        </w:numPr>
        <w:rPr>
          <w:lang w:val="en-US"/>
        </w:rPr>
      </w:pPr>
      <w:r>
        <w:rPr>
          <w:rStyle w:val="Ninguno"/>
          <w:rFonts w:ascii="Aptos" w:cs="Aptos" w:hAnsi="Aptos" w:eastAsia="Aptos"/>
          <w:b w:val="1"/>
          <w:bCs w:val="1"/>
          <w:rtl w:val="0"/>
          <w:lang w:val="en-US"/>
        </w:rPr>
        <w:t>Actividad económica</w:t>
      </w:r>
      <w:bookmarkEnd w:id="5"/>
    </w:p>
    <w:p>
      <w:pPr>
        <w:pStyle w:val="Body Text"/>
      </w:pPr>
      <w:r>
        <w:rPr>
          <w:rStyle w:val="Ninguno"/>
          <w:rtl w:val="0"/>
        </w:rPr>
        <w:t xml:space="preserve">Cada apuesta estratégica organiza sus indicadores en cuatro niveles que siguen la cadena lógica del modelo: Output → Outcome inmediato → Outcome intermedio → Impact. Esta estructura permite distinguir lo que se ejecuta de lo que cambia en el territorio, y lo que cambia a corto plazo de las transformaciones estructurales de largo plazo.</w:t>
      </w:r>
    </w:p>
    <w:p>
      <w:pPr>
        <w:pStyle w:val="Body Text"/>
      </w:pPr>
    </w:p>
    <w:p>
      <w:pPr>
        <w:pStyle w:val="Título 3"/>
      </w:pPr>
      <w:r>
        <w:rPr>
          <w:rStyle w:val="Ninguno"/>
          <w:rtl w:val="0"/>
        </w:rPr>
        <w:t>5.1. Pulmón de Oriente</w:t>
      </w:r>
    </w:p>
    <w:p>
      <w:pPr>
        <w:pStyle w:val="Body Text"/>
      </w:pPr>
      <w:r>
        <w:rPr>
          <w:rStyle w:val="Ninguno"/>
          <w:rtl w:val="0"/>
        </w:rPr>
        <w:t xml:space="preserve">Pulmón de Oriente es una intervención de infraestructura urbana. El mecanismo causal arranca desde la obra física y sus efectos se propagan hacia la seguridad, movilidad y calidad ambiental del territorio.</w:t>
      </w:r>
    </w:p>
    <w:p>
      <w:pPr>
        <w:pStyle w:val="Body Text"/>
      </w:pPr>
    </w:p>
    <w:p>
      <w:pPr>
        <w:pStyle w:val="Título 4"/>
      </w:pPr>
      <w:r>
        <w:rPr>
          <w:rStyle w:val="Ninguno"/>
          <w:rtl w:val="0"/>
          <w:b w:val="1"/>
        </w:rPr>
        <w:t>Nivel 1 — Output (lo que se ejecuta físicamente)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km de vía intervenida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km</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m de andenes construidos o recuperados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m</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Luminarias instaladas / recuperadas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Parques o espacios públicos intervenidos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Colegios intervenidos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Canchas / escenarios deportivos intervenidos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Bibliotecas o equipamientos comunitarios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Subsidios / viviendas beneficiadas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Frentes de intervención activos (UPS)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Inversión asociada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COP$</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r>
        <w:rPr>
          <w:rStyle w:val="Ninguno"/>
          <w:i w:val="1"/>
          <w:rtl w:val="0"/>
        </w:rPr>
        <w:t xml:space="preserve">Set mínimo para línea base: km de vía intervenida, m de andenes, luminarias recuperadas.</w:t>
      </w:r>
    </w:p>
    <w:p>
      <w:pPr>
        <w:pStyle w:val="Body Text"/>
      </w:pPr>
    </w:p>
    <w:p>
      <w:pPr>
        <w:pStyle w:val="Título 4"/>
      </w:pPr>
      <w:r>
        <w:rPr>
          <w:rStyle w:val="Ninguno"/>
          <w:rtl w:val="0"/>
          <w:b w:val="1"/>
        </w:rPr>
        <w:t>Nivel 2 — Outcome inmediato (cambios directos atribuibles)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Homicidios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Serie existente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Hurtos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Riñas / conflictividad</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Violencia intrafamiliar</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Siniestralidad vial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Accidentes con lesionados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Muertes por accidentes de tránsito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Velocidad promedio del corredor</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km/h</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Accesibilidad y circulación peatonal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 / 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Luminarias funcionales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Estado de vía (pavimento)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 / 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Área efectiva de espacio público recuperado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m²</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3 — Outcome intermedio (cambios en el territorio más allá de la obra)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NDVI / cobertura vegetal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Área verde neta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ha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Temperatura superficial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Calidad del entorno de lagunas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 / 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Aforo o uso del espacio público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 / día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Uso de canchas, parques y equipamientos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Visitas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Asistencia a actividades comunitarias o culturales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Negocios activos en el área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Licencias / actividad comercial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Valor catastral promedio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COP$/m²</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Dinámica predial o inmobiliaria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Transacciones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4 — Impact (indicadores estructurales de largo plazo)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IPM o indicador territorial de condiciones de vida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Acceso a servicios sociales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Cobertura %</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Percepción de seguridad</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Confianza institucional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Permanencia escolar</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Permanencia residencial / no desplazamiento indirecto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r>
        <w:rPr>
          <w:rStyle w:val="Ninguno"/>
          <w:i w:val="1"/>
          <w:rtl w:val="0"/>
        </w:rPr>
        <w:t xml:space="preserve">Set mínimo para mostrar al alcalde: homicidios, hurtos, siniestralidad vial, NDVI, valor catastral promedio.</w:t>
      </w:r>
    </w:p>
    <w:p>
      <w:pPr>
        <w:pStyle w:val="Body Text"/>
      </w:pPr>
    </w:p>
    <w:p>
      <w:pPr>
        <w:pStyle w:val="Título 3"/>
      </w:pPr>
      <w:r>
        <w:rPr>
          <w:rStyle w:val="Ninguno"/>
          <w:rtl w:val="0"/>
        </w:rPr>
        <w:t>5.2. MicroTIO</w:t>
      </w:r>
    </w:p>
    <w:p>
      <w:pPr>
        <w:pStyle w:val="Body Text"/>
      </w:pPr>
      <w:r>
        <w:rPr>
          <w:rStyle w:val="Ninguno"/>
          <w:rtl w:val="0"/>
        </w:rPr>
        <w:t xml:space="preserve">MicroTIO es una intervención social y territorial integrada. La obra física es el soporte; el motor de transformación son las personas, las organizaciones comunitarias y el tejido social del territorio.</w:t>
      </w:r>
    </w:p>
    <w:p>
      <w:pPr>
        <w:pStyle w:val="Body Text"/>
      </w:pPr>
    </w:p>
    <w:p>
      <w:pPr>
        <w:pStyle w:val="Título 4"/>
      </w:pPr>
      <w:r>
        <w:rPr>
          <w:rStyle w:val="Ninguno"/>
          <w:rtl w:val="0"/>
          <w:b w:val="1"/>
        </w:rPr>
        <w:t>Nivel 1 — Output (lo que se ejecuta)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Iniciativas comunitarias financiadas o acompañadas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25</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Jóvenes vinculados a programas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668</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Líderes y organizaciones acompañadas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62</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Espacios comunitarios habilitados o adecuados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Actividades culturales, deportivas o de convivencia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Beneficiarios de programas sociales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1.200+</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Adultos mayores atendidos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340</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Habitantes de calle atendidos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160</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Beneficiarios programas deportivos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1.917</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Personas en comedores comunitarios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6.970</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Inversión por componente social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COP$</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2 — Outcome inmediato (cambios directos atribuibles)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Riñas / conflictividad barrial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Violencia intrafamiliar</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Hurtos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Asistencia a actividades comunitarias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Jóvenes en riesgo vinculados a programas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3 — Outcome intermedio (cambios en el territorio)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Apropiación del espacio comunitario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Aforo / 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Percepción de seguridad barrial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Confianza entre vecinos / cohesión social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Participación en instancias comunitarias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Actividad de organizaciones locales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 activas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Acceso efectivo a servicios sociales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Cobertura %</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4 — Impact (indicadores estructurales de largo plazo)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IPM o indicador de condiciones de vida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Permanencia escolar</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Reducción de vinculación a economías ilegales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Proxy (capturas, denuncias menores)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Confianza institucional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Permanencia residencial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r>
        <w:rPr>
          <w:rStyle w:val="Ninguno"/>
          <w:i w:val="1"/>
          <w:rtl w:val="0"/>
        </w:rPr>
        <w:t xml:space="preserve">Set mínimo para mostrar al alcalde: jóvenes vinculados a programas, riñas / conflictividad, percepción de seguridad, permanencia escolar, confianza institucional.</w:t>
      </w:r>
    </w:p>
    <w:p>
      <w:pPr>
        <w:pStyle w:val="Body Text"/>
      </w:pPr>
    </w:p>
    <w:p>
      <w:pPr>
        <w:pStyle w:val="Título 3"/>
      </w:pPr>
      <w:r>
        <w:rPr>
          <w:rStyle w:val="Ninguno"/>
          <w:rtl w:val="0"/>
        </w:rPr>
        <w:t>5.3. Barrio Obrero</w:t>
      </w:r>
    </w:p>
    <w:p>
      <w:pPr>
        <w:pStyle w:val="Body Text"/>
      </w:pPr>
      <w:r>
        <w:rPr>
          <w:rStyle w:val="Ninguno"/>
          <w:rtl w:val="0"/>
        </w:rPr>
        <w:t xml:space="preserve">Barrio Obrero es una intervención de revitalización económica y cultural del centro. El espacio público habilita el comercio y la vida colectiva; los Outcomes se miden en uso, flujo y formalización económica.</w:t>
      </w:r>
    </w:p>
    <w:p>
      <w:pPr>
        <w:pStyle w:val="Body Text"/>
      </w:pPr>
    </w:p>
    <w:p>
      <w:pPr>
        <w:pStyle w:val="Título 4"/>
      </w:pPr>
      <w:r>
        <w:rPr>
          <w:rStyle w:val="Ninguno"/>
          <w:rtl w:val="0"/>
          <w:b w:val="1"/>
        </w:rPr>
        <w:t>Nivel 1 — Output (lo que se ejecuta)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m² de espacio público intervenido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m²</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Fachadas recuperadas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Luminarias instaladas / recuperadas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Equipamientos culturales o comerciales habilitados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Eventos culturales o activaciones realizadas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Inversión asociada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COP$</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2 — Outcome inmediato (cambios directos atribuibles)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Aforo peatonal en corredores intervenidos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 / día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Hurtos en espacio público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Casos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Uso de espacios culturales y comerciales habilitados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Visitas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Negocios activos en el área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Nuevas licencias de funcionamiento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3 — Outcome intermedio (cambios en el territorio)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Valor catastral promedio del área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COP$/m²</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Dinámica predial / transacciones inmobiliarias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Transacciones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Formalización de negocios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Diversificación de oferta comercial y cultural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Tipos de negocio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Percepción de seguridad y apropiación del espacio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Visitantes o afluencia externa al barrio</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Personas / semana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p>
    <w:p>
      <w:pPr>
        <w:pStyle w:val="Título 4"/>
      </w:pPr>
      <w:r>
        <w:rPr>
          <w:rStyle w:val="Ninguno"/>
          <w:rtl w:val="0"/>
          <w:b w:val="1"/>
        </w:rPr>
        <w:t>Nivel 4 — Impact (indicadores estructurales de largo plazo)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left w:w="108" w:type="dxa"/>
          <w:bottom w:w="0" w:type="dxa"/>
          <w:right w:w="108" w:type="dxa"/>
        </w:tblCellMar>
      </w:tblPr>
      <w:tblGrid>
        <w:gridCol w:w="3800"/>
        <w:gridCol w:w="2200"/>
        <w:gridCol w:w="3360"/>
      </w:tblGrid>
      <w:tr>
        <w:tc>
          <w:tcPr>
            <w:tcW w:w="3800" w:type="dxa"/>
            <w:shd w:val="clear" w:color="auto" w:fill="D5E8F0"/>
            <w:tcMar>
              <w:top w:w="80" w:type="dxa"/>
              <w:left w:w="120" w:type="dxa"/>
              <w:bottom w:w="80" w:type="dxa"/>
              <w:right w:w="120" w:type="dxa"/>
            </w:tcMar>
          </w:tcPr>
          <w:p>
            <w:pPr>
              <w:pStyle w:val="Body Text"/>
            </w:pPr>
            <w:r>
              <w:rPr>
                <w:rStyle w:val="Ninguno"/>
                <w:b w:val="1"/>
                <w:rtl w:val="0"/>
              </w:rPr>
              <w:t xml:space="preserve">Indicador</w:t>
            </w:r>
          </w:p>
        </w:tc>
        <w:tc>
          <w:tcPr>
            <w:tcW w:w="2200" w:type="dxa"/>
            <w:shd w:val="clear" w:color="auto" w:fill="D5E8F0"/>
            <w:tcMar>
              <w:top w:w="80" w:type="dxa"/>
              <w:left w:w="120" w:type="dxa"/>
              <w:bottom w:w="80" w:type="dxa"/>
              <w:right w:w="120" w:type="dxa"/>
            </w:tcMar>
          </w:tcPr>
          <w:p>
            <w:pPr>
              <w:pStyle w:val="Body Text"/>
            </w:pPr>
            <w:r>
              <w:rPr>
                <w:rStyle w:val="Ninguno"/>
                <w:b w:val="1"/>
                <w:rtl w:val="0"/>
              </w:rPr>
              <w:t xml:space="preserve">Unidad</w:t>
            </w:r>
          </w:p>
        </w:tc>
        <w:tc>
          <w:tcPr>
            <w:tcW w:w="3360" w:type="dxa"/>
            <w:shd w:val="clear" w:color="auto" w:fill="D5E8F0"/>
            <w:tcMar>
              <w:top w:w="80" w:type="dxa"/>
              <w:left w:w="120" w:type="dxa"/>
              <w:bottom w:w="80" w:type="dxa"/>
              <w:right w:w="120" w:type="dxa"/>
            </w:tcMar>
          </w:tcPr>
          <w:p>
            <w:pPr>
              <w:pStyle w:val="Body Text"/>
            </w:pPr>
            <w:r>
              <w:rPr>
                <w:rStyle w:val="Ninguno"/>
                <w:b w:val="1"/>
                <w:rtl w:val="0"/>
              </w:rPr>
              <w:t xml:space="preserve">Línea base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Generación de empleo formal en el área</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Empleos</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Permanencia y atracción de residentes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Proxy</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Reducción de locales vacíos o predios abandonados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Número</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Posicionamiento como polo cultural o comercial</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Proxy / encuesta</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r>
        <w:tc>
          <w:tcPr>
            <w:tcW w:w="3800" w:type="dxa"/>
            <w:shd w:val="clear" w:color="auto" w:fill="auto"/>
            <w:tcMar>
              <w:top w:w="80" w:type="dxa"/>
              <w:left w:w="120" w:type="dxa"/>
              <w:bottom w:w="80" w:type="dxa"/>
              <w:right w:w="120" w:type="dxa"/>
            </w:tcMar>
          </w:tcPr>
          <w:p>
            <w:pPr>
              <w:pStyle w:val="Body Text"/>
            </w:pPr>
            <w:r>
              <w:rPr>
                <w:rStyle w:val="Ninguno"/>
                <w:rtl w:val="0"/>
              </w:rPr>
              <w:t xml:space="preserve">IPM / condiciones de vida de residentes históricos</w:t>
            </w:r>
          </w:p>
        </w:tc>
        <w:tc>
          <w:tcPr>
            <w:tcW w:w="2200" w:type="dxa"/>
            <w:shd w:val="clear" w:color="auto" w:fill="auto"/>
            <w:tcMar>
              <w:top w:w="80" w:type="dxa"/>
              <w:left w:w="120" w:type="dxa"/>
              <w:bottom w:w="80" w:type="dxa"/>
              <w:right w:w="120" w:type="dxa"/>
            </w:tcMar>
          </w:tcPr>
          <w:p>
            <w:pPr>
              <w:pStyle w:val="Body Text"/>
            </w:pPr>
            <w:r>
              <w:rPr>
                <w:rStyle w:val="Ninguno"/>
                <w:rtl w:val="0"/>
              </w:rPr>
              <w:t xml:space="preserve">Índice</w:t>
            </w:r>
          </w:p>
        </w:tc>
        <w:tc>
          <w:tcPr>
            <w:tcW w:w="3360" w:type="dxa"/>
            <w:shd w:val="clear" w:color="auto" w:fill="auto"/>
            <w:tcMar>
              <w:top w:w="80" w:type="dxa"/>
              <w:left w:w="120" w:type="dxa"/>
              <w:bottom w:w="80" w:type="dxa"/>
              <w:right w:w="120" w:type="dxa"/>
            </w:tcMar>
          </w:tcPr>
          <w:p>
            <w:pPr>
              <w:pStyle w:val="Body Text"/>
            </w:pPr>
            <w:r>
              <w:rPr>
                <w:rStyle w:val="Ninguno"/>
                <w:rtl w:val="0"/>
              </w:rPr>
              <w:t xml:space="preserve">*</w:t>
            </w:r>
          </w:p>
        </w:tc>
      </w:tr>
    </w:tbl>
    <w:p>
      <w:pPr>
        <w:pStyle w:val="Body Text"/>
      </w:pPr>
      <w:r>
        <w:rPr>
          <w:rStyle w:val="Ninguno"/>
          <w:i w:val="1"/>
          <w:rtl w:val="0"/>
        </w:rPr>
        <w:t xml:space="preserve">Set mínimo para mostrar al alcalde: aforo peatonal, hurtos en espacio público, negocios activos, valor catastral promedio, formalización de negocios.</w:t>
      </w:r>
    </w:p>
    <w:p>
      <w:pPr>
        <w:pStyle w:val="Body Text"/>
      </w:pPr>
    </w:p>
    <w:p>
      <w:pPr>
        <w:pStyle w:val="Título 2"/>
      </w:pPr>
      <w:bookmarkStart w:name="indicadoresestructuralestransversales" w:id="20"/>
      <w:r>
        <w:rPr>
          <w:rStyle w:val="Ninguno"/>
          <w:rtl w:val="0"/>
          <w:lang w:val="es-ES_tradnl"/>
        </w:rPr>
        <w:t>6. Indicadores estructurales transversales</w:t>
      </w:r>
    </w:p>
    <w:p>
      <w:pPr>
        <w:pStyle w:val="First Paragraph"/>
      </w:pPr>
      <w:r>
        <w:rPr>
          <w:rStyle w:val="Ninguno"/>
          <w:rtl w:val="0"/>
          <w:lang w:val="en-US"/>
        </w:rPr>
        <w:t>Estos indicadores permiten evaluar impactos de largo plazo.</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40"/>
        <w:gridCol w:w="2640"/>
        <w:gridCol w:w="2640"/>
      </w:tblGrid>
      <w:tr>
        <w:tblPrEx>
          <w:shd w:val="clear" w:color="auto" w:fill="156082"/>
        </w:tblPrEx>
        <w:trPr>
          <w:trHeight w:val="280" w:hRule="atLeast"/>
          <w:tblHeader/>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Indicador</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Fuente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Línea base</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Índice de Pobreza Multidimensional (IPM)</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DANE / Planeación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Clasificación Sisbén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Planeación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Disponible por comuna</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Cobertura educativa</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Educación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Acceso a servicios sociales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Bienestar Social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NDVI</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Imágenes satelitales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Valor catastral promedio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Catastro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Negocios activos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Cámara de Comercio / ICA</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Uso del espacio público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Aforos / proxy</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w:t>
            </w:r>
          </w:p>
        </w:tc>
      </w:tr>
    </w:tbl>
    <w:p>
      <w:pPr>
        <w:pStyle w:val="First Paragraph"/>
        <w:widowControl w:val="0"/>
      </w:pPr>
    </w:p>
    <w:p>
      <w:pPr>
        <w:pStyle w:val="Título 2"/>
      </w:pPr>
      <w:bookmarkStart w:name="metodologíadeanálisis" w:id="21"/>
      <w:r>
        <w:rPr>
          <w:rStyle w:val="Ninguno"/>
          <w:rtl w:val="0"/>
          <w:lang w:val="pt-PT"/>
        </w:rPr>
        <w:t>7. Metodolog</w:t>
      </w:r>
      <w:r>
        <w:rPr>
          <w:rStyle w:val="Ninguno"/>
          <w:rtl w:val="0"/>
        </w:rPr>
        <w:t>í</w:t>
      </w:r>
      <w:r>
        <w:rPr>
          <w:rStyle w:val="Ninguno"/>
          <w:rtl w:val="0"/>
          <w:lang w:val="pt-PT"/>
        </w:rPr>
        <w:t>a de an</w:t>
      </w:r>
      <w:r>
        <w:rPr>
          <w:rStyle w:val="Ninguno"/>
          <w:rtl w:val="0"/>
        </w:rPr>
        <w:t>álisis</w:t>
      </w:r>
    </w:p>
    <w:p>
      <w:pPr>
        <w:pStyle w:val="First Paragraph"/>
      </w:pPr>
      <w:r>
        <w:rPr>
          <w:rStyle w:val="Ninguno"/>
          <w:rtl w:val="0"/>
          <w:lang w:val="en-US"/>
        </w:rPr>
        <w:t>El modelo combina tres enfoques analíticos.</w:t>
      </w:r>
      <w:bookmarkEnd w:id="21"/>
      <w:bookmarkEnd w:id="20"/>
    </w:p>
    <w:p>
      <w:pPr>
        <w:pStyle w:val="Título 3"/>
      </w:pPr>
      <w:bookmarkStart w:name="análisisantesdespués" w:id="22"/>
      <w:r>
        <w:rPr>
          <w:rStyle w:val="Ninguno"/>
          <w:rtl w:val="0"/>
        </w:rPr>
        <w:t>7.1. Aná</w:t>
      </w:r>
      <w:r>
        <w:rPr>
          <w:rStyle w:val="Ninguno"/>
          <w:rtl w:val="0"/>
          <w:lang w:val="es-ES_tradnl"/>
        </w:rPr>
        <w:t>lisis antes-despu</w:t>
      </w:r>
      <w:r>
        <w:rPr>
          <w:rStyle w:val="Ninguno"/>
          <w:rtl w:val="0"/>
          <w:lang w:val="fr-FR"/>
        </w:rPr>
        <w:t>é</w:t>
      </w:r>
      <w:r>
        <w:rPr>
          <w:rStyle w:val="Ninguno"/>
          <w:rtl w:val="0"/>
        </w:rPr>
        <w:t>s</w:t>
      </w:r>
    </w:p>
    <w:p>
      <w:pPr>
        <w:pStyle w:val="First Paragraph"/>
      </w:pPr>
      <w:r>
        <w:rPr>
          <w:rStyle w:val="Ninguno"/>
          <w:rtl w:val="0"/>
          <w:lang w:val="en-US"/>
        </w:rPr>
        <w:t>Comparación entre línea base y situación posterior a las intervenciones.</w:t>
      </w:r>
      <w:bookmarkEnd w:id="22"/>
      <w:bookmarkEnd w:id="19"/>
    </w:p>
    <w:p>
      <w:pPr>
        <w:pStyle w:val="Título 3"/>
      </w:pPr>
      <w:bookmarkStart w:name="diferenciaendiferenciasdid" w:id="23"/>
      <w:r>
        <w:rPr>
          <w:rStyle w:val="Ninguno"/>
          <w:rtl w:val="0"/>
          <w:lang w:val="es-ES_tradnl"/>
        </w:rPr>
        <w:t>7.2. Diferencia en diferencias (DiD)</w:t>
      </w:r>
    </w:p>
    <w:p>
      <w:pPr>
        <w:pStyle w:val="First Paragraph"/>
      </w:pPr>
      <w:r>
        <w:rPr>
          <w:rStyle w:val="Ninguno"/>
          <w:rtl w:val="0"/>
          <w:lang w:val="en-US"/>
        </w:rPr>
        <w:t xml:space="preserve">Comparación entre territorio intervenido y territorio de control. La validez del método depende críticamente de la calidad del territorio espejo: si el control no es comparable con el territorio tratado, la atribución del impacto pierde solidez metodológica.</w:t>
      </w:r>
    </w:p>
    <w:p>
      <w:pPr>
        <w:pStyle w:val="Body Text"/>
      </w:pPr>
      <w:r>
        <w:rPr>
          <w:rStyle w:val="Ninguno"/>
          <w:b w:val="1"/>
          <w:bCs w:val="1"/>
        </w:rPr>
        <w:t>Criterios de selección del territorio espejo</w:t>
      </w:r>
    </w:p>
    <w:p>
      <w:pPr>
        <w:pStyle w:val="Body Text"/>
      </w:pPr>
      <w:r>
        <w:rPr>
          <w:rStyle w:val="Ninguno"/>
        </w:rPr>
        <w:t xml:space="preserve">El territorio de control debe cumplir las siguientes condiciones: (1) similitud socioeconómica con el territorio intervenido – medida por estratificación, nivel de Sisbén o IPM de referencia; (2) densidad poblacional y estructura urbana comparables; (3) ausencia de intervenciones públicas significativas en el período de medición; (4) ubicación geográfica que no reciba efectos indirectos de la intervención evaluada (efecto derrame). La selección del territorio espejo deberá ser validada por la Secretaría de Planeación y documentada en la tabla de configuración del modelo de datos (ver sección 13.2).</w:t>
      </w:r>
    </w:p>
    <w:p>
      <w:pPr>
        <w:pStyle w:val="Body Text"/>
      </w:pPr>
      <w:r>
        <w:rPr>
          <w:rStyle w:val="Ninguno"/>
          <w:rFonts w:ascii="Aptos" w:cs="Aptos" w:hAnsi="Aptos" w:eastAsia="Aptos"/>
          <w:b w:val="1"/>
          <w:bCs w:val="1"/>
          <w:rtl w:val="0"/>
          <w:lang w:val="en-US"/>
        </w:rPr>
        <w:t>Impacto = (Post_T - Pre_T) - (Post_C - Pre_C)</w:t>
      </w:r>
    </w:p>
    <w:p>
      <w:pPr>
        <w:pStyle w:val="Body Text"/>
      </w:pPr>
      <w:r>
        <w:rPr>
          <w:rStyle w:val="Ninguno"/>
          <w:rtl w:val="0"/>
          <w:lang w:val="en-US"/>
        </w:rPr>
        <w:t>Donde:</w:t>
      </w:r>
    </w:p>
    <w:p>
      <w:pPr>
        <w:pStyle w:val="Compact"/>
        <w:numPr>
          <w:ilvl w:val="0"/>
          <w:numId w:val="2"/>
        </w:numPr>
        <w:rPr>
          <w:lang w:val="en-US"/>
        </w:rPr>
      </w:pPr>
      <w:r>
        <w:rPr>
          <w:rStyle w:val="Ninguno"/>
          <w:rFonts w:ascii="Aptos" w:cs="Aptos" w:hAnsi="Aptos" w:eastAsia="Aptos"/>
          <w:b w:val="1"/>
          <w:bCs w:val="1"/>
          <w:rtl w:val="0"/>
          <w:lang w:val="en-US"/>
        </w:rPr>
        <w:t>Pre_T</w:t>
      </w:r>
      <w:r>
        <w:rPr>
          <w:rStyle w:val="Ninguno"/>
          <w:rtl w:val="0"/>
          <w:lang w:val="en-US"/>
        </w:rPr>
        <w:t xml:space="preserve"> = indicador antes de la intervención en territorio tratado</w:t>
      </w:r>
    </w:p>
    <w:p>
      <w:pPr>
        <w:pStyle w:val="Compact"/>
        <w:numPr>
          <w:ilvl w:val="0"/>
          <w:numId w:val="2"/>
        </w:numPr>
        <w:rPr>
          <w:lang w:val="en-US"/>
        </w:rPr>
      </w:pPr>
      <w:r>
        <w:rPr>
          <w:rStyle w:val="Ninguno"/>
          <w:rFonts w:ascii="Aptos" w:cs="Aptos" w:hAnsi="Aptos" w:eastAsia="Aptos"/>
          <w:b w:val="1"/>
          <w:bCs w:val="1"/>
          <w:rtl w:val="0"/>
          <w:lang w:val="en-US"/>
        </w:rPr>
        <w:t>Post_T</w:t>
      </w:r>
      <w:r>
        <w:rPr>
          <w:rStyle w:val="Ninguno"/>
          <w:rtl w:val="0"/>
          <w:lang w:val="en-US"/>
        </w:rPr>
        <w:t xml:space="preserve"> = indicador después de la intervención en territorio tratado</w:t>
      </w:r>
    </w:p>
    <w:p>
      <w:pPr>
        <w:pStyle w:val="Compact"/>
        <w:numPr>
          <w:ilvl w:val="0"/>
          <w:numId w:val="2"/>
        </w:numPr>
        <w:rPr>
          <w:lang w:val="en-US"/>
        </w:rPr>
      </w:pPr>
      <w:r>
        <w:rPr>
          <w:rStyle w:val="Ninguno"/>
          <w:rFonts w:ascii="Aptos" w:cs="Aptos" w:hAnsi="Aptos" w:eastAsia="Aptos"/>
          <w:b w:val="1"/>
          <w:bCs w:val="1"/>
          <w:rtl w:val="0"/>
          <w:lang w:val="en-US"/>
        </w:rPr>
        <w:t>Pre_C</w:t>
      </w:r>
      <w:r>
        <w:rPr>
          <w:rStyle w:val="Ninguno"/>
          <w:rtl w:val="0"/>
          <w:lang w:val="en-US"/>
        </w:rPr>
        <w:t xml:space="preserve"> = indicador antes en territorio control</w:t>
      </w:r>
    </w:p>
    <w:p>
      <w:pPr>
        <w:pStyle w:val="Compact"/>
        <w:numPr>
          <w:ilvl w:val="0"/>
          <w:numId w:val="2"/>
        </w:numPr>
        <w:rPr>
          <w:lang w:val="en-US"/>
        </w:rPr>
      </w:pPr>
      <w:r>
        <w:rPr>
          <w:rStyle w:val="Ninguno"/>
          <w:rFonts w:ascii="Aptos" w:cs="Aptos" w:hAnsi="Aptos" w:eastAsia="Aptos"/>
          <w:b w:val="1"/>
          <w:bCs w:val="1"/>
          <w:rtl w:val="0"/>
          <w:lang w:val="en-US"/>
        </w:rPr>
        <w:t>Post_C</w:t>
      </w:r>
      <w:r>
        <w:rPr>
          <w:rStyle w:val="Ninguno"/>
          <w:rtl w:val="0"/>
          <w:lang w:val="en-US"/>
        </w:rPr>
        <w:t xml:space="preserve"> = indicador después en territorio control</w:t>
      </w:r>
      <w:bookmarkEnd w:id="23"/>
      <w:bookmarkEnd w:id="18"/>
    </w:p>
    <w:p>
      <w:pPr>
        <w:pStyle w:val="Título 3"/>
      </w:pPr>
      <w:bookmarkStart w:name="índicedetransformaciónterritorialitt" w:id="24"/>
      <w:r>
        <w:rPr>
          <w:rStyle w:val="Ninguno"/>
          <w:rtl w:val="0"/>
        </w:rPr>
        <w:t>7.3. Í</w:t>
      </w:r>
      <w:r>
        <w:rPr>
          <w:rStyle w:val="Ninguno"/>
          <w:rtl w:val="0"/>
          <w:lang w:val="es-ES_tradnl"/>
        </w:rPr>
        <w:t>ndice de Transformació</w:t>
      </w:r>
      <w:r>
        <w:rPr>
          <w:rStyle w:val="Ninguno"/>
          <w:rtl w:val="0"/>
          <w:lang w:val="it-IT"/>
        </w:rPr>
        <w:t>n Territorial (ITT)</w:t>
      </w:r>
    </w:p>
    <w:p>
      <w:pPr>
        <w:pStyle w:val="First Paragraph"/>
      </w:pPr>
      <w:r>
        <w:rPr>
          <w:rStyle w:val="Ninguno"/>
          <w:rtl w:val="0"/>
          <w:lang w:val="en-US"/>
        </w:rPr>
        <w:t>El índice sintetiza los cambios en las dimensiones principales.</w:t>
      </w:r>
    </w:p>
    <w:p>
      <w:pPr>
        <w:pStyle w:val="Body Text"/>
      </w:pPr>
      <w:r>
        <w:rPr>
          <w:rStyle w:val="Ninguno"/>
          <w:rFonts w:ascii="Aptos" w:cs="Aptos" w:hAnsi="Aptos" w:eastAsia="Aptos"/>
          <w:b w:val="1"/>
          <w:bCs w:val="1"/>
          <w:rtl w:val="0"/>
          <w:lang w:val="en-US"/>
        </w:rPr>
        <w:t>ITT = 0,30 Seguridad + 0,20 Entorno urbano + 0,20 Movilidad + 0,15 Desarrollo social + 0,15 Actividad económica</w:t>
      </w:r>
      <w:bookmarkEnd w:id="24"/>
      <w:bookmarkEnd w:id="17"/>
    </w:p>
    <w:p>
      <w:pPr>
        <w:pStyle w:val="Body Text"/>
      </w:pPr>
      <w:r>
        <w:rPr>
          <w:rStyle w:val="Ninguno"/>
          <w:i w:val="1"/>
          <w:iCs w:val="1"/>
        </w:rPr>
        <w:t xml:space="preserve">Nota metodológica: Las ponderaciones anteriores son una propuesta inicial sujeta a validación. Serán discutidas y ajustadas en una mesa de trabajo interinstitucional, considerando las prioridades del Plan de Desarrollo Municipal y la naturaleza de cada apuesta estratégica. Las ponderaciones definitivas quedarán documentadas y justificadas una vez surtido ese proceso.</w:t>
      </w:r>
    </w:p>
    <w:p>
      <w:pPr>
        <w:pStyle w:val="Título 3"/>
      </w:pPr>
      <w:r>
        <w:rPr>
          <w:rStyle w:val="Ninguno"/>
        </w:rPr>
        <w:t>7.4. Perfiles diferenciados de ponderación por apuesta estratégica</w:t>
      </w:r>
    </w:p>
    <w:p>
      <w:pPr>
        <w:pStyle w:val="First Paragraph"/>
      </w:pPr>
      <w:r>
        <w:rPr>
          <w:rStyle w:val="Ninguno"/>
        </w:rPr>
        <w:t xml:space="preserve">Dado que las tres apuestas estratégicas tienen lógicas causales distintas, se proponen perfiles de ponderación diferenciados. Esto permite que el ITT de cada territorio refleje con mayor fidelidad su teoría de cambio particular, sin perder comparabilidad entre apuestas ya que todos se expresan en la misma escala 0–100.</w:t>
      </w:r>
    </w:p>
    <w:tbl>
      <w:tblPr>
        <w:tblW w:w="9360" w:type="dxa"/>
        <w:jc w:val="lef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Pr>
      <w:tblGrid>
        <w:gridCol w:w="2340"/>
        <w:gridCol w:w="2340"/>
        <w:gridCol w:w="2340"/>
        <w:gridCol w:w="2340"/>
      </w:tblGrid>
      <w:tr>
        <w:trPr>
          <w:tblHeader/>
        </w:trPr>
        <w:tc>
          <w:tcPr>
            <w:tcW w:type="dxa" w:w="2340"/>
            <w:shd w:val="clear" w:fill="1F4E79"/>
          </w:tcPr>
          <w:p>
            <w:pPr>
              <w:jc w:val="center"/>
            </w:pPr>
            <w:r>
              <w:rPr>
                <w:b/>
                <w:color w:val="FFFFFF"/>
              </w:rPr>
              <w:t>Dimensión</w:t>
            </w:r>
          </w:p>
        </w:tc>
        <w:tc>
          <w:tcPr>
            <w:tcW w:type="dxa" w:w="2340"/>
            <w:shd w:val="clear" w:fill="1F4E79"/>
          </w:tcPr>
          <w:p>
            <w:pPr>
              <w:jc w:val="center"/>
            </w:pPr>
            <w:r>
              <w:rPr>
                <w:b/>
                <w:color w:val="FFFFFF"/>
              </w:rPr>
              <w:t>Pulmón de Oriente</w:t>
            </w:r>
          </w:p>
        </w:tc>
        <w:tc>
          <w:tcPr>
            <w:tcW w:type="dxa" w:w="2340"/>
            <w:shd w:val="clear" w:fill="1F4E79"/>
          </w:tcPr>
          <w:p>
            <w:pPr>
              <w:jc w:val="center"/>
            </w:pPr>
            <w:r>
              <w:rPr>
                <w:b/>
                <w:color w:val="FFFFFF"/>
              </w:rPr>
              <w:t>MicroTIO</w:t>
            </w:r>
          </w:p>
        </w:tc>
        <w:tc>
          <w:tcPr>
            <w:tcW w:type="dxa" w:w="2340"/>
            <w:shd w:val="clear" w:fill="1F4E79"/>
          </w:tcPr>
          <w:p>
            <w:pPr>
              <w:jc w:val="center"/>
            </w:pPr>
            <w:r>
              <w:rPr>
                <w:b/>
                <w:color w:val="FFFFFF"/>
              </w:rPr>
              <w:t>Barrio Obrero</w:t>
            </w:r>
          </w:p>
        </w:tc>
      </w:tr>
      <w:tr>
        <w:tc>
          <w:tcPr>
            <w:tcW w:type="dxa" w:w="2340"/>
            <w:shd w:val="clear" w:fill="DEEAF1"/>
          </w:tcPr>
          <w:p>
            <w:r>
              <w:rPr>
                <w:b/>
              </w:rPr>
              <w:t>Seguridad</w:t>
            </w:r>
          </w:p>
        </w:tc>
        <w:tc>
          <w:tcPr>
            <w:tcW w:type="dxa" w:w="2340"/>
          </w:tcPr>
          <w:p>
            <w:pPr>
              <w:jc w:val="center"/>
            </w:pPr>
            <w:r>
              <w:t>0,20</w:t>
            </w:r>
          </w:p>
        </w:tc>
        <w:tc>
          <w:tcPr>
            <w:tcW w:type="dxa" w:w="2340"/>
          </w:tcPr>
          <w:p>
            <w:pPr>
              <w:jc w:val="center"/>
            </w:pPr>
            <w:r>
              <w:t>0,20</w:t>
            </w:r>
          </w:p>
        </w:tc>
        <w:tc>
          <w:tcPr>
            <w:tcW w:type="dxa" w:w="2340"/>
          </w:tcPr>
          <w:p>
            <w:pPr>
              <w:jc w:val="center"/>
            </w:pPr>
            <w:r>
              <w:t>0,25</w:t>
            </w:r>
          </w:p>
        </w:tc>
      </w:tr>
      <w:tr>
        <w:tc>
          <w:tcPr>
            <w:tcW w:type="dxa" w:w="2340"/>
            <w:shd w:val="clear" w:fill="DEEAF1"/>
          </w:tcPr>
          <w:p>
            <w:r>
              <w:rPr>
                <w:b/>
              </w:rPr>
              <w:t>Entorno urbano</w:t>
            </w:r>
          </w:p>
        </w:tc>
        <w:tc>
          <w:tcPr>
            <w:tcW w:type="dxa" w:w="2340"/>
          </w:tcPr>
          <w:p>
            <w:pPr>
              <w:jc w:val="center"/>
            </w:pPr>
            <w:r>
              <w:t>0,30</w:t>
            </w:r>
          </w:p>
        </w:tc>
        <w:tc>
          <w:tcPr>
            <w:tcW w:type="dxa" w:w="2340"/>
          </w:tcPr>
          <w:p>
            <w:pPr>
              <w:jc w:val="center"/>
            </w:pPr>
            <w:r>
              <w:t>0,20</w:t>
            </w:r>
          </w:p>
        </w:tc>
        <w:tc>
          <w:tcPr>
            <w:tcW w:type="dxa" w:w="2340"/>
          </w:tcPr>
          <w:p>
            <w:pPr>
              <w:jc w:val="center"/>
            </w:pPr>
            <w:r>
              <w:t>0,15</w:t>
            </w:r>
          </w:p>
        </w:tc>
      </w:tr>
      <w:tr>
        <w:tc>
          <w:tcPr>
            <w:tcW w:type="dxa" w:w="2340"/>
            <w:shd w:val="clear" w:fill="DEEAF1"/>
          </w:tcPr>
          <w:p>
            <w:r>
              <w:rPr>
                <w:b/>
              </w:rPr>
              <w:t>Movilidad</w:t>
            </w:r>
          </w:p>
        </w:tc>
        <w:tc>
          <w:tcPr>
            <w:tcW w:type="dxa" w:w="2340"/>
          </w:tcPr>
          <w:p>
            <w:pPr>
              <w:jc w:val="center"/>
            </w:pPr>
            <w:r>
              <w:t>0,20</w:t>
            </w:r>
          </w:p>
        </w:tc>
        <w:tc>
          <w:tcPr>
            <w:tcW w:type="dxa" w:w="2340"/>
          </w:tcPr>
          <w:p>
            <w:pPr>
              <w:jc w:val="center"/>
            </w:pPr>
            <w:r>
              <w:t>0,10</w:t>
            </w:r>
          </w:p>
        </w:tc>
        <w:tc>
          <w:tcPr>
            <w:tcW w:type="dxa" w:w="2340"/>
          </w:tcPr>
          <w:p>
            <w:pPr>
              <w:jc w:val="center"/>
            </w:pPr>
            <w:r>
              <w:t>0,10</w:t>
            </w:r>
          </w:p>
        </w:tc>
      </w:tr>
      <w:tr>
        <w:tc>
          <w:tcPr>
            <w:tcW w:type="dxa" w:w="2340"/>
            <w:shd w:val="clear" w:fill="DEEAF1"/>
          </w:tcPr>
          <w:p>
            <w:r>
              <w:rPr>
                <w:b/>
              </w:rPr>
              <w:t>Desarrollo social</w:t>
            </w:r>
          </w:p>
        </w:tc>
        <w:tc>
          <w:tcPr>
            <w:tcW w:type="dxa" w:w="2340"/>
          </w:tcPr>
          <w:p>
            <w:pPr>
              <w:jc w:val="center"/>
            </w:pPr>
            <w:r>
              <w:t>0,15</w:t>
            </w:r>
          </w:p>
        </w:tc>
        <w:tc>
          <w:tcPr>
            <w:tcW w:type="dxa" w:w="2340"/>
          </w:tcPr>
          <w:p>
            <w:pPr>
              <w:jc w:val="center"/>
            </w:pPr>
            <w:r>
              <w:t>0,35</w:t>
            </w:r>
          </w:p>
        </w:tc>
        <w:tc>
          <w:tcPr>
            <w:tcW w:type="dxa" w:w="2340"/>
          </w:tcPr>
          <w:p>
            <w:pPr>
              <w:jc w:val="center"/>
            </w:pPr>
            <w:r>
              <w:t>0,15</w:t>
            </w:r>
          </w:p>
        </w:tc>
      </w:tr>
      <w:tr>
        <w:tc>
          <w:tcPr>
            <w:tcW w:type="dxa" w:w="2340"/>
            <w:shd w:val="clear" w:fill="DEEAF1"/>
          </w:tcPr>
          <w:p>
            <w:r>
              <w:rPr>
                <w:b/>
              </w:rPr>
              <w:t>Actividad económica</w:t>
            </w:r>
          </w:p>
        </w:tc>
        <w:tc>
          <w:tcPr>
            <w:tcW w:type="dxa" w:w="2340"/>
          </w:tcPr>
          <w:p>
            <w:pPr>
              <w:jc w:val="center"/>
            </w:pPr>
            <w:r>
              <w:t>0,15</w:t>
            </w:r>
          </w:p>
        </w:tc>
        <w:tc>
          <w:tcPr>
            <w:tcW w:type="dxa" w:w="2340"/>
          </w:tcPr>
          <w:p>
            <w:pPr>
              <w:jc w:val="center"/>
            </w:pPr>
            <w:r>
              <w:t>0,15</w:t>
            </w:r>
          </w:p>
        </w:tc>
        <w:tc>
          <w:tcPr>
            <w:tcW w:type="dxa" w:w="2340"/>
          </w:tcPr>
          <w:p>
            <w:pPr>
              <w:jc w:val="center"/>
            </w:pPr>
            <w:r>
              <w:t>0,35</w:t>
            </w:r>
          </w:p>
        </w:tc>
      </w:tr>
      <w:tr>
        <w:tc>
          <w:tcPr>
            <w:tcW w:type="dxa" w:w="2340"/>
            <w:shd w:val="clear" w:fill="E2EFDA"/>
          </w:tcPr>
          <w:p>
            <w:r>
              <w:rPr>
                <w:b/>
              </w:rPr>
              <w:t>Total</w:t>
            </w:r>
          </w:p>
        </w:tc>
        <w:tc>
          <w:tcPr>
            <w:tcW w:type="dxa" w:w="2340"/>
            <w:shd w:val="clear" w:fill="E2EFDA"/>
          </w:tcPr>
          <w:p>
            <w:pPr>
              <w:jc w:val="center"/>
            </w:pPr>
            <w:r>
              <w:rPr>
                <w:b/>
              </w:rPr>
              <w:t>1,00</w:t>
            </w:r>
          </w:p>
        </w:tc>
        <w:tc>
          <w:tcPr>
            <w:tcW w:type="dxa" w:w="2340"/>
            <w:shd w:val="clear" w:fill="E2EFDA"/>
          </w:tcPr>
          <w:p>
            <w:pPr>
              <w:jc w:val="center"/>
            </w:pPr>
            <w:r>
              <w:rPr>
                <w:b/>
              </w:rPr>
              <w:t>1,00</w:t>
            </w:r>
          </w:p>
        </w:tc>
        <w:tc>
          <w:tcPr>
            <w:tcW w:type="dxa" w:w="2340"/>
            <w:shd w:val="clear" w:fill="E2EFDA"/>
          </w:tcPr>
          <w:p>
            <w:pPr>
              <w:jc w:val="center"/>
            </w:pPr>
            <w:r>
              <w:rPr>
                <w:b/>
              </w:rPr>
              <w:t>1,00</w:t>
            </w:r>
          </w:p>
        </w:tc>
      </w:tr>
    </w:tbl>
    <w:p>
      <w:pPr>
        <w:pStyle w:val="Body Text"/>
      </w:pPr>
      <w:r>
        <w:rPr>
          <w:rStyle w:val="Ninguno"/>
          <w:i/>
          <w:iCs/>
        </w:rPr>
        <w:t xml:space="preserve">Razón de los perfiles: Pulmón de Oriente pesa más entorno urbano y movilidad porque su teoría de cambio arranca desde la infraestructura física. MicroTIO pesa más desarrollo social porque su mecanismo es la intervención en personas y comunidades. Barrio Obrero pesa más actividad económica porque su apuesta central es la revitalización comercial y cultural. Los tres perfiles son comparables en escala 0–100, pero la fórmula refleja la lógica causal propia de cada intervención.</w:t>
      </w:r>
    </w:p>
    <w:p>
      <w:pPr>
        <w:pStyle w:val="Título 2"/>
      </w:pPr>
      <w:bookmarkStart w:name="algoritmodecálculodelitt" w:id="25"/>
      <w:r>
        <w:rPr>
          <w:rStyle w:val="Ninguno"/>
          <w:rtl w:val="0"/>
          <w:lang w:val="pt-PT"/>
        </w:rPr>
        <w:t>8. Algoritmo de c</w:t>
      </w:r>
      <w:r>
        <w:rPr>
          <w:rStyle w:val="Ninguno"/>
          <w:rtl w:val="0"/>
        </w:rPr>
        <w:t>á</w:t>
      </w:r>
      <w:r>
        <w:rPr>
          <w:rStyle w:val="Ninguno"/>
          <w:rtl w:val="0"/>
          <w:lang w:val="es-ES_tradnl"/>
        </w:rPr>
        <w:t>lculo del ITT</w:t>
      </w:r>
      <w:bookmarkEnd w:id="25"/>
      <w:bookmarkEnd w:id="14"/>
    </w:p>
    <w:p>
      <w:pPr>
        <w:pStyle w:val="Título 3"/>
      </w:pPr>
      <w:bookmarkStart w:name="X3bf6a163cecf268789b786f1b2b6d6bef90b382" w:id="26"/>
      <w:r>
        <w:rPr>
          <w:rStyle w:val="Ninguno"/>
          <w:rtl w:val="0"/>
          <w:lang w:val="it-IT"/>
        </w:rPr>
        <w:t xml:space="preserve">Paso 1 </w:t>
      </w:r>
      <w:r>
        <w:rPr>
          <w:rStyle w:val="Ninguno"/>
          <w:rtl w:val="0"/>
        </w:rPr>
        <w:t xml:space="preserve">– </w:t>
      </w:r>
      <w:r>
        <w:rPr>
          <w:rStyle w:val="Ninguno"/>
          <w:rtl w:val="0"/>
          <w:lang w:val="es-ES_tradnl"/>
        </w:rPr>
        <w:t>Seleccionar indicadores por dimensió</w:t>
      </w:r>
      <w:r>
        <w:rPr>
          <w:rStyle w:val="Ninguno"/>
          <w:rtl w:val="0"/>
        </w:rPr>
        <w:t>n</w:t>
      </w:r>
    </w:p>
    <w:p>
      <w:pPr>
        <w:pStyle w:val="First Paragraph"/>
      </w:pPr>
      <w:r>
        <w:rPr>
          <w:rStyle w:val="Ninguno"/>
          <w:rtl w:val="0"/>
          <w:lang w:val="en-US"/>
        </w:rPr>
        <w:t>Ejemplo:</w:t>
      </w:r>
    </w:p>
    <w:p>
      <w:pPr>
        <w:pStyle w:val="Compact"/>
        <w:numPr>
          <w:ilvl w:val="0"/>
          <w:numId w:val="2"/>
        </w:numPr>
        <w:rPr>
          <w:lang w:val="en-US"/>
        </w:rPr>
      </w:pPr>
      <w:r>
        <w:rPr>
          <w:rStyle w:val="Ninguno"/>
          <w:rtl w:val="0"/>
          <w:lang w:val="en-US"/>
        </w:rPr>
        <w:t>Seguridad: homicidios, hurtos</w:t>
      </w:r>
    </w:p>
    <w:p>
      <w:pPr>
        <w:pStyle w:val="Compact"/>
        <w:numPr>
          <w:ilvl w:val="0"/>
          <w:numId w:val="2"/>
        </w:numPr>
        <w:rPr>
          <w:lang w:val="en-US"/>
        </w:rPr>
      </w:pPr>
      <w:r>
        <w:rPr>
          <w:rStyle w:val="Ninguno"/>
          <w:rtl w:val="0"/>
          <w:lang w:val="en-US"/>
        </w:rPr>
        <w:t>Movilidad: siniestralidad vial</w:t>
      </w:r>
    </w:p>
    <w:p>
      <w:pPr>
        <w:pStyle w:val="Compact"/>
        <w:numPr>
          <w:ilvl w:val="0"/>
          <w:numId w:val="2"/>
        </w:numPr>
        <w:rPr>
          <w:lang w:val="en-US"/>
        </w:rPr>
      </w:pPr>
      <w:r>
        <w:rPr>
          <w:rStyle w:val="Ninguno"/>
          <w:rtl w:val="0"/>
          <w:lang w:val="en-US"/>
        </w:rPr>
        <w:t>Entorno urbano: iluminación, espacio público, cobertura vegetal</w:t>
      </w:r>
    </w:p>
    <w:p>
      <w:pPr>
        <w:pStyle w:val="Compact"/>
        <w:numPr>
          <w:ilvl w:val="0"/>
          <w:numId w:val="2"/>
        </w:numPr>
        <w:rPr>
          <w:lang w:val="en-US"/>
        </w:rPr>
      </w:pPr>
      <w:r>
        <w:rPr>
          <w:rStyle w:val="Ninguno"/>
          <w:rtl w:val="0"/>
          <w:lang w:val="en-US"/>
        </w:rPr>
        <w:t>Desarrollo social: beneficiarios de programas sociales</w:t>
      </w:r>
    </w:p>
    <w:p>
      <w:pPr>
        <w:pStyle w:val="Compact"/>
        <w:numPr>
          <w:ilvl w:val="0"/>
          <w:numId w:val="2"/>
        </w:numPr>
        <w:rPr>
          <w:lang w:val="en-US"/>
        </w:rPr>
      </w:pPr>
      <w:r>
        <w:rPr>
          <w:rStyle w:val="Ninguno"/>
          <w:rtl w:val="0"/>
          <w:lang w:val="en-US"/>
        </w:rPr>
        <w:t>Actividad económica: negocios activos</w:t>
      </w:r>
      <w:bookmarkEnd w:id="26"/>
      <w:bookmarkEnd w:id="13"/>
    </w:p>
    <w:p>
      <w:pPr>
        <w:pStyle w:val="Título 3"/>
      </w:pPr>
      <w:bookmarkStart w:name="paso2normalizarindicadores" w:id="27"/>
      <w:r>
        <w:rPr>
          <w:rStyle w:val="Ninguno"/>
          <w:rtl w:val="0"/>
          <w:lang w:val="it-IT"/>
        </w:rPr>
        <w:t xml:space="preserve">Paso 2 </w:t>
      </w:r>
      <w:r>
        <w:rPr>
          <w:rStyle w:val="Ninguno"/>
          <w:rtl w:val="0"/>
        </w:rPr>
        <w:t xml:space="preserve">– </w:t>
      </w:r>
      <w:r>
        <w:rPr>
          <w:rStyle w:val="Ninguno"/>
          <w:rtl w:val="0"/>
          <w:lang w:val="pt-PT"/>
        </w:rPr>
        <w:t>Normalizar indicadores</w:t>
      </w:r>
    </w:p>
    <w:p>
      <w:pPr>
        <w:pStyle w:val="First Paragraph"/>
      </w:pPr>
      <w:r>
        <w:rPr>
          <w:rStyle w:val="Ninguno"/>
          <w:rtl w:val="0"/>
          <w:lang w:val="en-US"/>
        </w:rPr>
        <w:t>Cada indicador se normaliza en escala 0–1.</w:t>
      </w:r>
    </w:p>
    <w:p>
      <w:pPr>
        <w:pStyle w:val="Body Text"/>
      </w:pPr>
      <w:r>
        <w:rPr>
          <w:rStyle w:val="Ninguno"/>
          <w:rtl w:val="0"/>
          <w:lang w:val="en-US"/>
        </w:rPr>
        <w:t>Ejemplo genérico:</w:t>
      </w:r>
    </w:p>
    <w:p>
      <w:pPr>
        <w:pStyle w:val="Body Text"/>
      </w:pPr>
      <w:r>
        <w:rPr>
          <w:rStyle w:val="Ninguno"/>
          <w:rFonts w:ascii="Aptos" w:cs="Aptos" w:hAnsi="Aptos" w:eastAsia="Aptos"/>
          <w:b w:val="1"/>
          <w:bCs w:val="1"/>
          <w:rtl w:val="0"/>
          <w:lang w:val="en-US"/>
        </w:rPr>
        <w:t>valor_normalizado = (valor_actual - valor_min) / (valor_max - valor_min)</w:t>
      </w:r>
      <w:bookmarkEnd w:id="27"/>
      <w:bookmarkEnd w:id="10"/>
    </w:p>
    <w:p>
      <w:pPr>
        <w:pStyle w:val="Título 3"/>
      </w:pPr>
      <w:bookmarkStart w:name="paso3calcularsubíndicespordimensión" w:id="28"/>
      <w:r>
        <w:rPr>
          <w:rStyle w:val="Ninguno"/>
          <w:rtl w:val="0"/>
          <w:lang w:val="it-IT"/>
        </w:rPr>
        <w:t xml:space="preserve">Paso 3 </w:t>
      </w:r>
      <w:r>
        <w:rPr>
          <w:rStyle w:val="Ninguno"/>
          <w:rtl w:val="0"/>
        </w:rPr>
        <w:t xml:space="preserve">– </w:t>
      </w:r>
      <w:r>
        <w:rPr>
          <w:rStyle w:val="Ninguno"/>
          <w:rtl w:val="0"/>
          <w:lang w:val="pt-PT"/>
        </w:rPr>
        <w:t>Calcular sub</w:t>
      </w:r>
      <w:r>
        <w:rPr>
          <w:rStyle w:val="Ninguno"/>
          <w:rtl w:val="0"/>
        </w:rPr>
        <w:t>í</w:t>
      </w:r>
      <w:r>
        <w:rPr>
          <w:rStyle w:val="Ninguno"/>
          <w:rtl w:val="0"/>
          <w:lang w:val="es-ES_tradnl"/>
        </w:rPr>
        <w:t>ndices por dimensió</w:t>
      </w:r>
      <w:r>
        <w:rPr>
          <w:rStyle w:val="Ninguno"/>
          <w:rtl w:val="0"/>
        </w:rPr>
        <w:t>n</w:t>
      </w:r>
    </w:p>
    <w:p>
      <w:pPr>
        <w:pStyle w:val="First Paragraph"/>
      </w:pPr>
      <w:r>
        <w:rPr>
          <w:rStyle w:val="Ninguno"/>
          <w:rtl w:val="0"/>
          <w:lang w:val="en-US"/>
        </w:rPr>
        <w:t>Se calcula el promedio de indicadores normalizados dentro de cada dimensión.</w:t>
      </w:r>
      <w:bookmarkEnd w:id="28"/>
      <w:bookmarkEnd w:id="9"/>
    </w:p>
    <w:p>
      <w:pPr>
        <w:pStyle w:val="Título 3"/>
      </w:pPr>
      <w:bookmarkStart w:name="paso4aplicarponderaciones" w:id="29"/>
      <w:r>
        <w:rPr>
          <w:rStyle w:val="Ninguno"/>
          <w:rtl w:val="0"/>
          <w:lang w:val="it-IT"/>
        </w:rPr>
        <w:t xml:space="preserve">Paso 4 </w:t>
      </w:r>
      <w:r>
        <w:rPr>
          <w:rStyle w:val="Ninguno"/>
          <w:rtl w:val="0"/>
        </w:rPr>
        <w:t xml:space="preserve">– </w:t>
      </w:r>
      <w:r>
        <w:rPr>
          <w:rStyle w:val="Ninguno"/>
          <w:rtl w:val="0"/>
          <w:lang w:val="es-ES_tradnl"/>
        </w:rPr>
        <w:t>Aplicar ponderaciones</w:t>
      </w:r>
    </w:p>
    <w:p>
      <w:pPr>
        <w:pStyle w:val="First Paragraph"/>
      </w:pPr>
      <w:r>
        <w:rPr>
          <w:rStyle w:val="Ninguno"/>
          <w:rtl w:val="0"/>
          <w:lang w:val="en-US"/>
        </w:rPr>
        <w:t>Se aplica la fórmula del ITT.</w:t>
      </w:r>
      <w:bookmarkEnd w:id="29"/>
      <w:bookmarkEnd w:id="8"/>
    </w:p>
    <w:p>
      <w:pPr>
        <w:pStyle w:val="Título 3"/>
      </w:pPr>
      <w:bookmarkStart w:name="paso5escalarresultadofinal" w:id="30"/>
      <w:r>
        <w:rPr>
          <w:rStyle w:val="Ninguno"/>
          <w:rtl w:val="0"/>
          <w:lang w:val="it-IT"/>
        </w:rPr>
        <w:t xml:space="preserve">Paso 5 </w:t>
      </w:r>
      <w:r>
        <w:rPr>
          <w:rStyle w:val="Ninguno"/>
          <w:rtl w:val="0"/>
        </w:rPr>
        <w:t xml:space="preserve">– </w:t>
      </w:r>
      <w:r>
        <w:rPr>
          <w:rStyle w:val="Ninguno"/>
          <w:rtl w:val="0"/>
          <w:lang w:val="pt-PT"/>
        </w:rPr>
        <w:t>Escalar resultado final</w:t>
      </w:r>
    </w:p>
    <w:p>
      <w:pPr>
        <w:pStyle w:val="First Paragraph"/>
      </w:pPr>
      <w:r>
        <w:rPr>
          <w:rStyle w:val="Ninguno"/>
          <w:rtl w:val="0"/>
          <w:lang w:val="en-US"/>
        </w:rPr>
        <w:t>El ITT puede expresarse en escala 0–100 para facilitar interpretación política y comunicacional.</w:t>
      </w:r>
      <w:bookmarkEnd w:id="30"/>
    </w:p>
    <w:p>
      <w:pPr>
        <w:pStyle w:val="Título 2"/>
      </w:pPr>
      <w:bookmarkStart w:name="Xd7348fcc09faecaafd98dc5c0a68b798bd4babc" w:id="31"/>
      <w:r>
        <w:rPr>
          <w:rStyle w:val="Ninguno"/>
          <w:rtl w:val="0"/>
          <w:lang w:val="pt-PT"/>
        </w:rPr>
        <w:t>9. Metodolog</w:t>
      </w:r>
      <w:r>
        <w:rPr>
          <w:rStyle w:val="Ninguno"/>
          <w:rtl w:val="0"/>
        </w:rPr>
        <w:t>í</w:t>
      </w:r>
      <w:r>
        <w:rPr>
          <w:rStyle w:val="Ninguno"/>
          <w:rtl w:val="0"/>
          <w:lang w:val="es-ES_tradnl"/>
        </w:rPr>
        <w:t>a de geoprocesamiento territorial</w:t>
      </w:r>
    </w:p>
    <w:p>
      <w:pPr>
        <w:pStyle w:val="First Paragraph"/>
      </w:pPr>
      <w:r>
        <w:rPr>
          <w:rStyle w:val="Ninguno"/>
          <w:rtl w:val="0"/>
          <w:lang w:val="en-US"/>
        </w:rPr>
        <w:t>Dado que algunos indicadores se reportan por comuna y no por polígono de intervención, se propone el siguiente procedimiento:</w:t>
      </w:r>
    </w:p>
    <w:p>
      <w:pPr>
        <w:pStyle w:val="Compact"/>
        <w:numPr>
          <w:ilvl w:val="0"/>
          <w:numId w:val="5"/>
        </w:numPr>
        <w:rPr>
          <w:lang w:val="en-US"/>
        </w:rPr>
      </w:pPr>
      <w:r>
        <w:rPr>
          <w:rStyle w:val="Ninguno"/>
          <w:rtl w:val="0"/>
          <w:lang w:val="en-US"/>
        </w:rPr>
        <w:t>Georreferenciar todos los eventos (delitos, accidentes, obras, programas)</w:t>
      </w:r>
    </w:p>
    <w:p>
      <w:pPr>
        <w:pStyle w:val="Compact"/>
        <w:numPr>
          <w:ilvl w:val="0"/>
          <w:numId w:val="4"/>
        </w:numPr>
        <w:rPr>
          <w:lang w:val="en-US"/>
        </w:rPr>
      </w:pPr>
      <w:r>
        <w:rPr>
          <w:rStyle w:val="Ninguno"/>
          <w:rtl w:val="0"/>
          <w:lang w:val="en-US"/>
        </w:rPr>
        <w:t xml:space="preserve">Utilizar operaciones espaciales de tipo </w:t>
      </w:r>
      <w:r>
        <w:rPr>
          <w:rStyle w:val="Ninguno"/>
          <w:rFonts w:ascii="Aptos" w:cs="Aptos" w:hAnsi="Aptos" w:eastAsia="Aptos"/>
          <w:b w:val="1"/>
          <w:bCs w:val="1"/>
          <w:rtl w:val="0"/>
          <w:lang w:val="en-US"/>
        </w:rPr>
        <w:t>point-in-polygon</w:t>
      </w:r>
    </w:p>
    <w:p>
      <w:pPr>
        <w:pStyle w:val="Compact"/>
        <w:numPr>
          <w:ilvl w:val="0"/>
          <w:numId w:val="4"/>
        </w:numPr>
        <w:rPr>
          <w:lang w:val="en-US"/>
        </w:rPr>
      </w:pPr>
      <w:r>
        <w:rPr>
          <w:rStyle w:val="Ninguno"/>
          <w:rtl w:val="0"/>
          <w:lang w:val="en-US"/>
        </w:rPr>
        <w:t>Filtrar eventos dentro del polígono de intervención</w:t>
      </w:r>
    </w:p>
    <w:p>
      <w:pPr>
        <w:pStyle w:val="Compact"/>
        <w:numPr>
          <w:ilvl w:val="0"/>
          <w:numId w:val="4"/>
        </w:numPr>
        <w:rPr>
          <w:lang w:val="en-US"/>
        </w:rPr>
      </w:pPr>
      <w:r>
        <w:rPr>
          <w:rStyle w:val="Ninguno"/>
          <w:rtl w:val="0"/>
          <w:lang w:val="en-US"/>
        </w:rPr>
        <w:t>Agregar resultados por periodo (mes, trimestre, año)</w:t>
      </w:r>
    </w:p>
    <w:p>
      <w:pPr>
        <w:pStyle w:val="First Paragraph"/>
      </w:pPr>
      <w:r>
        <w:rPr>
          <w:rStyle w:val="Ninguno"/>
          <w:rtl w:val="0"/>
          <w:lang w:val="en-US"/>
        </w:rPr>
        <w:t>Si los datos no están georreferenciados, se puede aplicar una aproximación proporcional:</w:t>
      </w:r>
    </w:p>
    <w:p>
      <w:pPr>
        <w:pStyle w:val="Body Text"/>
      </w:pPr>
      <w:r>
        <w:rPr>
          <w:rStyle w:val="Ninguno"/>
          <w:rFonts w:ascii="Aptos" w:cs="Aptos" w:hAnsi="Aptos" w:eastAsia="Aptos"/>
          <w:b w:val="1"/>
          <w:bCs w:val="1"/>
          <w:rtl w:val="0"/>
          <w:lang w:val="en-US"/>
        </w:rPr>
        <w:t>Indicador_polígono ≈ Indicador_comuna × (Área_polígono / Área_comuna)</w:t>
      </w:r>
    </w:p>
    <w:p>
      <w:pPr>
        <w:pStyle w:val="Body Text"/>
      </w:pPr>
      <w:r>
        <w:rPr>
          <w:rStyle w:val="Ninguno"/>
          <w:rtl w:val="0"/>
          <w:lang w:val="en-US"/>
        </w:rPr>
        <w:t>Esta aproximación debe utilizarse únicamente como estimación temporal mientras se obtiene información georreferenciada.</w:t>
      </w:r>
      <w:bookmarkEnd w:id="31"/>
    </w:p>
    <w:p>
      <w:pPr>
        <w:pStyle w:val="Título 2"/>
      </w:pPr>
      <w:bookmarkStart w:name="arquitecturadedatos" w:id="32"/>
      <w:r>
        <w:rPr>
          <w:rStyle w:val="Ninguno"/>
          <w:rtl w:val="0"/>
          <w:lang w:val="es-ES_tradnl"/>
        </w:rPr>
        <w:t>10. Arquitectura de datos</w:t>
      </w:r>
    </w:p>
    <w:p>
      <w:pPr>
        <w:pStyle w:val="First Paragraph"/>
      </w:pPr>
      <w:r>
        <w:rPr>
          <w:rStyle w:val="Ninguno"/>
          <w:rtl w:val="0"/>
          <w:lang w:val="en-US"/>
        </w:rPr>
        <w:t>El sistema se construirá sobre el data lake de la ciudad.</w:t>
      </w:r>
      <w:bookmarkEnd w:id="32"/>
    </w:p>
    <w:p>
      <w:pPr>
        <w:pStyle w:val="Título 3"/>
      </w:pPr>
      <w:bookmarkStart w:name="flujodedatos" w:id="33"/>
      <w:r>
        <w:rPr>
          <w:rStyle w:val="Ninguno"/>
          <w:rtl w:val="0"/>
          <w:lang w:val="es-ES_tradnl"/>
        </w:rPr>
        <w:t>Flujo de datos</w:t>
      </w:r>
    </w:p>
    <w:p>
      <w:pPr>
        <w:pStyle w:val="First Paragraph"/>
      </w:pPr>
      <w:r>
        <w:rPr>
          <w:rStyle w:val="Ninguno"/>
          <w:rFonts w:ascii="Aptos" w:cs="Aptos" w:hAnsi="Aptos" w:eastAsia="Aptos"/>
          <w:b w:val="1"/>
          <w:bCs w:val="1"/>
          <w:rtl w:val="0"/>
          <w:lang w:val="en-US"/>
        </w:rPr>
        <w:t>Sistemas sectoriales → Integración de datos → Georreferenciación → Normalización de indicadores → Cálculo de índices → Visualización</w:t>
      </w:r>
      <w:bookmarkEnd w:id="33"/>
    </w:p>
    <w:p>
      <w:pPr>
        <w:pStyle w:val="Título 2"/>
      </w:pPr>
      <w:bookmarkStart w:name="esquemadecapasanalíticas" w:id="34"/>
      <w:r>
        <w:rPr>
          <w:rStyle w:val="Ninguno"/>
          <w:rtl w:val="0"/>
          <w:lang w:val="pt-PT"/>
        </w:rPr>
        <w:t>11. Esquema de capas anal</w:t>
      </w:r>
      <w:r>
        <w:rPr>
          <w:rStyle w:val="Ninguno"/>
          <w:rtl w:val="0"/>
        </w:rPr>
        <w:t>í</w:t>
      </w:r>
      <w:r>
        <w:rPr>
          <w:rStyle w:val="Ninguno"/>
          <w:rtl w:val="0"/>
          <w:lang w:val="pt-PT"/>
        </w:rPr>
        <w:t>ticas</w:t>
      </w:r>
    </w:p>
    <w:p>
      <w:pPr>
        <w:pStyle w:val="First Paragraph"/>
      </w:pPr>
      <w:r>
        <w:rPr>
          <w:rStyle w:val="Ninguno"/>
          <w:rtl w:val="0"/>
          <w:lang w:val="en-US"/>
        </w:rPr>
        <w:t>El sistema se organiza en cinco capas:</w:t>
      </w:r>
    </w:p>
    <w:p>
      <w:pPr>
        <w:pStyle w:val="Compact"/>
        <w:numPr>
          <w:ilvl w:val="0"/>
          <w:numId w:val="2"/>
        </w:numPr>
        <w:rPr>
          <w:lang w:val="en-US"/>
        </w:rPr>
      </w:pPr>
      <w:r>
        <w:rPr>
          <w:rStyle w:val="Ninguno"/>
          <w:rFonts w:ascii="Aptos" w:cs="Aptos" w:hAnsi="Aptos" w:eastAsia="Aptos"/>
          <w:b w:val="1"/>
          <w:bCs w:val="1"/>
          <w:rtl w:val="0"/>
          <w:lang w:val="en-US"/>
        </w:rPr>
        <w:t>Capa 1</w:t>
      </w:r>
      <w:r>
        <w:rPr>
          <w:rStyle w:val="Ninguno"/>
          <w:rtl w:val="0"/>
          <w:lang w:val="en-US"/>
        </w:rPr>
        <w:t xml:space="preserve"> – Apuestas estratégicas</w:t>
      </w:r>
    </w:p>
    <w:p>
      <w:pPr>
        <w:pStyle w:val="Compact"/>
        <w:numPr>
          <w:ilvl w:val="0"/>
          <w:numId w:val="2"/>
        </w:numPr>
        <w:rPr>
          <w:lang w:val="en-US"/>
        </w:rPr>
      </w:pPr>
      <w:r>
        <w:rPr>
          <w:rStyle w:val="Ninguno"/>
          <w:rFonts w:ascii="Aptos" w:cs="Aptos" w:hAnsi="Aptos" w:eastAsia="Aptos"/>
          <w:b w:val="1"/>
          <w:bCs w:val="1"/>
          <w:rtl w:val="0"/>
          <w:lang w:val="en-US"/>
        </w:rPr>
        <w:t>Capa 2</w:t>
      </w:r>
      <w:r>
        <w:rPr>
          <w:rStyle w:val="Ninguno"/>
          <w:rtl w:val="0"/>
          <w:lang w:val="en-US"/>
        </w:rPr>
        <w:t xml:space="preserve"> – Intervenciones y proyectos</w:t>
      </w:r>
    </w:p>
    <w:p>
      <w:pPr>
        <w:pStyle w:val="Compact"/>
        <w:numPr>
          <w:ilvl w:val="0"/>
          <w:numId w:val="2"/>
        </w:numPr>
        <w:rPr>
          <w:lang w:val="en-US"/>
        </w:rPr>
      </w:pPr>
      <w:r>
        <w:rPr>
          <w:rStyle w:val="Ninguno"/>
          <w:rFonts w:ascii="Aptos" w:cs="Aptos" w:hAnsi="Aptos" w:eastAsia="Aptos"/>
          <w:b w:val="1"/>
          <w:bCs w:val="1"/>
          <w:rtl w:val="0"/>
          <w:lang w:val="en-US"/>
        </w:rPr>
        <w:t>Capa 3</w:t>
      </w:r>
      <w:r>
        <w:rPr>
          <w:rStyle w:val="Ninguno"/>
          <w:rtl w:val="0"/>
          <w:lang w:val="en-US"/>
        </w:rPr>
        <w:t xml:space="preserve"> – Indicadores sectoriales</w:t>
      </w:r>
    </w:p>
    <w:p>
      <w:pPr>
        <w:pStyle w:val="Compact"/>
        <w:numPr>
          <w:ilvl w:val="0"/>
          <w:numId w:val="2"/>
        </w:numPr>
        <w:rPr>
          <w:lang w:val="en-US"/>
        </w:rPr>
      </w:pPr>
      <w:r>
        <w:rPr>
          <w:rStyle w:val="Ninguno"/>
          <w:rFonts w:ascii="Aptos" w:cs="Aptos" w:hAnsi="Aptos" w:eastAsia="Aptos"/>
          <w:b w:val="1"/>
          <w:bCs w:val="1"/>
          <w:rtl w:val="0"/>
          <w:lang w:val="en-US"/>
        </w:rPr>
        <w:t>Capa 4</w:t>
      </w:r>
      <w:r>
        <w:rPr>
          <w:rStyle w:val="Ninguno"/>
          <w:rtl w:val="0"/>
          <w:lang w:val="en-US"/>
        </w:rPr>
        <w:t xml:space="preserve"> – Indicadores territoriales</w:t>
      </w:r>
    </w:p>
    <w:p>
      <w:pPr>
        <w:pStyle w:val="Compact"/>
        <w:numPr>
          <w:ilvl w:val="0"/>
          <w:numId w:val="2"/>
        </w:numPr>
        <w:rPr>
          <w:lang w:val="en-US"/>
        </w:rPr>
      </w:pPr>
      <w:r>
        <w:rPr>
          <w:rStyle w:val="Ninguno"/>
          <w:rFonts w:ascii="Aptos" w:cs="Aptos" w:hAnsi="Aptos" w:eastAsia="Aptos"/>
          <w:b w:val="1"/>
          <w:bCs w:val="1"/>
          <w:rtl w:val="0"/>
          <w:lang w:val="en-US"/>
        </w:rPr>
        <w:t>Capa 5</w:t>
      </w:r>
      <w:r>
        <w:rPr>
          <w:rStyle w:val="Ninguno"/>
          <w:rtl w:val="0"/>
          <w:lang w:val="en-US"/>
        </w:rPr>
        <w:t xml:space="preserve"> – Índice de transformación territorial</w:t>
      </w:r>
      <w:bookmarkEnd w:id="34"/>
    </w:p>
    <w:p>
      <w:pPr>
        <w:pStyle w:val="Título 2"/>
      </w:pPr>
      <w:bookmarkStart w:name="visualizaciónderesultados" w:id="35"/>
      <w:r>
        <w:rPr>
          <w:rStyle w:val="Ninguno"/>
          <w:rtl w:val="0"/>
        </w:rPr>
        <w:t>12. Visualizaci</w:t>
      </w:r>
      <w:r>
        <w:rPr>
          <w:rStyle w:val="Ninguno"/>
          <w:rtl w:val="0"/>
          <w:lang w:val="es-ES_tradnl"/>
        </w:rPr>
        <w:t>ón de resultados</w:t>
      </w:r>
    </w:p>
    <w:p>
      <w:pPr>
        <w:pStyle w:val="First Paragraph"/>
      </w:pPr>
      <w:r>
        <w:rPr>
          <w:rStyle w:val="Ninguno"/>
          <w:rtl w:val="0"/>
          <w:lang w:val="en-US"/>
        </w:rPr>
        <w:t>El sistema utilizará tres visualizaciones principales.</w:t>
      </w:r>
      <w:bookmarkEnd w:id="35"/>
    </w:p>
    <w:p>
      <w:pPr>
        <w:pStyle w:val="Título 3"/>
      </w:pPr>
      <w:bookmarkStart w:name="radardetransformaciónterritorial" w:id="36"/>
      <w:r>
        <w:rPr>
          <w:rStyle w:val="Ninguno"/>
          <w:rtl w:val="0"/>
          <w:lang w:val="es-ES_tradnl"/>
        </w:rPr>
        <w:t>Radar de transformació</w:t>
      </w:r>
      <w:r>
        <w:rPr>
          <w:rStyle w:val="Ninguno"/>
          <w:rtl w:val="0"/>
          <w:lang w:val="it-IT"/>
        </w:rPr>
        <w:t>n territorial</w:t>
      </w:r>
    </w:p>
    <w:p>
      <w:pPr>
        <w:pStyle w:val="First Paragraph"/>
      </w:pPr>
      <w:r>
        <w:rPr>
          <w:rStyle w:val="Ninguno"/>
          <w:rtl w:val="0"/>
          <w:lang w:val="en-US"/>
        </w:rPr>
        <w:t>Muestra la evolución multidimensional en seguridad, movilidad, entorno urbano, desarrollo social y actividad económica.</w:t>
      </w:r>
      <w:bookmarkEnd w:id="36"/>
    </w:p>
    <w:p>
      <w:pPr>
        <w:pStyle w:val="Título 3"/>
      </w:pPr>
      <w:bookmarkStart w:name="índicedetransformaciónterritorial" w:id="37"/>
      <w:r>
        <w:rPr>
          <w:rStyle w:val="Ninguno"/>
          <w:rtl w:val="0"/>
        </w:rPr>
        <w:t>Í</w:t>
      </w:r>
      <w:r>
        <w:rPr>
          <w:rStyle w:val="Ninguno"/>
          <w:rtl w:val="0"/>
          <w:lang w:val="es-ES_tradnl"/>
        </w:rPr>
        <w:t>ndice de Transformació</w:t>
      </w:r>
      <w:r>
        <w:rPr>
          <w:rStyle w:val="Ninguno"/>
          <w:rtl w:val="0"/>
          <w:lang w:val="it-IT"/>
        </w:rPr>
        <w:t>n Territorial</w:t>
      </w:r>
    </w:p>
    <w:p>
      <w:pPr>
        <w:pStyle w:val="First Paragraph"/>
      </w:pPr>
      <w:r>
        <w:rPr>
          <w:rStyle w:val="Ninguno"/>
          <w:rtl w:val="0"/>
          <w:lang w:val="en-US"/>
        </w:rPr>
        <w:t>Representa el impacto agregado.</w:t>
      </w:r>
    </w:p>
    <w:p>
      <w:pPr>
        <w:pStyle w:val="Body Text"/>
      </w:pPr>
      <w:r>
        <w:rPr>
          <w:rStyle w:val="Ninguno"/>
          <w:rtl w:val="0"/>
          <w:lang w:val="en-US"/>
        </w:rPr>
        <w:t>Ejemplo con cifras ilustrativas (datos ficticios — no reales):</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40"/>
        <w:gridCol w:w="2640"/>
        <w:gridCol w:w="2640"/>
      </w:tblGrid>
      <w:tr>
        <w:tblPrEx>
          <w:shd w:val="clear" w:color="auto" w:fill="156082"/>
        </w:tblPrEx>
        <w:trPr>
          <w:trHeight w:val="7" w:hRule="atLeast"/>
          <w:tblHeader/>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Territorio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ITT base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ITT actual</w:t>
            </w:r>
          </w:p>
        </w:tc>
      </w:tr>
      <w:tr>
        <w:tblPrEx>
          <w:shd w:val="clear" w:color="auto" w:fill="cad1d7"/>
        </w:tblPrEx>
        <w:trPr>
          <w:trHeight w:val="4294967136"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de Oriente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48</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71</w:t>
            </w:r>
          </w:p>
        </w:tc>
      </w:tr>
      <w:tr>
        <w:tblPrEx>
          <w:shd w:val="clear" w:color="auto" w:fill="cad1d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MicroTIO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52</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64</w:t>
            </w:r>
          </w:p>
        </w:tc>
      </w:tr>
      <w:tr>
        <w:tblPrEx>
          <w:shd w:val="clear" w:color="auto" w:fill="cad1d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Barrio Obrero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61</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jc w:val="right"/>
            </w:pPr>
            <w:r>
              <w:rPr>
                <w:rStyle w:val="Ninguno"/>
                <w:shd w:val="nil" w:color="auto" w:fill="auto"/>
                <w:rtl w:val="0"/>
                <w:lang w:val="en-US"/>
              </w:rPr>
              <w:t>74</w:t>
            </w:r>
          </w:p>
        </w:tc>
      </w:tr>
    </w:tbl>
    <w:p>
      <w:pPr>
        <w:pStyle w:val="Body Text"/>
        <w:widowControl w:val="0"/>
      </w:pPr>
    </w:p>
    <w:p>
      <w:pPr>
        <w:pStyle w:val="Título 3"/>
      </w:pPr>
      <w:bookmarkStart w:name="mapadeimpactoterritorial" w:id="38"/>
      <w:r>
        <w:rPr>
          <w:rStyle w:val="Ninguno"/>
          <w:rtl w:val="0"/>
          <w:lang w:val="pt-PT"/>
        </w:rPr>
        <w:t>Mapa de impacto territorial</w:t>
      </w:r>
    </w:p>
    <w:p>
      <w:pPr>
        <w:pStyle w:val="First Paragraph"/>
      </w:pPr>
      <w:r>
        <w:rPr>
          <w:rStyle w:val="Ninguno"/>
          <w:rtl w:val="0"/>
          <w:lang w:val="en-US"/>
        </w:rPr>
        <w:t>Visualización geográfica del impacto mediante gradientes de color.</w:t>
      </w:r>
      <w:bookmarkEnd w:id="38"/>
      <w:bookmarkEnd w:id="37"/>
    </w:p>
    <w:p>
      <w:pPr>
        <w:pStyle w:val="Título 2"/>
      </w:pPr>
      <w:bookmarkStart w:name="X444a99c14459ce6901fc5f9c6fe70e4f920addc" w:id="39"/>
      <w:r>
        <w:rPr>
          <w:rStyle w:val="Ninguno"/>
          <w:rtl w:val="0"/>
          <w:lang w:val="en-US"/>
        </w:rPr>
        <w:t>13. Blueprint t</w:t>
      </w:r>
      <w:r>
        <w:rPr>
          <w:rStyle w:val="Ninguno"/>
          <w:rtl w:val="0"/>
          <w:lang w:val="fr-FR"/>
        </w:rPr>
        <w:t>é</w:t>
      </w:r>
      <w:r>
        <w:rPr>
          <w:rStyle w:val="Ninguno"/>
          <w:rtl w:val="0"/>
          <w:lang w:val="it-IT"/>
        </w:rPr>
        <w:t>cnico del sistema de medici</w:t>
      </w:r>
      <w:r>
        <w:rPr>
          <w:rStyle w:val="Ninguno"/>
          <w:rtl w:val="0"/>
          <w:lang w:val="es-ES_tradnl"/>
        </w:rPr>
        <w:t>ó</w:t>
      </w:r>
      <w:r>
        <w:rPr>
          <w:rStyle w:val="Ninguno"/>
          <w:rtl w:val="0"/>
        </w:rPr>
        <w:t>n</w:t>
      </w:r>
      <w:bookmarkEnd w:id="39"/>
    </w:p>
    <w:p>
      <w:pPr>
        <w:pStyle w:val="Título 3"/>
      </w:pPr>
      <w:bookmarkStart w:name="diccionariodedatosdeindicadores" w:id="40"/>
      <w:r>
        <w:rPr>
          <w:rStyle w:val="Ninguno"/>
          <w:rtl w:val="0"/>
          <w:lang w:val="es-ES_tradnl"/>
        </w:rPr>
        <w:t>13.1. Diccionario de datos de indicadores</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84"/>
        <w:gridCol w:w="1584"/>
        <w:gridCol w:w="1584"/>
        <w:gridCol w:w="1584"/>
        <w:gridCol w:w="1584"/>
      </w:tblGrid>
      <w:tr>
        <w:tblPrEx>
          <w:shd w:val="clear" w:color="auto" w:fill="156082"/>
        </w:tblPrEx>
        <w:trPr>
          <w:trHeight w:val="280" w:hRule="atLeast"/>
          <w:tblHeader/>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Indicador</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Definición</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Fórmula</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Fuente</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Frecuencia</w:t>
            </w:r>
          </w:p>
        </w:tc>
      </w:tr>
      <w:tr>
        <w:tblPrEx>
          <w:shd w:val="clear" w:color="auto" w:fill="cad1d7"/>
        </w:tblPrEx>
        <w:trPr>
          <w:trHeight w:val="112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Homicidios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Número de homicidios en el territorio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Conteo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Seguridad y Justicia</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Hurtos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Número de hurtos reportados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Conteo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Seguridad y Justicia</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Siniestralidad vial</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Accidentes de tránsito reportados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Conteo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Movilidad</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r>
      <w:tr>
        <w:tblPrEx>
          <w:shd w:val="clear" w:color="auto" w:fill="cad1d7"/>
        </w:tblPrEx>
        <w:trPr>
          <w:trHeight w:val="84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NDVI</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Índice de vegetación del territorio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(NIR-Red)/(NIR+Red)</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Imágenes satelitales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Anual</w:t>
            </w:r>
          </w:p>
        </w:tc>
      </w:tr>
      <w:tr>
        <w:tblPrEx>
          <w:shd w:val="clear" w:color="auto" w:fill="cad1d7"/>
        </w:tblPrEx>
        <w:trPr>
          <w:trHeight w:val="1120" w:hRule="atLeast"/>
        </w:trPr>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Negocios activos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Número de establecimientos registrados</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Conteo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Cámara de Comercio</w:t>
            </w:r>
          </w:p>
        </w:tc>
        <w:tc>
          <w:tcPr>
            <w:tcW w:type="dxa" w:w="1584"/>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Trimestral</w:t>
            </w:r>
          </w:p>
        </w:tc>
      </w:tr>
    </w:tbl>
    <w:p>
      <w:pPr>
        <w:pStyle w:val="Título 3"/>
        <w:widowControl w:val="0"/>
      </w:pPr>
    </w:p>
    <w:p>
      <w:pPr>
        <w:pStyle w:val="Título 3"/>
      </w:pPr>
      <w:bookmarkStart w:name="modelodedatosdeldatalake" w:id="41"/>
      <w:r>
        <w:rPr>
          <w:rStyle w:val="Ninguno"/>
          <w:rtl w:val="0"/>
          <w:lang w:val="es-ES_tradnl"/>
        </w:rPr>
        <w:t>13.2. Modelo de datos del Data Lake</w:t>
      </w:r>
    </w:p>
    <w:p>
      <w:pPr>
        <w:pStyle w:val="First Paragraph"/>
      </w:pPr>
      <w:r>
        <w:rPr>
          <w:rStyle w:val="Ninguno"/>
          <w:rtl w:val="0"/>
          <w:lang w:val="en-US"/>
        </w:rPr>
        <w:t>Datasets principales sugeridos:</w:t>
      </w:r>
    </w:p>
    <w:p>
      <w:pPr>
        <w:pStyle w:val="Body Text"/>
      </w:pPr>
      <w:r>
        <w:rPr>
          <w:rStyle w:val="Ninguno"/>
          <w:rFonts w:ascii="Aptos" w:cs="Aptos" w:hAnsi="Aptos" w:eastAsia="Aptos"/>
          <w:b w:val="1"/>
          <w:bCs w:val="1"/>
          <w:rtl w:val="0"/>
          <w:lang w:val="en-US"/>
        </w:rPr>
        <w:t>tabla_territorios</w:t>
      </w:r>
      <w:r>
        <w:rPr>
          <w:rStyle w:val="Ninguno"/>
          <w:rtl w:val="0"/>
          <w:lang w:val="en-US"/>
        </w:rPr>
        <w:t xml:space="preserve"> - id_territorio - nombre - tipo_apuesta - geometría</w:t>
      </w:r>
    </w:p>
    <w:p>
      <w:pPr>
        <w:pStyle w:val="Body Text"/>
      </w:pPr>
      <w:r>
        <w:rPr>
          <w:rStyle w:val="Ninguno"/>
          <w:rFonts w:ascii="Aptos" w:cs="Aptos" w:hAnsi="Aptos" w:eastAsia="Aptos"/>
          <w:b w:val="1"/>
          <w:bCs w:val="1"/>
          <w:rtl w:val="0"/>
          <w:lang w:val="en-US"/>
        </w:rPr>
        <w:t>tabla_intervenciones</w:t>
      </w:r>
      <w:r>
        <w:rPr>
          <w:rStyle w:val="Ninguno"/>
          <w:rtl w:val="0"/>
          <w:lang w:val="en-US"/>
        </w:rPr>
        <w:t xml:space="preserve"> - id_intervención - tipo_intervención - fecha_inicio - fecha_fin - localización</w:t>
      </w:r>
    </w:p>
    <w:p>
      <w:pPr>
        <w:pStyle w:val="Body Text"/>
      </w:pPr>
      <w:r>
        <w:rPr>
          <w:rStyle w:val="Ninguno"/>
          <w:rFonts w:ascii="Aptos" w:cs="Aptos" w:hAnsi="Aptos" w:eastAsia="Aptos"/>
          <w:b w:val="1"/>
          <w:bCs w:val="1"/>
          <w:rtl w:val="0"/>
          <w:lang w:val="en-US"/>
        </w:rPr>
        <w:t>tabla_eventos_seguridad</w:t>
      </w:r>
      <w:r>
        <w:rPr>
          <w:rStyle w:val="Ninguno"/>
          <w:rtl w:val="0"/>
          <w:lang w:val="en-US"/>
        </w:rPr>
        <w:t xml:space="preserve"> - fecha - tipo_delito - lat - lon</w:t>
      </w:r>
    </w:p>
    <w:p>
      <w:pPr>
        <w:pStyle w:val="Body Text"/>
      </w:pPr>
      <w:r>
        <w:rPr>
          <w:rStyle w:val="Ninguno"/>
          <w:rFonts w:ascii="Aptos" w:cs="Aptos" w:hAnsi="Aptos" w:eastAsia="Aptos"/>
          <w:b w:val="1"/>
          <w:bCs w:val="1"/>
          <w:rtl w:val="0"/>
          <w:lang w:val="en-US"/>
        </w:rPr>
        <w:t>tabla_indicadores</w:t>
      </w:r>
      <w:r>
        <w:rPr>
          <w:rStyle w:val="Ninguno"/>
          <w:rtl w:val="0"/>
          <w:lang w:val="en-US"/>
        </w:rPr>
        <w:t xml:space="preserve"> - indicador - territorio - valor - fecha</w:t>
      </w:r>
      <w:bookmarkEnd w:id="41"/>
      <w:bookmarkEnd w:id="40"/>
    </w:p>
    <w:p>
      <w:pPr>
        <w:pStyle w:val="Body Text"/>
      </w:pPr>
      <w:r>
        <w:rPr>
          <w:rStyle w:val="Ninguno"/>
          <w:b w:val="1"/>
          <w:bCs w:val="1"/>
        </w:rPr>
        <w:t>tabla_territorios_espejo</w:t>
      </w:r>
      <w:r>
        <w:rPr>
          <w:rStyle w:val="Ninguno"/>
        </w:rPr>
        <w:t xml:space="preserve"> - id_territorio_tratado - id_territorio_control - criterio_seleccion - similitud_socioeconomica - fecha_inicio_comparacion - fecha_fin_comparacion - validado_por - notas</w:t>
      </w:r>
    </w:p>
    <w:p>
      <w:pPr>
        <w:pStyle w:val="Body Text"/>
      </w:pPr>
      <w:r>
        <w:rPr>
          <w:rStyle w:val="Ninguno"/>
          <w:i/>
          <w:iCs/>
        </w:rPr>
        <w:t xml:space="preserve">Nota para el equipo técnico: Esta tabla es la fuente de verdad para todos los cálculos DiD del sistema. El pipeline de cálculo del ITT debe hacer JOIN entre tabla_indicadores y tabla_territorios_espejo usando id_territorio_tratado e id_territorio_control para construir automáticamente la comparación antes-después entre territorio intervenido y su espejo. Nunca hardcodear la relación tratado–control en el código: cualquier cambio de territorio espejo debe resolverse actualizando esta tabla, no el pipeline. El campo validado_por debe estar poblado antes de que el cálculo DiD sea considerado válido para visualización en el dashboard.</w:t>
      </w:r>
    </w:p>
    <w:p>
      <w:pPr>
        <w:pStyle w:val="Título 3"/>
      </w:pPr>
      <w:bookmarkStart w:name="arquitecturadeldashboard" w:id="42"/>
      <w:r>
        <w:rPr>
          <w:rStyle w:val="Ninguno"/>
          <w:rtl w:val="0"/>
          <w:lang w:val="pt-PT"/>
        </w:rPr>
        <w:t>13.3. Arquitectura del dashboard</w:t>
      </w:r>
    </w:p>
    <w:p>
      <w:pPr>
        <w:pStyle w:val="First Paragraph"/>
      </w:pPr>
      <w:r>
        <w:rPr>
          <w:rStyle w:val="Ninguno"/>
          <w:rtl w:val="0"/>
          <w:lang w:val="en-US"/>
        </w:rPr>
        <w:t>El dashboard de impacto territorial incluirá:</w:t>
      </w:r>
    </w:p>
    <w:p>
      <w:pPr>
        <w:pStyle w:val="Compact"/>
        <w:numPr>
          <w:ilvl w:val="0"/>
          <w:numId w:val="6"/>
        </w:numPr>
        <w:rPr>
          <w:lang w:val="en-US"/>
        </w:rPr>
      </w:pPr>
      <w:r>
        <w:rPr>
          <w:rStyle w:val="Ninguno"/>
          <w:rtl w:val="0"/>
          <w:lang w:val="en-US"/>
        </w:rPr>
        <w:t>Radar de transformación territorial</w:t>
      </w:r>
    </w:p>
    <w:p>
      <w:pPr>
        <w:pStyle w:val="Compact"/>
        <w:numPr>
          <w:ilvl w:val="0"/>
          <w:numId w:val="4"/>
        </w:numPr>
        <w:rPr>
          <w:lang w:val="en-US"/>
        </w:rPr>
      </w:pPr>
      <w:r>
        <w:rPr>
          <w:rStyle w:val="Ninguno"/>
          <w:rtl w:val="0"/>
          <w:lang w:val="en-US"/>
        </w:rPr>
        <w:t>Evolución temporal de indicadores</w:t>
      </w:r>
    </w:p>
    <w:p>
      <w:pPr>
        <w:pStyle w:val="Compact"/>
        <w:numPr>
          <w:ilvl w:val="0"/>
          <w:numId w:val="4"/>
        </w:numPr>
        <w:rPr>
          <w:lang w:val="en-US"/>
        </w:rPr>
      </w:pPr>
      <w:r>
        <w:rPr>
          <w:rStyle w:val="Ninguno"/>
          <w:rtl w:val="0"/>
          <w:lang w:val="en-US"/>
        </w:rPr>
        <w:t>Índice de Transformación Territorial (ITT)</w:t>
      </w:r>
    </w:p>
    <w:p>
      <w:pPr>
        <w:pStyle w:val="Compact"/>
        <w:numPr>
          <w:ilvl w:val="0"/>
          <w:numId w:val="4"/>
        </w:numPr>
        <w:rPr>
          <w:lang w:val="en-US"/>
        </w:rPr>
      </w:pPr>
      <w:r>
        <w:rPr>
          <w:rStyle w:val="Ninguno"/>
          <w:rtl w:val="0"/>
          <w:lang w:val="en-US"/>
        </w:rPr>
        <w:t>Mapa geoespacial de impacto</w:t>
      </w:r>
    </w:p>
    <w:p>
      <w:pPr>
        <w:pStyle w:val="Compact"/>
        <w:numPr>
          <w:ilvl w:val="0"/>
          <w:numId w:val="4"/>
        </w:numPr>
        <w:rPr>
          <w:lang w:val="en-US"/>
        </w:rPr>
      </w:pPr>
      <w:r>
        <w:rPr>
          <w:rStyle w:val="Ninguno"/>
          <w:rtl w:val="0"/>
          <w:lang w:val="en-US"/>
        </w:rPr>
        <w:t>Panel comparativo entre territorios</w:t>
      </w:r>
    </w:p>
    <w:p>
      <w:pPr>
        <w:pStyle w:val="First Paragraph"/>
      </w:pPr>
      <w:r>
        <w:rPr>
          <w:rStyle w:val="Ninguno"/>
          <w:rtl w:val="0"/>
          <w:lang w:val="en-US"/>
        </w:rPr>
        <w:t>Las visualizaciones se alimentarán automáticamente desde el data lake mediante pipelines de actualización periódica.</w:t>
      </w:r>
      <w:bookmarkEnd w:id="42"/>
    </w:p>
    <w:p>
      <w:pPr>
        <w:pStyle w:val="Título 2"/>
      </w:pPr>
      <w:bookmarkStart w:name="Xe2f1f696c790647484104a6a5ee8d6cb4d100ef" w:id="43"/>
      <w:r>
        <w:rPr>
          <w:rStyle w:val="Ninguno"/>
          <w:rtl w:val="0"/>
          <w:lang w:val="es-ES_tradnl"/>
        </w:rPr>
        <w:t>14. Matriz maestra de indicadores y fuente por secretar</w:t>
      </w:r>
      <w:r>
        <w:rPr>
          <w:rStyle w:val="Ninguno"/>
          <w:rtl w:val="0"/>
        </w:rPr>
        <w:t>ía</w:t>
      </w:r>
    </w:p>
    <w:p>
      <w:pPr>
        <w:pStyle w:val="First Paragraph"/>
      </w:pPr>
      <w:r>
        <w:rPr>
          <w:rStyle w:val="Ninguno"/>
          <w:rtl w:val="0"/>
          <w:lang w:val="en-US"/>
        </w:rPr>
        <w:t xml:space="preserve">Para la implementación operativa del sistema, cada indicador deberá quedar asociado explícitamente a una </w:t>
      </w:r>
      <w:r>
        <w:rPr>
          <w:rStyle w:val="Ninguno"/>
          <w:rFonts w:ascii="Aptos" w:cs="Aptos" w:hAnsi="Aptos" w:eastAsia="Aptos"/>
          <w:b w:val="1"/>
          <w:bCs w:val="1"/>
          <w:rtl w:val="0"/>
          <w:lang w:val="en-US"/>
        </w:rPr>
        <w:t>secretaría u organismo fuente</w:t>
      </w:r>
      <w:r>
        <w:rPr>
          <w:rStyle w:val="Ninguno"/>
          <w:rtl w:val="0"/>
          <w:lang w:val="en-US"/>
        </w:rPr>
        <w:t>. Esto permite:</w:t>
      </w:r>
    </w:p>
    <w:p>
      <w:pPr>
        <w:pStyle w:val="Compact"/>
        <w:numPr>
          <w:ilvl w:val="0"/>
          <w:numId w:val="2"/>
        </w:numPr>
        <w:rPr>
          <w:lang w:val="en-US"/>
        </w:rPr>
      </w:pPr>
      <w:r>
        <w:rPr>
          <w:rStyle w:val="Ninguno"/>
          <w:rtl w:val="0"/>
          <w:lang w:val="en-US"/>
        </w:rPr>
        <w:t>asignar responsabilidad institucional sobre cada dato</w:t>
      </w:r>
    </w:p>
    <w:p>
      <w:pPr>
        <w:pStyle w:val="Compact"/>
        <w:numPr>
          <w:ilvl w:val="0"/>
          <w:numId w:val="2"/>
        </w:numPr>
        <w:rPr>
          <w:lang w:val="en-US"/>
        </w:rPr>
      </w:pPr>
      <w:r>
        <w:rPr>
          <w:rStyle w:val="Ninguno"/>
          <w:rtl w:val="0"/>
          <w:lang w:val="en-US"/>
        </w:rPr>
        <w:t>evitar ambigüedad en la actualización</w:t>
      </w:r>
    </w:p>
    <w:p>
      <w:pPr>
        <w:pStyle w:val="Compact"/>
        <w:numPr>
          <w:ilvl w:val="0"/>
          <w:numId w:val="2"/>
        </w:numPr>
        <w:rPr>
          <w:lang w:val="en-US"/>
        </w:rPr>
      </w:pPr>
      <w:r>
        <w:rPr>
          <w:rStyle w:val="Ninguno"/>
          <w:rtl w:val="0"/>
          <w:lang w:val="en-US"/>
        </w:rPr>
        <w:t>definir frecuencia de carga al data lake</w:t>
      </w:r>
    </w:p>
    <w:p>
      <w:pPr>
        <w:pStyle w:val="Compact"/>
        <w:numPr>
          <w:ilvl w:val="0"/>
          <w:numId w:val="2"/>
        </w:numPr>
        <w:rPr>
          <w:lang w:val="en-US"/>
        </w:rPr>
      </w:pPr>
      <w:r>
        <w:rPr>
          <w:rStyle w:val="Ninguno"/>
          <w:rtl w:val="0"/>
          <w:lang w:val="en-US"/>
        </w:rPr>
        <w:t>estructurar solicitudes formales de información faltante</w:t>
      </w:r>
      <w:bookmarkEnd w:id="43"/>
    </w:p>
    <w:p>
      <w:pPr>
        <w:pStyle w:val="Título 3"/>
      </w:pPr>
      <w:bookmarkStart w:name="estructuraestándarporindicador" w:id="44"/>
      <w:r>
        <w:rPr>
          <w:rStyle w:val="Ninguno"/>
          <w:rtl w:val="0"/>
          <w:lang w:val="es-ES_tradnl"/>
        </w:rPr>
        <w:t>14.1. Estructura est</w:t>
      </w:r>
      <w:r>
        <w:rPr>
          <w:rStyle w:val="Ninguno"/>
          <w:rtl w:val="0"/>
        </w:rPr>
        <w:t>á</w:t>
      </w:r>
      <w:r>
        <w:rPr>
          <w:rStyle w:val="Ninguno"/>
          <w:rtl w:val="0"/>
          <w:lang w:val="pt-PT"/>
        </w:rPr>
        <w:t>ndar por indicador</w:t>
      </w:r>
    </w:p>
    <w:p>
      <w:pPr>
        <w:pStyle w:val="First Paragraph"/>
      </w:pPr>
      <w:r>
        <w:rPr>
          <w:rStyle w:val="Ninguno"/>
          <w:rtl w:val="0"/>
          <w:lang w:val="en-US"/>
        </w:rPr>
        <w:t>Cada indicador deberá documentarse con los siguientes campos: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39"/>
        <w:gridCol w:w="1040"/>
        <w:gridCol w:w="1040"/>
        <w:gridCol w:w="1040"/>
        <w:gridCol w:w="1040"/>
        <w:gridCol w:w="1040"/>
        <w:gridCol w:w="1041"/>
        <w:gridCol w:w="1040"/>
        <w:gridCol w:w="1040"/>
      </w:tblGrid>
      <w:tr>
        <w:tblPrEx>
          <w:shd w:val="clear" w:color="auto" w:fill="156082"/>
        </w:tblPrEx>
        <w:trPr>
          <w:trHeight w:val="1120" w:hRule="atLeast"/>
          <w:tblHeader/>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Indicador</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Dimensión</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Apuesta estratégica</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 fuente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Dataset esperado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Unidad geográfica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Frecuencia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Línea base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Estado</w:t>
            </w:r>
          </w:p>
        </w:tc>
      </w:tr>
      <w:tr>
        <w:tblPrEx>
          <w:shd w:val="clear" w:color="auto" w:fill="cad1d7"/>
        </w:tblPrEx>
        <w:trPr>
          <w:trHeight w:val="1128"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Homicidios</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Seguridad</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MicroTIO / Barrio Obrero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Seguridad y Justicia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eventos de homicidio georreferenciados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punto / polígono / comuna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disponible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activo</w:t>
            </w:r>
          </w:p>
        </w:tc>
      </w:tr>
      <w:tr>
        <w:tblPrEx>
          <w:shd w:val="clear" w:color="auto" w:fill="cad1d7"/>
        </w:tblPrEx>
        <w:trPr>
          <w:trHeight w:val="196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Hurtos</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Seguridad</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MicroTIO / Barrio Obrero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Seguridad y Justicia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eventos de hurto georreferenciados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punto / polígono / comuna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parcial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activo</w:t>
            </w:r>
          </w:p>
        </w:tc>
      </w:tr>
      <w:tr>
        <w:tblPrEx>
          <w:shd w:val="clear" w:color="auto" w:fill="cad1d7"/>
        </w:tblPrEx>
        <w:trPr>
          <w:trHeight w:val="168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Siniestralidad vial</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Movilidad</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Movilidad</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siniestros viales georreferenciados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punto / corredor / comuna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parcial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activo</w:t>
            </w:r>
          </w:p>
        </w:tc>
      </w:tr>
      <w:tr>
        <w:tblPrEx>
          <w:shd w:val="clear" w:color="auto" w:fill="cad1d7"/>
        </w:tblPrEx>
        <w:trPr>
          <w:trHeight w:val="168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Luminarias funcionales</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Entorno urbano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MicroTIO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Infraestructura / Alumbrado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inventario de luminarias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punto / tramo / polígono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trimestral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parcial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activo</w:t>
            </w:r>
          </w:p>
        </w:tc>
      </w:tr>
      <w:tr>
        <w:tblPrEx>
          <w:shd w:val="clear" w:color="auto" w:fill="cad1d7"/>
        </w:tblPrEx>
        <w:trPr>
          <w:trHeight w:val="140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NDVI</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Ambiental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Planeación / fuente satelital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raster NDVI por periodo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polígono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anual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pendiente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 construcción</w:t>
            </w:r>
          </w:p>
        </w:tc>
      </w:tr>
      <w:tr>
        <w:tblPrEx>
          <w:shd w:val="clear" w:color="auto" w:fill="cad1d7"/>
        </w:tblPrEx>
        <w:trPr>
          <w:trHeight w:val="168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Negocios activos</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Actividad económica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Barrio Obrero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Cámara de Comercio / Hacienda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registro de establecimientos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polígono / barrio / comuna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trimestral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pendiente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 construcción</w:t>
            </w:r>
          </w:p>
        </w:tc>
      </w:tr>
      <w:tr>
        <w:tblPrEx>
          <w:shd w:val="clear" w:color="auto" w:fill="cad1d7"/>
        </w:tblPrEx>
        <w:trPr>
          <w:trHeight w:val="140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Valor catastral promedio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Catastral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Barrio Obrero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Catastro / Planeación</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base catastral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predio / polígono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anual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pendiente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 construcción</w:t>
            </w:r>
          </w:p>
        </w:tc>
      </w:tr>
      <w:tr>
        <w:tblPrEx>
          <w:shd w:val="clear" w:color="auto" w:fill="cad1d7"/>
        </w:tblPrEx>
        <w:trPr>
          <w:trHeight w:val="224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Uso del espacio público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Apropiación</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Pulmón / Barrio Obrero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Deporte / Cultura / medición proxy</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aforos / eventos / uso equipamientos</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punto / polígono</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trimestral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pendiente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 construcción</w:t>
            </w:r>
          </w:p>
        </w:tc>
      </w:tr>
      <w:tr>
        <w:tblPrEx>
          <w:shd w:val="clear" w:color="auto" w:fill="cad1d7"/>
        </w:tblPrEx>
        <w:trPr>
          <w:trHeight w:val="2800" w:hRule="atLeast"/>
        </w:trPr>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Beneficiarios de programas</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Desarrollo social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MicroTIO</w:t>
            </w:r>
          </w:p>
        </w:tc>
        <w:tc>
          <w:tcPr>
            <w:tcW w:type="dxa" w:w="1039"/>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Bienestar Social / Salud / Cultura / Deporte</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registros de atención</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microterritorio / comuna</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mensual / trimestral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disponible parcial</w:t>
            </w:r>
          </w:p>
        </w:tc>
        <w:tc>
          <w:tcPr>
            <w:tcW w:type="dxa" w:w="10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activo</w:t>
            </w:r>
          </w:p>
        </w:tc>
      </w:tr>
    </w:tbl>
    <w:p>
      <w:pPr>
        <w:pStyle w:val="First Paragraph"/>
        <w:widowControl w:val="0"/>
      </w:pPr>
    </w:p>
    <w:p>
      <w:pPr>
        <w:pStyle w:val="Título 3"/>
      </w:pPr>
      <w:bookmarkStart w:name="X6baa007b09c9c6b053e454f44d3116cef805e76" w:id="45"/>
      <w:r>
        <w:rPr>
          <w:rStyle w:val="Ninguno"/>
          <w:rtl w:val="0"/>
          <w:lang w:val="es-ES_tradnl"/>
        </w:rPr>
        <w:t>14.2. Lista inicial de fuente por tipo de indicador</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40"/>
        <w:gridCol w:w="2640"/>
        <w:gridCol w:w="2640"/>
      </w:tblGrid>
      <w:tr>
        <w:tblPrEx>
          <w:shd w:val="clear" w:color="auto" w:fill="156082"/>
        </w:tblPrEx>
        <w:trPr>
          <w:trHeight w:val="560" w:hRule="atLeast"/>
          <w:tblHeader/>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Dimensión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Indicadores principales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 organismo fuente</w:t>
            </w:r>
          </w:p>
        </w:tc>
      </w:tr>
      <w:tr>
        <w:tblPrEx>
          <w:shd w:val="clear" w:color="auto" w:fill="cad1d7"/>
        </w:tblPrEx>
        <w:trPr>
          <w:trHeight w:val="84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Seguridad</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homicidios, hurtos, riñas, violencia intrafamiliar</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Seguridad y Justicia</w:t>
            </w:r>
          </w:p>
        </w:tc>
      </w:tr>
      <w:tr>
        <w:tblPrEx>
          <w:shd w:val="clear" w:color="auto" w:fill="cad1d7"/>
        </w:tblPrEx>
        <w:trPr>
          <w:trHeight w:val="84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Movilidad</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siniestros, lesionados, muertes, tiempos de viaje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Secretaría de Movilidad</w:t>
            </w:r>
          </w:p>
        </w:tc>
      </w:tr>
      <w:tr>
        <w:tblPrEx>
          <w:shd w:val="clear" w:color="auto" w:fill="cad1d7"/>
        </w:tblPrEx>
        <w:trPr>
          <w:trHeight w:val="112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Entorno urbano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vías, andenes, luminarias, parques, equipamientos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Infraestructura / Vivienda y Hábitat / Educación / Deporte / Cultura</w:t>
            </w:r>
          </w:p>
        </w:tc>
      </w:tr>
      <w:tr>
        <w:tblPrEx>
          <w:shd w:val="clear" w:color="auto" w:fill="cad1d7"/>
        </w:tblPrEx>
        <w:trPr>
          <w:trHeight w:val="84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Desarrollo social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beneficiarios, programas, cobertura social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Bienestar Social / Salud / Cultura / Deporte / Educación</w:t>
            </w:r>
          </w:p>
        </w:tc>
      </w:tr>
      <w:tr>
        <w:tblPrEx>
          <w:shd w:val="clear" w:color="auto" w:fill="cad1d7"/>
        </w:tblPrEx>
        <w:trPr>
          <w:trHeight w:val="112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Actividad económica</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negocios activos, licencias, empleo, actividad cultural/comercial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Hacienda / Cámara de Comercio / Cultura / Planeación</w:t>
            </w:r>
          </w:p>
        </w:tc>
      </w:tr>
      <w:tr>
        <w:tblPrEx>
          <w:shd w:val="clear" w:color="auto" w:fill="cad1d7"/>
        </w:tblPrEx>
        <w:trPr>
          <w:trHeight w:val="84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Ambiental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NDVI, cobertura verde, espacio público, entorno lagunas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Planeación / Dagma / fuentes satelitales</w:t>
            </w:r>
          </w:p>
        </w:tc>
      </w:tr>
      <w:tr>
        <w:tblPrEx>
          <w:shd w:val="clear" w:color="auto" w:fill="cad1d7"/>
        </w:tblPrEx>
        <w:trPr>
          <w:trHeight w:val="112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Catastral / residencial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valor catastral, transacciones, mejoramiento de vivienda</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rStyle w:val="Ninguno"/>
                <w:shd w:val="nil" w:color="auto" w:fill="auto"/>
                <w:rtl w:val="0"/>
                <w:lang w:val="en-US"/>
              </w:rPr>
              <w:t>Planeación / Catastro / Vivienda y Hábitat</w:t>
            </w:r>
          </w:p>
        </w:tc>
      </w:tr>
    </w:tbl>
    <w:p>
      <w:pPr>
        <w:pStyle w:val="Título 3"/>
        <w:widowControl w:val="0"/>
      </w:pPr>
    </w:p>
    <w:p>
      <w:pPr>
        <w:pStyle w:val="Título 2"/>
      </w:pPr>
      <w:bookmarkStart w:name="Xbb2b6646cfe2dbbf2dee479d1c3c579263b7203" w:id="46"/>
      <w:r>
        <w:rPr>
          <w:rStyle w:val="Ninguno"/>
          <w:rtl w:val="0"/>
          <w:lang w:val="es-ES_tradnl"/>
        </w:rPr>
        <w:t>15. Requerimientos de datos por secretar</w:t>
      </w:r>
      <w:r>
        <w:rPr>
          <w:rStyle w:val="Ninguno"/>
          <w:rtl w:val="0"/>
        </w:rPr>
        <w:t>í</w:t>
      </w:r>
      <w:r>
        <w:rPr>
          <w:rStyle w:val="Ninguno"/>
          <w:rtl w:val="0"/>
          <w:lang w:val="es-ES_tradnl"/>
        </w:rPr>
        <w:t>a (solicitud oficial)</w:t>
      </w:r>
    </w:p>
    <w:p>
      <w:pPr>
        <w:pStyle w:val="First Paragraph"/>
      </w:pPr>
      <w:r>
        <w:rPr>
          <w:rStyle w:val="Ninguno"/>
          <w:rtl w:val="0"/>
          <w:lang w:val="en-US"/>
        </w:rPr>
        <w:t xml:space="preserve">Se recomienda emitir una solicitud formal estandarizada a cada organismo, orientada a obtener </w:t>
      </w:r>
      <w:r>
        <w:rPr>
          <w:rStyle w:val="Ninguno"/>
          <w:rFonts w:ascii="Aptos" w:cs="Aptos" w:hAnsi="Aptos" w:eastAsia="Aptos"/>
          <w:b w:val="1"/>
          <w:bCs w:val="1"/>
          <w:rtl w:val="0"/>
          <w:lang w:val="en-US"/>
        </w:rPr>
        <w:t>datasets fuente</w:t>
      </w:r>
      <w:r>
        <w:rPr>
          <w:rStyle w:val="Ninguno"/>
          <w:rtl w:val="0"/>
          <w:lang w:val="en-US"/>
        </w:rPr>
        <w:t>, no solo indicadores agregados. El objetivo es automatizar el cálculo posterior en el data lake.</w:t>
      </w:r>
      <w:bookmarkEnd w:id="46"/>
      <w:bookmarkEnd w:id="45"/>
    </w:p>
    <w:p>
      <w:pPr>
        <w:pStyle w:val="Título 3"/>
      </w:pPr>
      <w:bookmarkStart w:name="estructuramínimadesolicitud" w:id="47"/>
      <w:r>
        <w:rPr>
          <w:rStyle w:val="Ninguno"/>
          <w:rtl w:val="0"/>
          <w:lang w:val="es-ES_tradnl"/>
        </w:rPr>
        <w:t>15.1. Estructura m</w:t>
      </w:r>
      <w:r>
        <w:rPr>
          <w:rStyle w:val="Ninguno"/>
          <w:rtl w:val="0"/>
        </w:rPr>
        <w:t>í</w:t>
      </w:r>
      <w:r>
        <w:rPr>
          <w:rStyle w:val="Ninguno"/>
          <w:rtl w:val="0"/>
          <w:lang w:val="es-ES_tradnl"/>
        </w:rPr>
        <w:t>nima de solicitud</w:t>
      </w:r>
    </w:p>
    <w:p>
      <w:pPr>
        <w:pStyle w:val="First Paragraph"/>
      </w:pPr>
      <w:r>
        <w:rPr>
          <w:rStyle w:val="Ninguno"/>
          <w:rtl w:val="0"/>
          <w:lang w:val="en-US"/>
        </w:rPr>
        <w:t>Cada solicitud debe requerir, para cada dataset:</w:t>
      </w:r>
    </w:p>
    <w:p>
      <w:pPr>
        <w:pStyle w:val="Compact"/>
        <w:numPr>
          <w:ilvl w:val="0"/>
          <w:numId w:val="2"/>
        </w:numPr>
        <w:rPr>
          <w:lang w:val="en-US"/>
        </w:rPr>
      </w:pPr>
      <w:r>
        <w:rPr>
          <w:rStyle w:val="Ninguno"/>
          <w:rtl w:val="0"/>
          <w:lang w:val="en-US"/>
        </w:rPr>
        <w:t>nombre del dataset</w:t>
      </w:r>
    </w:p>
    <w:p>
      <w:pPr>
        <w:pStyle w:val="Compact"/>
        <w:numPr>
          <w:ilvl w:val="0"/>
          <w:numId w:val="2"/>
        </w:numPr>
        <w:rPr>
          <w:lang w:val="en-US"/>
        </w:rPr>
      </w:pPr>
      <w:r>
        <w:rPr>
          <w:rStyle w:val="Ninguno"/>
          <w:rtl w:val="0"/>
          <w:lang w:val="en-US"/>
        </w:rPr>
        <w:t>descripción funcional</w:t>
      </w:r>
    </w:p>
    <w:p>
      <w:pPr>
        <w:pStyle w:val="Compact"/>
        <w:numPr>
          <w:ilvl w:val="0"/>
          <w:numId w:val="2"/>
        </w:numPr>
        <w:rPr>
          <w:lang w:val="en-US"/>
        </w:rPr>
      </w:pPr>
      <w:r>
        <w:rPr>
          <w:rStyle w:val="Ninguno"/>
          <w:rtl w:val="0"/>
          <w:lang w:val="en-US"/>
        </w:rPr>
        <w:t>responsable técnico y funcional</w:t>
      </w:r>
    </w:p>
    <w:p>
      <w:pPr>
        <w:pStyle w:val="Compact"/>
        <w:numPr>
          <w:ilvl w:val="0"/>
          <w:numId w:val="2"/>
        </w:numPr>
        <w:rPr>
          <w:lang w:val="en-US"/>
        </w:rPr>
      </w:pPr>
      <w:r>
        <w:rPr>
          <w:rStyle w:val="Ninguno"/>
          <w:rtl w:val="0"/>
          <w:lang w:val="en-US"/>
        </w:rPr>
        <w:t>periodo disponible</w:t>
      </w:r>
    </w:p>
    <w:p>
      <w:pPr>
        <w:pStyle w:val="Compact"/>
        <w:numPr>
          <w:ilvl w:val="0"/>
          <w:numId w:val="2"/>
        </w:numPr>
        <w:rPr>
          <w:lang w:val="en-US"/>
        </w:rPr>
      </w:pPr>
      <w:r>
        <w:rPr>
          <w:rStyle w:val="Ninguno"/>
          <w:rtl w:val="0"/>
          <w:lang w:val="en-US"/>
        </w:rPr>
        <w:t>frecuencia de actualización</w:t>
      </w:r>
    </w:p>
    <w:p>
      <w:pPr>
        <w:pStyle w:val="Compact"/>
        <w:numPr>
          <w:ilvl w:val="0"/>
          <w:numId w:val="2"/>
        </w:numPr>
        <w:rPr>
          <w:lang w:val="en-US"/>
        </w:rPr>
      </w:pPr>
      <w:r>
        <w:rPr>
          <w:rStyle w:val="Ninguno"/>
          <w:rtl w:val="0"/>
          <w:lang w:val="en-US"/>
        </w:rPr>
        <w:t>unidad geográfica disponible</w:t>
      </w:r>
    </w:p>
    <w:p>
      <w:pPr>
        <w:pStyle w:val="Compact"/>
        <w:numPr>
          <w:ilvl w:val="0"/>
          <w:numId w:val="2"/>
        </w:numPr>
        <w:rPr>
          <w:lang w:val="en-US"/>
        </w:rPr>
      </w:pPr>
      <w:r>
        <w:rPr>
          <w:rStyle w:val="Ninguno"/>
          <w:rtl w:val="0"/>
          <w:lang w:val="en-US"/>
        </w:rPr>
        <w:t>existencia de coordenadas o identificador territorial</w:t>
      </w:r>
    </w:p>
    <w:p>
      <w:pPr>
        <w:pStyle w:val="Compact"/>
        <w:numPr>
          <w:ilvl w:val="0"/>
          <w:numId w:val="2"/>
        </w:numPr>
        <w:rPr>
          <w:lang w:val="en-US"/>
        </w:rPr>
      </w:pPr>
      <w:r>
        <w:rPr>
          <w:rStyle w:val="Ninguno"/>
          <w:rtl w:val="0"/>
          <w:lang w:val="en-US"/>
        </w:rPr>
        <w:t>diccionario de variables</w:t>
      </w:r>
    </w:p>
    <w:p>
      <w:pPr>
        <w:pStyle w:val="Compact"/>
        <w:numPr>
          <w:ilvl w:val="0"/>
          <w:numId w:val="2"/>
        </w:numPr>
        <w:rPr>
          <w:lang w:val="en-US"/>
        </w:rPr>
      </w:pPr>
      <w:r>
        <w:rPr>
          <w:rStyle w:val="Ninguno"/>
          <w:rtl w:val="0"/>
          <w:lang w:val="en-US"/>
        </w:rPr>
        <w:t>histórico 2023–2025 (línea base)</w:t>
      </w:r>
    </w:p>
    <w:p>
      <w:pPr>
        <w:pStyle w:val="Compact"/>
        <w:numPr>
          <w:ilvl w:val="0"/>
          <w:numId w:val="2"/>
        </w:numPr>
        <w:rPr>
          <w:lang w:val="en-US"/>
        </w:rPr>
      </w:pPr>
      <w:r>
        <w:rPr>
          <w:rStyle w:val="Ninguno"/>
          <w:rtl w:val="0"/>
          <w:lang w:val="en-US"/>
        </w:rPr>
        <w:t>política de actualización hacia el data lake</w:t>
      </w:r>
      <w:bookmarkEnd w:id="47"/>
      <w:bookmarkEnd w:id="44"/>
    </w:p>
    <w:p>
      <w:pPr>
        <w:pStyle w:val="Título 3"/>
      </w:pPr>
      <w:bookmarkStart w:name="requerimientossugeridospororganismo" w:id="48"/>
      <w:r>
        <w:rPr>
          <w:rStyle w:val="Ninguno"/>
          <w:rtl w:val="0"/>
          <w:lang w:val="es-ES_tradnl"/>
        </w:rPr>
        <w:t>15.2. Requerimientos sugeridos por organismo</w:t>
      </w:r>
      <w:bookmarkEnd w:id="48"/>
    </w:p>
    <w:p>
      <w:pPr>
        <w:pStyle w:val="heading 4"/>
      </w:pPr>
      <w:bookmarkStart w:name="secretaríadeseguridadyjusticia" w:id="49"/>
      <w:r>
        <w:rPr>
          <w:rStyle w:val="Ninguno"/>
          <w:rtl w:val="0"/>
          <w:lang w:val="en-US"/>
        </w:rPr>
        <w:t>Secretaría de Seguridad y Justicia</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homicidios georreferenciados - hurtos georreferenciados - riñas y comportamientos contrarios a la convivencia - violencia intrafamiliar - presencia institucional / CAI / operativos (si aplica)</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fecha del evento - tipo de evento - latitud / longitud - barrio / comuna - cuadrante / zona (si existe)</w:t>
      </w:r>
      <w:bookmarkEnd w:id="49"/>
    </w:p>
    <w:p>
      <w:pPr>
        <w:pStyle w:val="heading 4"/>
      </w:pPr>
      <w:bookmarkStart w:name="secretaríademovilidad" w:id="50"/>
      <w:r>
        <w:rPr>
          <w:rStyle w:val="Ninguno"/>
          <w:rtl w:val="0"/>
          <w:lang w:val="en-US"/>
        </w:rPr>
        <w:t>Secretaría de Movilidad</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siniestros viales georreferenciados - accidentes con lesionados - accidentes fatales - señalización / delimitación vial intervenida - tiempos de viaje o velocidad promedio (si existen)</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fecha - tipo de siniestro - severidad - latitud / longitud - corredor / vía / tramo</w:t>
      </w:r>
      <w:bookmarkEnd w:id="50"/>
    </w:p>
    <w:p>
      <w:pPr>
        <w:pStyle w:val="heading 4"/>
      </w:pPr>
      <w:bookmarkStart w:name="infraestructura" w:id="51"/>
      <w:r>
        <w:rPr>
          <w:rStyle w:val="Ninguno"/>
          <w:rtl w:val="0"/>
          <w:lang w:val="en-US"/>
        </w:rPr>
        <w:t>Infraestructura</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inventario de obras - estado de ejecución por frente / UPS - vías intervenidas - andenes construidos o recuperados - luminarias o espacio público recuperado (si aplica)</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identificador de obra / UPS - tipo de intervención - fecha inicio / fecha fin - presupuesto - estado - latitud / longitud o geometría</w:t>
      </w:r>
      <w:bookmarkEnd w:id="51"/>
    </w:p>
    <w:p>
      <w:pPr>
        <w:pStyle w:val="heading 4"/>
      </w:pPr>
      <w:bookmarkStart w:name="viviendayhábitat" w:id="52"/>
      <w:r>
        <w:rPr>
          <w:rStyle w:val="Ninguno"/>
          <w:rtl w:val="0"/>
          <w:lang w:val="en-US"/>
        </w:rPr>
        <w:t>Vivienda y Hábitat</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subsidios de mejoramiento de vivienda - proyectos habitacionales - hogares beneficiados - localización de intervenciones</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identificador del subsidio / proyecto - tipo de intervención - número de beneficiarios - fecha - localización geográfica</w:t>
      </w:r>
      <w:bookmarkEnd w:id="52"/>
    </w:p>
    <w:p>
      <w:pPr>
        <w:pStyle w:val="heading 4"/>
      </w:pPr>
      <w:bookmarkStart w:name="bienestarsocial" w:id="53"/>
      <w:r>
        <w:rPr>
          <w:rStyle w:val="Ninguno"/>
          <w:rtl w:val="0"/>
          <w:lang w:val="en-US"/>
        </w:rPr>
        <w:t>Bienestar Social</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beneficiarios de programas - cobertura territorial de programas - registros de atención a población vulnerable</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programa - beneficiario agregado - fecha - microterritorio / barrio / comuna - localización cuando exista</w:t>
      </w:r>
      <w:bookmarkEnd w:id="53"/>
    </w:p>
    <w:p>
      <w:pPr>
        <w:pStyle w:val="heading 4"/>
      </w:pPr>
      <w:bookmarkStart w:name="educación" w:id="54"/>
      <w:r>
        <w:rPr>
          <w:rStyle w:val="Ninguno"/>
          <w:rtl w:val="0"/>
          <w:lang w:val="en-US"/>
        </w:rPr>
        <w:t>Educación</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sedes intervenidas - matrícula por sede - deserción / permanencia escolar - infraestructura educativa intervenida</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sede educativa - código DANE - fecha - matrícula - localización</w:t>
      </w:r>
      <w:bookmarkEnd w:id="54"/>
    </w:p>
    <w:p>
      <w:pPr>
        <w:pStyle w:val="heading 4"/>
      </w:pPr>
      <w:bookmarkStart w:name="deporte" w:id="55"/>
      <w:r>
        <w:rPr>
          <w:rStyle w:val="Ninguno"/>
          <w:rtl w:val="0"/>
          <w:lang w:val="en-US"/>
        </w:rPr>
        <w:t>Deporte</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escenarios deportivos intervenidos - uso de equipamientos - beneficiarios de programas deportivos</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escenario - tipo de intervención - frecuencia de uso / beneficiarios - fecha - localización</w:t>
      </w:r>
      <w:bookmarkEnd w:id="55"/>
    </w:p>
    <w:p>
      <w:pPr>
        <w:pStyle w:val="heading 4"/>
      </w:pPr>
      <w:bookmarkStart w:name="cultura" w:id="56"/>
      <w:r>
        <w:rPr>
          <w:rStyle w:val="Ninguno"/>
          <w:rtl w:val="0"/>
          <w:lang w:val="en-US"/>
        </w:rPr>
        <w:t>Cultura</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bibliotecas y equipamientos culturales - eventos culturales - asistencia a actividades - rutas o circuitos culturales</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equipamiento / evento - número de asistentes - fecha - localización</w:t>
      </w:r>
      <w:bookmarkEnd w:id="56"/>
    </w:p>
    <w:p>
      <w:pPr>
        <w:pStyle w:val="heading 4"/>
      </w:pPr>
      <w:bookmarkStart w:name="planeacióncatastrodagma" w:id="57"/>
      <w:r>
        <w:rPr>
          <w:rStyle w:val="Ninguno"/>
          <w:rtl w:val="0"/>
          <w:lang w:val="en-US"/>
        </w:rPr>
        <w:t>Planeación / Catastro / Dagma</w:t>
      </w:r>
    </w:p>
    <w:p>
      <w:pPr>
        <w:pStyle w:val="First Paragraph"/>
      </w:pPr>
      <w:r>
        <w:rPr>
          <w:rStyle w:val="Ninguno"/>
          <w:rFonts w:ascii="Aptos" w:cs="Aptos" w:hAnsi="Aptos" w:eastAsia="Aptos"/>
          <w:b w:val="1"/>
          <w:bCs w:val="1"/>
          <w:rtl w:val="0"/>
          <w:lang w:val="en-US"/>
        </w:rPr>
        <w:t>Datasets requeridos:</w:t>
      </w:r>
      <w:r>
        <w:rPr>
          <w:rStyle w:val="Ninguno"/>
          <w:rtl w:val="0"/>
          <w:lang w:val="en-US"/>
        </w:rPr>
        <w:t xml:space="preserve"> - cartografía oficial de polígonos - áreas oficiales - base catastral - valor catastral promedio - coberturas ambientales / capas base</w:t>
      </w:r>
    </w:p>
    <w:p>
      <w:pPr>
        <w:pStyle w:val="Body Text"/>
      </w:pPr>
      <w:r>
        <w:rPr>
          <w:rStyle w:val="Ninguno"/>
          <w:rFonts w:ascii="Aptos" w:cs="Aptos" w:hAnsi="Aptos" w:eastAsia="Aptos"/>
          <w:b w:val="1"/>
          <w:bCs w:val="1"/>
          <w:rtl w:val="0"/>
          <w:lang w:val="en-US"/>
        </w:rPr>
        <w:t>Campos mínimos:</w:t>
      </w:r>
      <w:r>
        <w:rPr>
          <w:rStyle w:val="Ninguno"/>
          <w:rtl w:val="0"/>
          <w:lang w:val="en-US"/>
        </w:rPr>
        <w:t xml:space="preserve"> - geometría - identificador territorial - fecha de corte - variables catastrales / ambientales</w:t>
      </w:r>
      <w:bookmarkEnd w:id="57"/>
    </w:p>
    <w:p>
      <w:pPr>
        <w:pStyle w:val="Título 3"/>
      </w:pPr>
      <w:bookmarkStart w:name="principiooperativo" w:id="58"/>
      <w:r>
        <w:rPr>
          <w:rStyle w:val="Ninguno"/>
          <w:rtl w:val="0"/>
          <w:lang w:val="it-IT"/>
        </w:rPr>
        <w:t>15.3. Principio operativo</w:t>
      </w:r>
    </w:p>
    <w:p>
      <w:pPr>
        <w:pStyle w:val="First Paragraph"/>
      </w:pPr>
      <w:r>
        <w:rPr>
          <w:rStyle w:val="Ninguno"/>
          <w:rtl w:val="0"/>
          <w:lang w:val="en-US"/>
        </w:rPr>
        <w:t>Siempre que sea posible, la solicitud debe pedir:</w:t>
      </w:r>
    </w:p>
    <w:p>
      <w:pPr>
        <w:pStyle w:val="Body Text"/>
      </w:pPr>
      <w:r>
        <w:rPr>
          <w:rStyle w:val="Ninguno"/>
          <w:rFonts w:ascii="Aptos" w:cs="Aptos" w:hAnsi="Aptos" w:eastAsia="Aptos"/>
          <w:b w:val="1"/>
          <w:bCs w:val="1"/>
          <w:rtl w:val="0"/>
          <w:lang w:val="en-US"/>
        </w:rPr>
        <w:t>dataset fuente + georreferenciación + histórico</w:t>
      </w:r>
    </w:p>
    <w:p>
      <w:pPr>
        <w:pStyle w:val="Body Text"/>
      </w:pPr>
      <w:r>
        <w:rPr>
          <w:rStyle w:val="Ninguno"/>
          <w:rtl w:val="0"/>
          <w:lang w:val="en-US"/>
        </w:rPr>
        <w:t>No solamente el valor agregado del indicador. Esto permitirá que el cálculo de indicadores quede automatizado en el data lake y no dependa de solicitudes manuales recurrentes.</w:t>
      </w:r>
      <w:bookmarkEnd w:id="58"/>
    </w:p>
    <w:p>
      <w:pPr>
        <w:pStyle w:val="Título 2"/>
      </w:pPr>
      <w:bookmarkStart w:name="notassobrelíneasbase" w:id="59"/>
      <w:r>
        <w:rPr>
          <w:rStyle w:val="Ninguno"/>
          <w:rtl w:val="0"/>
          <w:lang w:val="es-ES_tradnl"/>
        </w:rPr>
        <w:t>16. Notas sobre l</w:t>
      </w:r>
      <w:r>
        <w:rPr>
          <w:rStyle w:val="Ninguno"/>
          <w:rtl w:val="0"/>
        </w:rPr>
        <w:t>í</w:t>
      </w:r>
      <w:r>
        <w:rPr>
          <w:rStyle w:val="Ninguno"/>
          <w:rtl w:val="0"/>
          <w:lang w:val="es-ES_tradnl"/>
        </w:rPr>
        <w:t>neas base</w:t>
      </w:r>
    </w:p>
    <w:p>
      <w:pPr>
        <w:pStyle w:val="First Paragraph"/>
      </w:pPr>
      <w:r>
        <w:rPr>
          <w:rStyle w:val="Ninguno"/>
          <w:rtl w:val="0"/>
          <w:lang w:val="en-US"/>
        </w:rPr>
        <w:t>Los valores marcados con</w:t>
      </w:r>
      <w:r>
        <w:rPr>
          <w:rStyle w:val="Ninguno"/>
          <w:rtl w:val="0"/>
          <w:lang w:val="es-ES_tradnl"/>
        </w:rPr>
        <w:t xml:space="preserve"> </w:t>
      </w:r>
      <w:r>
        <w:rPr>
          <w:rStyle w:val="Ninguno"/>
          <w:rtl w:val="0"/>
          <w:lang w:val="en-US"/>
        </w:rPr>
        <w:t>(*) indican:</w:t>
      </w:r>
    </w:p>
    <w:p>
      <w:pPr>
        <w:pStyle w:val="Compact"/>
        <w:numPr>
          <w:ilvl w:val="0"/>
          <w:numId w:val="2"/>
        </w:numPr>
        <w:rPr>
          <w:lang w:val="en-US"/>
        </w:rPr>
      </w:pPr>
      <w:r>
        <w:rPr>
          <w:rStyle w:val="Ninguno"/>
          <w:rtl w:val="0"/>
          <w:lang w:val="en-US"/>
        </w:rPr>
        <w:t>indicadores identificados pero pendientes de consolidación de datos</w:t>
      </w:r>
    </w:p>
    <w:p>
      <w:pPr>
        <w:pStyle w:val="Compact"/>
        <w:numPr>
          <w:ilvl w:val="0"/>
          <w:numId w:val="2"/>
        </w:numPr>
        <w:rPr>
          <w:lang w:val="en-US"/>
        </w:rPr>
      </w:pPr>
      <w:r>
        <w:rPr>
          <w:rStyle w:val="Ninguno"/>
          <w:rtl w:val="0"/>
          <w:lang w:val="en-US"/>
        </w:rPr>
        <w:t>pendiente georreferenciación territorial</w:t>
      </w:r>
    </w:p>
    <w:p>
      <w:pPr>
        <w:pStyle w:val="Compact"/>
        <w:numPr>
          <w:ilvl w:val="0"/>
          <w:numId w:val="2"/>
        </w:numPr>
        <w:rPr>
          <w:lang w:val="en-US"/>
        </w:rPr>
      </w:pPr>
      <w:r>
        <w:rPr>
          <w:rStyle w:val="Ninguno"/>
          <w:rtl w:val="0"/>
          <w:lang w:val="en-US"/>
        </w:rPr>
        <w:t>pendiente integración con fuentes oficiales</w:t>
      </w:r>
    </w:p>
    <w:p>
      <w:pPr>
        <w:pStyle w:val="First Paragraph"/>
      </w:pPr>
      <w:r>
        <w:rPr>
          <w:rStyle w:val="Ninguno"/>
          <w:rtl w:val="0"/>
          <w:lang w:val="en-US"/>
        </w:rPr>
        <w:t>Estos deberán ser solicitados a las secretarías correspondientes o integrados a través del data lake institucional.</w:t>
      </w:r>
      <w:bookmarkEnd w:id="59"/>
    </w:p>
    <w:p>
      <w:pPr>
        <w:pStyle w:val="Título 2"/>
      </w:pPr>
      <w:bookmarkStart w:name="próximospasosdeimplementación" w:id="60"/>
      <w:r>
        <w:rPr>
          <w:rStyle w:val="Ninguno"/>
          <w:rtl w:val="0"/>
        </w:rPr>
        <w:t>17. Pr</w:t>
      </w:r>
      <w:r>
        <w:rPr>
          <w:rStyle w:val="Ninguno"/>
          <w:rtl w:val="0"/>
          <w:lang w:val="es-ES_tradnl"/>
        </w:rPr>
        <w:t>óximos pasos de implementació</w:t>
      </w:r>
      <w:r>
        <w:rPr>
          <w:rStyle w:val="Ninguno"/>
          <w:rtl w:val="0"/>
        </w:rPr>
        <w:t>n</w:t>
      </w:r>
    </w:p>
    <w:p>
      <w:pPr>
        <w:pStyle w:val="Compact"/>
        <w:numPr>
          <w:ilvl w:val="0"/>
          <w:numId w:val="7"/>
        </w:numPr>
        <w:rPr>
          <w:lang w:val="en-US"/>
        </w:rPr>
      </w:pPr>
      <w:r>
        <w:rPr>
          <w:rStyle w:val="Ninguno"/>
          <w:rtl w:val="0"/>
          <w:lang w:val="en-US"/>
        </w:rPr>
        <w:t>Consolidación del catálogo final de indicadores</w:t>
      </w:r>
    </w:p>
    <w:p>
      <w:pPr>
        <w:pStyle w:val="Compact"/>
        <w:numPr>
          <w:ilvl w:val="0"/>
          <w:numId w:val="4"/>
        </w:numPr>
        <w:rPr>
          <w:lang w:val="en-US"/>
        </w:rPr>
      </w:pPr>
      <w:r>
        <w:rPr>
          <w:rStyle w:val="Ninguno"/>
          <w:rtl w:val="0"/>
          <w:lang w:val="en-US"/>
        </w:rPr>
        <w:t>Recolección de líneas base faltantes</w:t>
      </w:r>
    </w:p>
    <w:p>
      <w:pPr>
        <w:pStyle w:val="Compact"/>
        <w:numPr>
          <w:ilvl w:val="0"/>
          <w:numId w:val="4"/>
        </w:numPr>
        <w:rPr>
          <w:lang w:val="en-US"/>
        </w:rPr>
      </w:pPr>
      <w:r>
        <w:rPr>
          <w:rStyle w:val="Ninguno"/>
          <w:rtl w:val="0"/>
          <w:lang w:val="en-US"/>
        </w:rPr>
        <w:t>Integración de fuentes de datos en el data lake</w:t>
      </w:r>
    </w:p>
    <w:p>
      <w:pPr>
        <w:pStyle w:val="Compact"/>
        <w:numPr>
          <w:ilvl w:val="0"/>
          <w:numId w:val="4"/>
        </w:numPr>
        <w:rPr>
          <w:lang w:val="en-US"/>
        </w:rPr>
      </w:pPr>
      <w:r>
        <w:rPr>
          <w:rStyle w:val="Ninguno"/>
          <w:rtl w:val="0"/>
          <w:lang w:val="en-US"/>
        </w:rPr>
        <w:t>Desarrollo de modelos analíticos</w:t>
      </w:r>
    </w:p>
    <w:p>
      <w:pPr>
        <w:pStyle w:val="Compact"/>
        <w:numPr>
          <w:ilvl w:val="0"/>
          <w:numId w:val="4"/>
        </w:numPr>
        <w:rPr>
          <w:lang w:val="en-US"/>
        </w:rPr>
      </w:pPr>
      <w:r>
        <w:rPr>
          <w:rStyle w:val="Ninguno"/>
          <w:rtl w:val="0"/>
          <w:lang w:val="en-US"/>
        </w:rPr>
        <w:t>Construcción de tableros de visualización territorial</w:t>
      </w:r>
    </w:p>
    <w:p>
      <w:pPr>
        <w:pStyle w:val="Compact"/>
        <w:numPr>
          <w:ilvl w:val="0"/>
          <w:numId w:val="4"/>
        </w:numPr>
        <w:rPr>
          <w:lang w:val="en-US"/>
        </w:rPr>
      </w:pPr>
      <w:r>
        <w:rPr>
          <w:rStyle w:val="Ninguno"/>
          <w:rtl w:val="0"/>
          <w:lang w:val="en-US"/>
        </w:rPr>
        <w:t>Validación institucional con organismos y tomadores de decisión</w:t>
      </w:r>
      <w:bookmarkEnd w:id="60"/>
    </w:p>
    <w:p>
      <w:pPr>
        <w:pStyle w:val="Título 2"/>
      </w:pPr>
      <w:r>
        <w:rPr>
          <w:rStyle w:val="Ninguno"/>
        </w:rPr>
        <w:t>18. Escala de madurez del impacto territorial</w:t>
      </w:r>
    </w:p>
    <w:p>
      <w:pPr>
        <w:pStyle w:val="First Paragraph"/>
      </w:pPr>
      <w:r>
        <w:rPr>
          <w:rStyle w:val="Ninguno"/>
        </w:rPr>
        <w:t xml:space="preserve">Para que el ITT no sea solo un número sin referencia, el modelo incorpora una escala de madurez de cuatro niveles. Esta escala permite comunicar el estado de transformación de cada territorio de manera comprensible para tomadores de decisión, sin sobreprometer ni subvalorar los avances. Cada nivel tiene criterios cuantitativos (rango del ITT) y cualitativos (condiciones observables en el territorio).</w:t>
      </w:r>
    </w:p>
    <w:tbl>
      <w:tblPr>
        <w:tblW w:w="9360" w:type="dxa"/>
        <w:jc w:val="lef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Pr>
      <w:tblGrid>
        <w:gridCol w:w="1400"/>
        <w:gridCol w:w="1400"/>
        <w:gridCol w:w="3280"/>
        <w:gridCol w:w="3280"/>
      </w:tblGrid>
      <w:tr>
        <w:trPr>
          <w:tblHeader/>
        </w:trPr>
        <w:tc>
          <w:tcPr>
            <w:tcW w:type="dxa" w:w="1400"/>
            <w:shd w:val="clear" w:fill="1F4E79"/>
          </w:tcPr>
          <w:p>
            <w:pPr>
              <w:jc w:val="center"/>
            </w:pPr>
            <w:r>
              <w:rPr>
                <w:b/>
                <w:color w:val="FFFFFF"/>
              </w:rPr>
              <w:t>Nivel</w:t>
            </w:r>
          </w:p>
        </w:tc>
        <w:tc>
          <w:tcPr>
            <w:tcW w:type="dxa" w:w="1400"/>
            <w:shd w:val="clear" w:fill="1F4E79"/>
          </w:tcPr>
          <w:p>
            <w:pPr>
              <w:jc w:val="center"/>
            </w:pPr>
            <w:r>
              <w:rPr>
                <w:b/>
                <w:color w:val="FFFFFF"/>
              </w:rPr>
              <w:t>Rango ITT</w:t>
            </w:r>
          </w:p>
        </w:tc>
        <w:tc>
          <w:tcPr>
            <w:tcW w:type="dxa" w:w="3280"/>
            <w:shd w:val="clear" w:fill="1F4E79"/>
          </w:tcPr>
          <w:p>
            <w:r>
              <w:rPr>
                <w:b/>
                <w:color w:val="FFFFFF"/>
              </w:rPr>
              <w:t>Criterios cuantitativos</w:t>
            </w:r>
          </w:p>
        </w:tc>
        <w:tc>
          <w:tcPr>
            <w:tcW w:type="dxa" w:w="3280"/>
            <w:shd w:val="clear" w:fill="1F4E79"/>
          </w:tcPr>
          <w:p>
            <w:r>
              <w:rPr>
                <w:b/>
                <w:color w:val="FFFFFF"/>
              </w:rPr>
              <w:t>Señal típica en el territorio</w:t>
            </w:r>
          </w:p>
        </w:tc>
      </w:tr>
      <w:tr>
        <w:tc>
          <w:tcPr>
            <w:tcW w:type="dxa" w:w="1400"/>
            <w:shd w:val="clear" w:fill="FCE4D6"/>
          </w:tcPr>
          <w:p>
            <w:pPr>
              <w:jc w:val="center"/>
            </w:pPr>
            <w:r>
              <w:rPr>
                <w:b/>
              </w:rPr>
              <w:t>1 – Activación</w:t>
            </w:r>
          </w:p>
        </w:tc>
        <w:tc>
          <w:tcPr>
            <w:tcW w:type="dxa" w:w="1400"/>
          </w:tcPr>
          <w:p>
            <w:pPr>
              <w:jc w:val="center"/>
            </w:pPr>
            <w:r>
              <w:t>0 – 40</w:t>
            </w:r>
          </w:p>
        </w:tc>
        <w:tc>
          <w:tcPr>
            <w:tcW w:type="dxa" w:w="3280"/>
          </w:tcPr>
          <w:p>
            <w:r>
              <w:t xml:space="preserve">Cambios visibles en producto (obras entregadas, programas operando). Al menos una dimensión muestra variación positiva respecto a la línea base. Los indicadores estructurales aún no se han movido.</w:t>
            </w:r>
          </w:p>
        </w:tc>
        <w:tc>
          <w:tcPr>
            <w:tcW w:type="dxa" w:w="3280"/>
          </w:tcPr>
          <w:p>
            <w:r>
              <w:t xml:space="preserve">El espacio se usa más, pero la tasa de hurtos o el valor catastral no han variado todavía.</w:t>
            </w:r>
          </w:p>
        </w:tc>
      </w:tr>
      <w:tr>
        <w:tc>
          <w:tcPr>
            <w:tcW w:type="dxa" w:w="1400"/>
            <w:shd w:val="clear" w:fill="FFF2CC"/>
          </w:tcPr>
          <w:p>
            <w:pPr>
              <w:jc w:val="center"/>
            </w:pPr>
            <w:r>
              <w:rPr>
                <w:b/>
              </w:rPr>
              <w:t>2 – Consolidación</w:t>
            </w:r>
          </w:p>
        </w:tc>
        <w:tc>
          <w:tcPr>
            <w:tcW w:type="dxa" w:w="1400"/>
          </w:tcPr>
          <w:p>
            <w:pPr>
              <w:jc w:val="center"/>
            </w:pPr>
            <w:r>
              <w:t>41 – 60</w:t>
            </w:r>
          </w:p>
        </w:tc>
        <w:tc>
          <w:tcPr>
            <w:tcW w:type="dxa" w:w="3280"/>
          </w:tcPr>
          <w:p>
            <w:r>
              <w:t xml:space="preserve">Cambios sostenidos en al menos tres dimensiones durante dos períodos consecutivos de medición. El territorio espejo no muestra la misma variación, confirmando atribuibilidad a la intervención.</w:t>
            </w:r>
          </w:p>
        </w:tc>
        <w:tc>
          <w:tcPr>
            <w:tcW w:type="dxa" w:w="3280"/>
          </w:tcPr>
          <w:p>
            <w:r>
              <w:t xml:space="preserve">Bajan los hurtos y sube la afluencia al espacio público de manera simultánea y sostenida.</w:t>
            </w:r>
          </w:p>
        </w:tc>
      </w:tr>
      <w:tr>
        <w:tc>
          <w:tcPr>
            <w:tcW w:type="dxa" w:w="1400"/>
            <w:shd w:val="clear" w:fill="E2EFDA"/>
          </w:tcPr>
          <w:p>
            <w:pPr>
              <w:jc w:val="center"/>
            </w:pPr>
            <w:r>
              <w:rPr>
                <w:b/>
              </w:rPr>
              <w:t>3 – Transformación</w:t>
            </w:r>
          </w:p>
        </w:tc>
        <w:tc>
          <w:tcPr>
            <w:tcW w:type="dxa" w:w="1400"/>
          </w:tcPr>
          <w:p>
            <w:pPr>
              <w:jc w:val="center"/>
            </w:pPr>
            <w:r>
              <w:t>61 – 80</w:t>
            </w:r>
          </w:p>
        </w:tc>
        <w:tc>
          <w:tcPr>
            <w:tcW w:type="dxa" w:w="3280"/>
          </w:tcPr>
          <w:p>
            <w:r>
              <w:t xml:space="preserve">Impacto medible en al menos un indicador estructural de largo plazo: IPM, valor catastral, matrícula escolar, o formalización de negocios. El cambio es durable, no solo coyuntural.</w:t>
            </w:r>
          </w:p>
        </w:tc>
        <w:tc>
          <w:tcPr>
            <w:tcW w:type="dxa" w:w="3280"/>
          </w:tcPr>
          <w:p>
            <w:r>
              <w:t xml:space="preserve">El valor del suelo sube, nuevos negocios se formalizan, o mejora la permanencia escolar en el microterritorio.</w:t>
            </w:r>
          </w:p>
        </w:tc>
      </w:tr>
      <w:tr>
        <w:tc>
          <w:tcPr>
            <w:tcW w:type="dxa" w:w="1400"/>
            <w:shd w:val="clear" w:fill="DEEAF1"/>
          </w:tcPr>
          <w:p>
            <w:pPr>
              <w:jc w:val="center"/>
            </w:pPr>
            <w:r>
              <w:rPr>
                <w:b/>
              </w:rPr>
              <w:t>4 – Escala</w:t>
            </w:r>
          </w:p>
        </w:tc>
        <w:tc>
          <w:tcPr>
            <w:tcW w:type="dxa" w:w="1400"/>
          </w:tcPr>
          <w:p>
            <w:pPr>
              <w:jc w:val="center"/>
            </w:pPr>
            <w:r>
              <w:t>81 – 100</w:t>
            </w:r>
          </w:p>
        </w:tc>
        <w:tc>
          <w:tcPr>
            <w:tcW w:type="dxa" w:w="3280"/>
          </w:tcPr>
          <w:p>
            <w:r>
              <w:t xml:space="preserve">Impacto sostenido en todas las dimensiones y evidencia suficiente para replicar el modelo en otro microterritorio. Incluye criterio cualitativo: la comunidad reconoce el cambio como propio.</w:t>
            </w:r>
          </w:p>
        </w:tc>
        <w:tc>
          <w:tcPr>
            <w:tcW w:type="dxa" w:w="3280"/>
          </w:tcPr>
          <w:p>
            <w:r>
              <w:t xml:space="preserve">La intervención genera condiciones de sostenibilidad autónoma y puede documentarse como modelo replicable para otras apuestas estratégicas.</w:t>
            </w:r>
          </w:p>
        </w:tc>
      </w:tr>
    </w:tbl>
    <w:p>
      <w:pPr>
        <w:pStyle w:val="Body Text"/>
      </w:pPr>
      <w:r>
        <w:rPr>
          <w:rStyle w:val="Ninguno"/>
          <w:i/>
          <w:iCs/>
        </w:rPr>
        <w:t xml:space="preserve">Nota: Con perfiles de ponderación diferenciados (sección 7.4), los niveles de madurez son comparables entre apuestas en términos de umbral alcanzado, pero no en términos de qué dimensiones mueven el ITT. Esto protege la comparación política entre territorios con lógicas de intervención distintas.</w:t>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2"/>
  </w:abstractNum>
  <w:abstractNum w:abstractNumId="3">
    <w:multiLevelType w:val="hybridMultilevel"/>
    <w:styleLink w:val="Estilo importado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ítulo">
    <w:name w:val="Título"/>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inguno">
    <w:name w:val="Ninguno"/>
    <w:rPr>
      <w:lang w:val="es-ES_tradnl"/>
    </w:rPr>
  </w:style>
  <w:style w:type="paragraph" w:styleId="Título 2">
    <w:name w:val="Título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Estilo importado 1">
    <w:name w:val="Estilo importado 1"/>
    <w:pPr>
      <w:numPr>
        <w:numId w:val="1"/>
      </w:numPr>
    </w:pPr>
  </w:style>
  <w:style w:type="numbering" w:styleId="Estilo importado 2">
    <w:name w:val="Estilo importado 2"/>
    <w:pPr>
      <w:numPr>
        <w:numId w:val="3"/>
      </w:numPr>
    </w:pPr>
  </w:style>
  <w:style w:type="paragraph" w:styleId="Título 3">
    <w:name w:val="Título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80" w:after="40" w:line="240" w:lineRule="auto"/>
      <w:ind w:left="0" w:right="0" w:firstLine="0"/>
      <w:jc w:val="left"/>
      <w:outlineLvl w:val="2"/>
    </w:pPr>
    <w:rPr>
      <w:rFonts w:ascii="Aptos" w:cs="Aptos" w:hAnsi="Aptos" w:eastAsia="Aptos"/>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n-US"/>
      <w14:textFill>
        <w14:solidFill>
          <w14:srgbClr w14:val="0F4761"/>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