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Дорожная карта «Сделка+» — Q1–Q2 2026</w:t>
      </w:r>
    </w:p>
    <w:p>
      <w:r>
        <w:t>Продукт: B2B CRM «Сделка+». Цель квартала — связать воронку сделок, согласования и отчётность совета директоров через AI-контур.</w:t>
      </w:r>
    </w:p>
    <w:p>
      <w:pPr>
        <w:pStyle w:val="Heading2"/>
      </w:pPr>
      <w:r>
        <w:t>Эпики</w:t>
      </w:r>
    </w:p>
    <w:p>
      <w:pPr>
        <w:pStyle w:val="Heading3"/>
      </w:pPr>
      <w:r>
        <w:t>E1 · AI-скоринг сделок</w:t>
      </w:r>
    </w:p>
    <w:p>
      <w:r>
        <w:t>Модель приоритезации сделок по win-probability; связь с D-2026-01, D-2026-04, D-2026-09, D-2026-14.</w:t>
      </w:r>
    </w:p>
    <w:p>
      <w:pPr>
        <w:pStyle w:val="Heading3"/>
      </w:pPr>
      <w:r>
        <w:t>E2 · Автоматизация согласований</w:t>
      </w:r>
    </w:p>
    <w:p>
      <w:r>
        <w:t>Маршруты Change Request → Legal/Security; сделки D-2026-02, D-2026-07, D-2026-12.</w:t>
      </w:r>
    </w:p>
    <w:p>
      <w:pPr>
        <w:pStyle w:val="Heading3"/>
      </w:pPr>
      <w:r>
        <w:t>E3 · Дашборд совета директоров</w:t>
      </w:r>
    </w:p>
    <w:p>
      <w:r>
        <w:t>Единый пакет KPI и слайдов; сделки D-2026-03, D-2026-08, D-2026-13.</w:t>
      </w:r>
    </w:p>
    <w:p>
      <w:pPr>
        <w:pStyle w:val="Heading3"/>
      </w:pPr>
      <w:r>
        <w:t>E4 · Интеграция CRM→Jira</w:t>
      </w:r>
    </w:p>
    <w:p>
      <w:r>
        <w:t>Автосоздание эпиков/задач из выигранных сделок; D-2026-06, D-2026-10.</w:t>
      </w:r>
    </w:p>
    <w:p>
      <w:pPr>
        <w:pStyle w:val="Heading3"/>
      </w:pPr>
      <w:r>
        <w:t>E5 · Операционный playbook AI</w:t>
      </w:r>
    </w:p>
    <w:p>
      <w:r>
        <w:t>Роли, cadence, эскалации агента; D-2026-05, D-2026-11.</w:t>
      </w:r>
    </w:p>
    <w:p>
      <w:pPr>
        <w:pStyle w:val="Heading2"/>
      </w:pPr>
      <w:r>
        <w:t>Вехи Q1</w:t>
      </w:r>
    </w:p>
    <w:p>
      <w:pPr>
        <w:pStyle w:val="ListNumber"/>
      </w:pPr>
      <w:r>
        <w:t>W1 · Утвердить цели продукта 2026 (PDF)</w:t>
      </w:r>
    </w:p>
    <w:p>
      <w:pPr>
        <w:pStyle w:val="ListNumber"/>
      </w:pPr>
      <w:r>
        <w:t>W2 · Пилот AI-скоринга на 4 сделках</w:t>
      </w:r>
    </w:p>
    <w:p>
      <w:pPr>
        <w:pStyle w:val="ListNumber"/>
      </w:pPr>
      <w:r>
        <w:t>W3 · Пакет согласования изменений v1</w:t>
      </w:r>
    </w:p>
    <w:p>
      <w:pPr>
        <w:pStyle w:val="ListNumber"/>
      </w:pPr>
      <w:r>
        <w:t>W4 · Презентация совету директоров (март)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