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WICHITA FOOT &amp; ANKLE</w:t>
      </w:r>
    </w:p>
    <w:p>
      <w:pPr>
        <w:spacing w:after="0" w:before="0"/>
      </w:pPr>
      <w:r>
        <w:rPr>
          <w:b w:val="0"/>
          <w:i/>
          <w:color w:val="404040"/>
          <w:sz w:val="21"/>
        </w:rPr>
        <w:t>Kavitha Ramaswamy, DPM</w:t>
      </w:r>
    </w:p>
    <w:p>
      <w:pPr>
        <w:spacing w:after="40" w:before="0"/>
        <w:pBdr>
          <w:bottom w:val="single" w:sz="12" w:space="6" w:color="1F3864"/>
        </w:pBdr>
      </w:pPr>
      <w:r>
        <w:rPr>
          <w:b w:val="0"/>
          <w:i w:val="0"/>
          <w:color w:val="595959"/>
          <w:sz w:val="18"/>
        </w:rPr>
        <w:t>9300 E 29th St N  ·  Wichita, KS 67226  ·  (316) 818-4418</w:t>
      </w:r>
    </w:p>
    <w:p>
      <w:pPr>
        <w:spacing w:after="16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184"/>
          </w:tcPr>
          <w:p>
            <w:r>
              <w:rPr>
                <w:b/>
                <w:i w:val="0"/>
                <w:color w:val="1F3864"/>
                <w:sz w:val="30"/>
              </w:rPr>
              <w:t>Patient Receipt</w:t>
            </w:r>
          </w:p>
        </w:tc>
        <w:tc>
          <w:tcPr>
            <w:tcW w:type="dxa" w:w="4608"/>
          </w:tcPr>
          <w:p>
            <w:pPr>
              <w:jc w:val="right"/>
            </w:pPr>
            <w:r>
              <w:rPr>
                <w:b w:val="0"/>
                <w:i w:val="0"/>
                <w:color w:val="595959"/>
                <w:sz w:val="18"/>
              </w:rPr>
              <w:t>Printed 05/08/2026 5:04 PM</w:t>
            </w:r>
          </w:p>
        </w:tc>
      </w:tr>
    </w:tbl>
    <w:p>
      <w:pPr>
        <w:spacing w:after="120" w:before="0"/>
      </w:pPr>
    </w:p>
    <w:tbl>
      <w:tblPr>
        <w:tblW w:type="auto" w:w="0"/>
        <w:tblLook w:firstColumn="1" w:firstRow="1" w:lastColumn="0" w:lastRow="0" w:noHBand="0" w:noVBand="1" w:val="04A0"/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EEF1F7"/>
          </w:tcPr>
          <w:p>
            <w:r>
              <w:rPr>
                <w:b/>
                <w:i w:val="0"/>
                <w:color w:val="595959"/>
                <w:sz w:val="19"/>
              </w:rPr>
              <w:t>Patient</w:t>
            </w:r>
          </w:p>
        </w:tc>
        <w:tc>
          <w:tcPr>
            <w:tcW w:type="dxa" w:w="3168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>
            <w:r>
              <w:rPr>
                <w:b w:val="0"/>
                <w:i w:val="0"/>
                <w:sz w:val="19"/>
              </w:rPr>
              <w:t>Marisela Ybarra</w:t>
            </w:r>
          </w:p>
        </w:tc>
        <w:tc>
          <w:tcPr>
            <w:tcW w:type="dxa" w:w="1728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EEF1F7"/>
          </w:tcPr>
          <w:p>
            <w:r>
              <w:rPr>
                <w:b/>
                <w:i w:val="0"/>
                <w:color w:val="595959"/>
                <w:sz w:val="19"/>
              </w:rPr>
              <w:t>Account #</w:t>
            </w:r>
          </w:p>
        </w:tc>
        <w:tc>
          <w:tcPr>
            <w:tcW w:type="dxa" w:w="3168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>
            <w:r>
              <w:rPr>
                <w:b w:val="0"/>
                <w:i w:val="0"/>
                <w:sz w:val="19"/>
              </w:rPr>
              <w:t>20417</w:t>
            </w:r>
          </w:p>
        </w:tc>
      </w:tr>
      <w:tr>
        <w:tc>
          <w:tcPr>
            <w:tcW w:type="dxa" w:w="1728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EEF1F7"/>
          </w:tcPr>
          <w:p>
            <w:r>
              <w:rPr>
                <w:b/>
                <w:i w:val="0"/>
                <w:color w:val="595959"/>
                <w:sz w:val="19"/>
              </w:rPr>
              <w:t>Date of service</w:t>
            </w:r>
          </w:p>
        </w:tc>
        <w:tc>
          <w:tcPr>
            <w:tcW w:type="dxa" w:w="3168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>
            <w:r>
              <w:rPr>
                <w:b w:val="0"/>
                <w:i w:val="0"/>
                <w:sz w:val="19"/>
              </w:rPr>
              <w:t>05/08/2026</w:t>
            </w:r>
          </w:p>
        </w:tc>
        <w:tc>
          <w:tcPr>
            <w:tcW w:type="dxa" w:w="1728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EEF1F7"/>
          </w:tcPr>
          <w:p>
            <w:r>
              <w:rPr>
                <w:b/>
                <w:i w:val="0"/>
                <w:color w:val="595959"/>
                <w:sz w:val="19"/>
              </w:rPr>
              <w:t>Provider</w:t>
            </w:r>
          </w:p>
        </w:tc>
        <w:tc>
          <w:tcPr>
            <w:tcW w:type="dxa" w:w="3168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>
            <w:r>
              <w:rPr>
                <w:b w:val="0"/>
                <w:i w:val="0"/>
                <w:sz w:val="19"/>
              </w:rPr>
              <w:t>Dr. Kavitha Ramaswamy</w:t>
            </w:r>
          </w:p>
        </w:tc>
      </w:tr>
    </w:tbl>
    <w:p>
      <w:pPr>
        <w:spacing w:after="200" w:before="0"/>
      </w:pPr>
    </w:p>
    <w:tbl>
      <w:tblPr>
        <w:tblW w:type="auto" w:w="0"/>
        <w:tblLook w:firstColumn="1" w:firstRow="1" w:lastColumn="0" w:lastRow="0" w:noHBand="0" w:noVBand="1" w:val="04A0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12"/>
        <w:gridCol w:w="2412"/>
        <w:gridCol w:w="2412"/>
        <w:gridCol w:w="2412"/>
      </w:tblGrid>
      <w:tr>
        <w:tc>
          <w:tcPr>
            <w:tcW w:type="dxa" w:w="1584"/>
            <w:shd w:val="clear" w:color="auto" w:fill="1F3864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5040"/>
            <w:shd w:val="clear" w:color="auto" w:fill="1F3864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1584"/>
            <w:shd w:val="clear" w:color="auto" w:fill="1F3864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19"/>
              </w:rPr>
              <w:t>Charge</w:t>
            </w:r>
          </w:p>
        </w:tc>
        <w:tc>
          <w:tcPr>
            <w:tcW w:type="dxa" w:w="1584"/>
            <w:shd w:val="clear" w:color="auto" w:fill="1F3864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19"/>
              </w:rPr>
              <w:t>Paid</w:t>
            </w:r>
          </w:p>
        </w:tc>
      </w:tr>
      <w:tr>
        <w:tc>
          <w:tcPr>
            <w:tcW w:type="dxa" w:w="1584"/>
            <w:tcBorders>
              <w:top w:val="nil"/>
              <w:left w:val="nil"/>
              <w:bottom w:val="single" w:sz="4" w:space="0" w:color="BFBFBF"/>
              <w:right w:val="nil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05/08/2026</w:t>
            </w:r>
          </w:p>
        </w:tc>
        <w:tc>
          <w:tcPr>
            <w:tcW w:type="dxa" w:w="5040"/>
            <w:tcBorders>
              <w:top w:val="nil"/>
              <w:left w:val="nil"/>
              <w:bottom w:val="single" w:sz="4" w:space="0" w:color="BFBFBF"/>
              <w:right w:val="nil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Custom functional orthotics, one pair</w:t>
            </w:r>
          </w:p>
          <w:p>
            <w:r>
              <w:rPr>
                <w:b w:val="0"/>
                <w:i/>
                <w:color w:val="595959"/>
                <w:sz w:val="17"/>
              </w:rPr>
              <w:t>Lab fabricated. Not a covered item under your plan; patient responsibility per written estimate of 04/24/2026.</w:t>
            </w:r>
          </w:p>
        </w:tc>
        <w:tc>
          <w:tcPr>
            <w:tcW w:type="dxa" w:w="1584"/>
            <w:tcBorders>
              <w:top w:val="nil"/>
              <w:left w:val="nil"/>
              <w:bottom w:val="single" w:sz="4" w:space="0" w:color="BFBFBF"/>
              <w:right w:val="nil"/>
            </w:tcBorders>
          </w:tcPr>
          <w:p>
            <w:pPr>
              <w:jc w:val="right"/>
            </w:pPr>
            <w:r>
              <w:rPr>
                <w:b w:val="0"/>
                <w:i w:val="0"/>
                <w:sz w:val="20"/>
              </w:rPr>
              <w:t>$385.00</w:t>
            </w:r>
          </w:p>
        </w:tc>
        <w:tc>
          <w:tcPr>
            <w:tcW w:type="dxa" w:w="1584"/>
            <w:tcBorders>
              <w:top w:val="nil"/>
              <w:left w:val="nil"/>
              <w:bottom w:val="single" w:sz="4" w:space="0" w:color="BFBFBF"/>
              <w:right w:val="nil"/>
            </w:tcBorders>
          </w:tcPr>
          <w:p>
            <w:pPr>
              <w:jc w:val="right"/>
            </w:pPr>
            <w:r>
              <w:rPr>
                <w:b w:val="0"/>
                <w:i w:val="0"/>
                <w:sz w:val="20"/>
              </w:rPr>
              <w:t>$385.00</w:t>
            </w:r>
          </w:p>
        </w:tc>
      </w:tr>
      <w:tr>
        <w:tc>
          <w:tcPr>
            <w:tcW w:type="dxa" w:w="1584"/>
            <w:tcBorders>
              <w:top w:val="nil"/>
              <w:left w:val="nil"/>
              <w:bottom w:val="single" w:sz="4" w:space="0" w:color="BFBFBF"/>
              <w:right w:val="nil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05/08/2026</w:t>
            </w:r>
          </w:p>
        </w:tc>
        <w:tc>
          <w:tcPr>
            <w:tcW w:type="dxa" w:w="5040"/>
            <w:tcBorders>
              <w:top w:val="nil"/>
              <w:left w:val="nil"/>
              <w:bottom w:val="single" w:sz="4" w:space="0" w:color="BFBFBF"/>
              <w:right w:val="nil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Dispensing and fitting visit</w:t>
            </w:r>
          </w:p>
        </w:tc>
        <w:tc>
          <w:tcPr>
            <w:tcW w:type="dxa" w:w="1584"/>
            <w:tcBorders>
              <w:top w:val="nil"/>
              <w:left w:val="nil"/>
              <w:bottom w:val="single" w:sz="4" w:space="0" w:color="BFBFBF"/>
              <w:right w:val="nil"/>
            </w:tcBorders>
          </w:tcPr>
          <w:p>
            <w:pPr>
              <w:jc w:val="right"/>
            </w:pPr>
            <w:r>
              <w:rPr>
                <w:b w:val="0"/>
                <w:i w:val="0"/>
                <w:sz w:val="20"/>
              </w:rPr>
              <w:t>$0.00</w:t>
            </w:r>
          </w:p>
        </w:tc>
        <w:tc>
          <w:tcPr>
            <w:tcW w:type="dxa" w:w="1584"/>
            <w:tcBorders>
              <w:top w:val="nil"/>
              <w:left w:val="nil"/>
              <w:bottom w:val="single" w:sz="4" w:space="0" w:color="BFBFBF"/>
              <w:right w:val="nil"/>
            </w:tcBorders>
          </w:tcPr>
          <w:p>
            <w:pPr>
              <w:jc w:val="right"/>
            </w:pPr>
            <w:r>
              <w:rPr>
                <w:b w:val="0"/>
                <w:i w:val="0"/>
                <w:sz w:val="20"/>
              </w:rPr>
              <w:t>$0.00</w:t>
            </w:r>
          </w:p>
        </w:tc>
      </w:tr>
      <w:tr>
        <w:tc>
          <w:tcPr>
            <w:tcW w:type="dxa" w:w="1584"/>
            <w:tcBorders>
              <w:top w:val="single" w:sz="8" w:space="0" w:color="1F3864"/>
              <w:left w:val="nil"/>
              <w:bottom w:val="single" w:sz="4" w:space="0" w:color="BFBFBF"/>
              <w:right w:val="nil"/>
            </w:tcBorders>
          </w:tcPr>
          <w:p>
            <w:pPr>
              <w:jc w:val="left"/>
            </w:pPr>
          </w:p>
        </w:tc>
        <w:tc>
          <w:tcPr>
            <w:tcW w:type="dxa" w:w="5040"/>
            <w:tcBorders>
              <w:top w:val="single" w:sz="8" w:space="0" w:color="1F3864"/>
              <w:left w:val="nil"/>
              <w:bottom w:val="single" w:sz="4" w:space="0" w:color="BFBFBF"/>
              <w:right w:val="nil"/>
            </w:tcBorders>
          </w:tcPr>
          <w:p>
            <w:pPr>
              <w:jc w:val="right"/>
            </w:pPr>
            <w:r>
              <w:rPr>
                <w:b/>
                <w:i w:val="0"/>
                <w:sz w:val="20"/>
              </w:rPr>
              <w:t>Totals</w:t>
            </w:r>
          </w:p>
        </w:tc>
        <w:tc>
          <w:tcPr>
            <w:tcW w:type="dxa" w:w="1584"/>
            <w:tcBorders>
              <w:top w:val="single" w:sz="8" w:space="0" w:color="1F3864"/>
              <w:left w:val="nil"/>
              <w:bottom w:val="single" w:sz="4" w:space="0" w:color="BFBFBF"/>
              <w:right w:val="nil"/>
            </w:tcBorders>
          </w:tcPr>
          <w:p>
            <w:pPr>
              <w:jc w:val="right"/>
            </w:pPr>
            <w:r>
              <w:rPr>
                <w:b/>
                <w:i w:val="0"/>
                <w:sz w:val="20"/>
              </w:rPr>
              <w:t>$385.00</w:t>
            </w:r>
          </w:p>
        </w:tc>
        <w:tc>
          <w:tcPr>
            <w:tcW w:type="dxa" w:w="1584"/>
            <w:tcBorders>
              <w:top w:val="single" w:sz="8" w:space="0" w:color="1F3864"/>
              <w:left w:val="nil"/>
              <w:bottom w:val="single" w:sz="4" w:space="0" w:color="BFBFBF"/>
              <w:right w:val="nil"/>
            </w:tcBorders>
          </w:tcPr>
          <w:p>
            <w:pPr>
              <w:jc w:val="right"/>
            </w:pPr>
            <w:r>
              <w:rPr>
                <w:b/>
                <w:i w:val="0"/>
                <w:sz w:val="20"/>
              </w:rPr>
              <w:t>$385.00</w:t>
            </w:r>
          </w:p>
        </w:tc>
      </w:tr>
    </w:tbl>
    <w:p>
      <w:pPr>
        <w:spacing w:after="200" w:before="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4824"/>
        <w:gridCol w:w="4824"/>
      </w:tblGrid>
      <w:tr>
        <w:tc>
          <w:tcPr>
            <w:tcW w:type="dxa" w:w="3456"/>
          </w:tcPr>
          <w:p>
            <w:pPr>
              <w:jc w:val="right"/>
            </w:pPr>
            <w:r>
              <w:rPr>
                <w:b w:val="0"/>
                <w:i w:val="0"/>
                <w:sz w:val="20"/>
              </w:rPr>
              <w:t>Payment, Visa ending 7742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i w:val="0"/>
                <w:sz w:val="20"/>
              </w:rPr>
              <w:t>$385.00</w:t>
            </w:r>
          </w:p>
        </w:tc>
      </w:tr>
      <w:tr>
        <w:tc>
          <w:tcPr>
            <w:tcW w:type="dxa" w:w="3456"/>
          </w:tcPr>
          <w:p>
            <w:pPr>
              <w:jc w:val="right"/>
            </w:pPr>
            <w:r>
              <w:rPr>
                <w:b w:val="0"/>
                <w:i w:val="0"/>
                <w:sz w:val="20"/>
              </w:rPr>
              <w:t>Payment date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i w:val="0"/>
                <w:sz w:val="20"/>
              </w:rPr>
              <w:t>05/08/2026</w:t>
            </w:r>
          </w:p>
        </w:tc>
      </w:tr>
      <w:tr>
        <w:tc>
          <w:tcPr>
            <w:tcW w:type="dxa" w:w="3456"/>
            <w:shd w:val="clear" w:color="auto" w:fill="EEF1F7"/>
          </w:tcPr>
          <w:p>
            <w:pPr>
              <w:jc w:val="right"/>
            </w:pPr>
            <w:r>
              <w:rPr>
                <w:b/>
                <w:i w:val="0"/>
                <w:sz w:val="20"/>
              </w:rPr>
              <w:t>Balance due</w:t>
            </w:r>
          </w:p>
        </w:tc>
        <w:tc>
          <w:tcPr>
            <w:tcW w:type="dxa" w:w="1728"/>
            <w:shd w:val="clear" w:color="auto" w:fill="EEF1F7"/>
          </w:tcPr>
          <w:p>
            <w:pPr>
              <w:jc w:val="right"/>
            </w:pPr>
            <w:r>
              <w:rPr>
                <w:b/>
                <w:i w:val="0"/>
                <w:sz w:val="20"/>
              </w:rPr>
              <w:t>$0.00</w:t>
            </w:r>
          </w:p>
        </w:tc>
      </w:tr>
    </w:tbl>
    <w:p>
      <w:pPr>
        <w:spacing w:after="280" w:before="0"/>
      </w:pPr>
    </w:p>
    <w:p>
      <w:pPr>
        <w:spacing w:after="60" w:before="0"/>
      </w:pPr>
      <w:r>
        <w:rPr>
          <w:b/>
          <w:i w:val="0"/>
          <w:color w:val="1F3864"/>
          <w:sz w:val="20"/>
        </w:rPr>
        <w:t>Break-in schedule from Dr. Ramaswamy</w:t>
      </w:r>
    </w:p>
    <w:p>
      <w:pPr>
        <w:spacing w:after="240" w:before="0"/>
      </w:pPr>
      <w:r>
        <w:rPr>
          <w:b w:val="0"/>
          <w:i w:val="0"/>
          <w:sz w:val="19"/>
        </w:rPr>
        <w:t>Two hours the first day, two more hours each day after, full days by the end of the first week. Arch soreness for the first ten days is expected. A blister or a hot spot is not, and it means a call to (316) 818-4418.</w:t>
      </w:r>
    </w:p>
    <w:p>
      <w:pPr>
        <w:spacing w:after="0" w:before="0"/>
      </w:pPr>
      <w:r>
        <w:rPr>
          <w:b w:val="0"/>
          <w:i/>
          <w:color w:val="7F7F7F"/>
          <w:sz w:val="17"/>
        </w:rPr>
        <w:t>Keep this receipt for your records. It may be submitted for HSA or FSA reimbursement.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153</Words>
  <Characters>782</Characters>
  <Application>Microsoft Office Word</Application>
  <DocSecurity>0</DocSecurity>
  <Lines>44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Front Desk</dc:creator>
  <cp:keywords/>
  <dc:description/>
  <cp:lastModifiedBy>Front Desk</cp:lastModifiedBy>
  <cp:revision>2</cp:revision>
  <dcterms:created xsi:type="dcterms:W3CDTF">2026-05-08T17:01:00Z</dcterms:created>
  <dcterms:modified xsi:type="dcterms:W3CDTF">2026-05-08T17:04:00Z</dcterms:modified>
  <cp:category/>
</cp:coreProperties>
</file>