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Lab3 Report Draft</w:t>
      </w:r>
    </w:p>
    <w:p>
      <w:r>
        <w:t>Lab 3: Acid-Base Titration: Molarity of an Unknown HCl</w:t>
      </w:r>
    </w:p>
    <w:p>
      <w:r>
        <w:t>Tomasz Nowak</w:t>
      </w:r>
    </w:p>
    <w:p>
      <w:r>
        <w:t>CHEM 1211 Lab, Tuesday 6:00 pm, S-118 (P. Hendricks)</w:t>
      </w:r>
    </w:p>
    <w:p>
      <w:r>
        <w:t>Bench partner: Mei Chen</w:t>
      </w:r>
    </w:p>
    <w:p>
      <w:r>
        <w:t>Performed October 20, 2026</w:t>
      </w:r>
    </w:p>
    <w:p>
      <w:r>
        <w:t>Purpose</w:t>
      </w:r>
    </w:p>
    <w:p>
      <w:r>
        <w:t>To determine the molarity of an unknown hydrochloric acid solution by titrating it with standardized 0.1000 M sodium hydroxide.</w:t>
      </w:r>
    </w:p>
    <w:p>
      <w:r>
        <w:t>Introduction</w:t>
      </w:r>
    </w:p>
    <w:p>
      <w:r>
        <w:t>Hydrochloric acid and sodium hydroxide react in a 1:1 mole ratio: HCl(aq) + NaOH(aq) → NaCl(aq) + H2O(l). At the equivalence point the moles of NaOH added equal the moles of HCl in the flask, so the molarity of the acid can be calculated from the volume of base delivered. Phenolphthalein was used as the indicator. It is colorless in acidic solution and turns pink just past the equivalence point, so the first faint pink lasting 30 seconds was taken as the endpoint. For a strong acid titrated with a strong base, the pH rises slowly at first, jumps sharply near the equivalence point at pH 7, and then levels off in the basic range.</w:t>
      </w:r>
    </w:p>
    <w:p>
      <w:r>
        <w:t>Procedure</w:t>
      </w:r>
    </w:p>
    <w:p>
      <w:r>
        <w:t>1. The 50 mL burette was rinsed twice with 5 mL portions of 0.1000 M NaOH, filled, and the air bubble was cleared from the tip.</w:t>
      </w:r>
    </w:p>
    <w:p>
      <w:r>
        <w:t>2. A 25.00 mL aliquot of the unknown HCl was transferred by volumetric pipet into a 250 mL Erlenmeyer flask, and about 25 mL of deionized water and 3 drops of phenolphthalein were added.</w:t>
      </w:r>
    </w:p>
    <w:p>
      <w:r>
        <w:t>3. The initial burette reading was recorded to 0.01 mL, reading the bottom of the meniscus at eye level.</w:t>
      </w:r>
    </w:p>
    <w:p>
      <w:r>
        <w:t>4. NaOH was added while swirling, then drop by drop near the endpoint, until a faint pink color lasted 30 seconds.</w:t>
      </w:r>
    </w:p>
    <w:p>
      <w:r>
        <w:t>5. The final burette reading was recorded to 0.01 mL.</w:t>
      </w:r>
    </w:p>
    <w:p>
      <w:r>
        <w:t>6. Steps 2 to 5 were repeated for a total of three trials.</w:t>
      </w:r>
    </w:p>
    <w:p>
      <w:r>
        <w:t>Data</w:t>
      </w:r>
    </w:p>
    <w:p>
      <w:r>
        <w:t>Sample calculation</w:t>
      </w:r>
    </w:p>
    <w:p>
      <w:r>
        <w:t>Results</w:t>
      </w:r>
    </w:p>
    <w:p>
      <w:r>
        <w:t>Titration curve</w:t>
      </w:r>
    </w:p>
    <w:p>
      <w:r>
        <w:t>Discussion</w:t>
      </w:r>
    </w:p>
  </w:body>
</w:document>
</file>

<file path=docProps/core.xml><?xml version="1.0" encoding="utf-8"?>
<cp:coreProperties xmlns:cp="http://schemas.openxmlformats.org/package/2006/metadata/core-properties" xmlns:dc="http://purl.org/dc/elements/1.1/">
  <dc:title>Lab3 Report Draft</dc:title>
</cp:coreProperties>
</file>