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e9fe5f52472bccf5a7ffaa5f46332c2db3d11f5"/>
    <w:p>
      <w:pPr>
        <w:pStyle w:val="Heading1"/>
      </w:pPr>
      <w:r>
        <w:t xml:space="preserve">Prognoza zużycia energii elektrycznej w Polsce</w:t>
      </w:r>
    </w:p>
    <w:bookmarkStart w:id="9" w:name="Xf214bc184f51b54c5f4a8b4d9b25dda01105c53"/>
    <w:p>
      <w:pPr>
        <w:pStyle w:val="Heading2"/>
      </w:pPr>
      <w:r>
        <w:t xml:space="preserve">Projekt zaliczeniowy – Prognozowanie i Symulacje</w:t>
      </w:r>
    </w:p>
    <w:p>
      <w:pPr>
        <w:pStyle w:val="FirstParagraph"/>
      </w:pPr>
      <w:r>
        <w:rPr>
          <w:b/>
          <w:bCs/>
        </w:rPr>
        <w:t xml:space="preserve">Autor:</w:t>
      </w:r>
      <w:r>
        <w:t xml:space="preserve"> </w:t>
      </w:r>
      <w:r>
        <w:t xml:space="preserve">Patryk Siuda, Paweł Cyrocki, Damian Skinder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czerwiec 2026</w:t>
      </w:r>
      <w:r>
        <w:br/>
      </w:r>
      <w:r>
        <w:rPr>
          <w:b/>
          <w:bCs/>
        </w:rPr>
        <w:t xml:space="preserve">Dane:</w:t>
      </w:r>
      <w:r>
        <w:t xml:space="preserve"> </w:t>
      </w:r>
      <w:r>
        <w:t xml:space="preserve">2004–2024 (GUS, URE, IMGW/Eurostat)</w:t>
      </w:r>
    </w:p>
    <w:p>
      <w:r>
        <w:pict>
          <v:rect style="width:0;height:1.5pt" o:hralign="center" o:hrstd="t" o:hr="t"/>
        </w:pict>
      </w:r>
    </w:p>
    <w:bookmarkEnd w:id="9"/>
    <w:bookmarkStart w:id="10" w:name="cel-i-zakres-projektu"/>
    <w:p>
      <w:pPr>
        <w:pStyle w:val="Heading2"/>
      </w:pPr>
      <w:r>
        <w:t xml:space="preserve">1. Cel i zakres projektu</w:t>
      </w:r>
    </w:p>
    <w:p>
      <w:pPr>
        <w:pStyle w:val="FirstParagraph"/>
      </w:pPr>
      <w:r>
        <w:t xml:space="preserve">Celem projektu jest zbudowanie krótkoterminowej</w:t>
      </w:r>
      <w:r>
        <w:t xml:space="preserve"> </w:t>
      </w:r>
      <w:r>
        <w:rPr>
          <w:b/>
          <w:bCs/>
        </w:rPr>
        <w:t xml:space="preserve">prognozy warunkowej</w:t>
      </w:r>
      <w:r>
        <w:t xml:space="preserve"> </w:t>
      </w:r>
      <w:r>
        <w:t xml:space="preserve">zużycia energii elektrycznej w Polsce na rok</w:t>
      </w:r>
      <w:r>
        <w:t xml:space="preserve"> </w:t>
      </w:r>
      <w:r>
        <w:rPr>
          <w:b/>
          <w:bCs/>
        </w:rPr>
        <w:t xml:space="preserve">2024</w:t>
      </w:r>
      <w:r>
        <w:t xml:space="preserve">, przy wykorzystaniu modeli ekonometrycznych estymowanych na danych historycznych z lat 2004–2023.</w:t>
      </w:r>
    </w:p>
    <w:p>
      <w:pPr>
        <w:pStyle w:val="BodyText"/>
      </w:pPr>
      <w:r>
        <w:t xml:space="preserve">Projekt realizuje pełny potok analityczny:</w:t>
      </w:r>
      <w:r>
        <w:t xml:space="preserve"> </w:t>
      </w:r>
      <w:r>
        <w:t xml:space="preserve">1. Analiza opisowa danych (EDA) – zadanie 2</w:t>
      </w:r>
      <w:r>
        <w:t xml:space="preserve"> </w:t>
      </w:r>
      <w:r>
        <w:t xml:space="preserve">2. Budowa i weryfikacja modeli ekonometrycznych – zadanie 3</w:t>
      </w:r>
      <w:r>
        <w:t xml:space="preserve"> </w:t>
      </w:r>
      <w:r>
        <w:t xml:space="preserve">3. Prognozy zmiennych objaśniających (5 metod) – zadanie 4</w:t>
      </w:r>
      <w:r>
        <w:t xml:space="preserve"> </w:t>
      </w:r>
      <w:r>
        <w:t xml:space="preserve">4. Prognoza warunkowa zmiennej objaśnianej i analiza trafności – zadanie 5</w:t>
      </w:r>
    </w:p>
    <w:p>
      <w:pPr>
        <w:pStyle w:val="BodyText"/>
      </w:pPr>
      <w:r>
        <w:rPr>
          <w:b/>
          <w:bCs/>
        </w:rPr>
        <w:t xml:space="preserve">Podział próby: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Zbiór uczący (train):</w:t>
      </w:r>
      <w:r>
        <w:t xml:space="preserve"> </w:t>
      </w:r>
      <w:r>
        <w:t xml:space="preserve">2004–2023 (n=20 dla Polska, n=304 dla województw)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Horyzont prognozy ex-ante:</w:t>
      </w:r>
      <w:r>
        <w:t xml:space="preserve"> </w:t>
      </w:r>
      <w:r>
        <w:t xml:space="preserve">2024</w:t>
      </w:r>
    </w:p>
    <w:p>
      <w:pPr>
        <w:pStyle w:val="BodyText"/>
      </w:pPr>
      <w:r>
        <w:rPr>
          <w:b/>
          <w:bCs/>
        </w:rPr>
        <w:t xml:space="preserve">Ocena jakości prognoz:</w:t>
      </w:r>
      <w:r>
        <w:t xml:space="preserve"> </w:t>
      </w:r>
      <w:r>
        <w:t xml:space="preserve">- Miary jakości (ME, MPE%, MAE, MAPE%, RMSE, RMSPE%, TheilU i składowe UM/UV/UC) obliczane są na</w:t>
      </w:r>
      <w:r>
        <w:t xml:space="preserve"> </w:t>
      </w:r>
      <w:r>
        <w:rPr>
          <w:b/>
          <w:bCs/>
        </w:rPr>
        <w:t xml:space="preserve">wartościach dopasowanych do pełnej próby uczącej 2004–2023</w:t>
      </w:r>
      <w:r>
        <w:t xml:space="preserve"> </w:t>
      </w:r>
      <w:r>
        <w:t xml:space="preserve">(in-sample)</w:t>
      </w:r>
      <w:r>
        <w:t xml:space="preserve"> </w:t>
      </w:r>
      <w:r>
        <w:t xml:space="preserve">- RMSPE% in-sample stanowi główne kryterium wyboru najlepszej metody prognozowania zmiennych 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Kryterium jakości:</w:t>
      </w:r>
      <w:r>
        <w:t xml:space="preserve"> </w:t>
      </w:r>
      <w:r>
        <w:t xml:space="preserve">RMSPE% ≤ 10%</w:t>
      </w:r>
      <w:r>
        <w:t xml:space="preserve"> </w:t>
      </w:r>
      <w:r>
        <w:t xml:space="preserve">- Trafność prognoz ex-ante na rok 2024 oceniana przez porównanie z wartościami rzeczywistymi (błąd absolutny i względny)</w:t>
      </w:r>
    </w:p>
    <w:p>
      <w:r>
        <w:pict>
          <v:rect style="width:0;height:1.5pt" o:hralign="center" o:hrstd="t" o:hr="t"/>
        </w:pict>
      </w:r>
    </w:p>
    <w:bookmarkEnd w:id="10"/>
    <w:bookmarkStart w:id="14" w:name="dane"/>
    <w:p>
      <w:pPr>
        <w:pStyle w:val="Heading2"/>
      </w:pPr>
      <w:r>
        <w:t xml:space="preserve">2. Dane</w:t>
      </w:r>
    </w:p>
    <w:bookmarkStart w:id="11" w:name="źródła-i-opis-zmiennych"/>
    <w:p>
      <w:pPr>
        <w:pStyle w:val="Heading3"/>
      </w:pPr>
      <w:r>
        <w:t xml:space="preserve">2.1 Źródła i opis zmiennych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540"/>
        <w:gridCol w:w="154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Nazwa</w:t>
            </w:r>
          </w:p>
        </w:tc>
        <w:tc>
          <w:tcPr/>
          <w:p>
            <w:pPr>
              <w:pStyle w:val="Compact"/>
            </w:pPr>
            <w:r>
              <w:t xml:space="preserve">Jedn.</w:t>
            </w:r>
          </w:p>
        </w:tc>
        <w:tc>
          <w:tcPr/>
          <w:p>
            <w:pPr>
              <w:pStyle w:val="Compact"/>
            </w:pPr>
            <w:r>
              <w:t xml:space="preserve">Źródło</w:t>
            </w:r>
          </w:p>
        </w:tc>
        <w:tc>
          <w:tcPr/>
          <w:p>
            <w:pPr>
              <w:pStyle w:val="Compact"/>
            </w:pPr>
            <w:r>
              <w:t xml:space="preserve">Rola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ZUZYCIE</w:t>
            </w:r>
          </w:p>
        </w:tc>
        <w:tc>
          <w:tcPr/>
          <w:p>
            <w:pPr>
              <w:pStyle w:val="Compact"/>
            </w:pPr>
            <w:r>
              <w:t xml:space="preserve">Zużycie energii elektrycznej</w:t>
            </w:r>
          </w:p>
        </w:tc>
        <w:tc>
          <w:tcPr/>
          <w:p>
            <w:pPr>
              <w:pStyle w:val="Compact"/>
            </w:pPr>
            <w:r>
              <w:t xml:space="preserve">GWh</w:t>
            </w:r>
          </w:p>
        </w:tc>
        <w:tc>
          <w:tcPr/>
          <w:p>
            <w:pPr>
              <w:pStyle w:val="Compact"/>
            </w:pPr>
            <w:r>
              <w:t xml:space="preserve">GUS / URE</w:t>
            </w:r>
          </w:p>
        </w:tc>
        <w:tc>
          <w:tcPr/>
          <w:p>
            <w:pPr>
              <w:pStyle w:val="Compact"/>
            </w:pPr>
            <w:r>
              <w:t xml:space="preserve">Y – zm. objaśniana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PKB_pc</w:t>
            </w:r>
          </w:p>
        </w:tc>
        <w:tc>
          <w:tcPr/>
          <w:p>
            <w:pPr>
              <w:pStyle w:val="Compact"/>
            </w:pPr>
            <w:r>
              <w:t xml:space="preserve">PKB per capita</w:t>
            </w:r>
          </w:p>
        </w:tc>
        <w:tc>
          <w:tcPr/>
          <w:p>
            <w:pPr>
              <w:pStyle w:val="Compact"/>
            </w:pPr>
            <w:r>
              <w:t xml:space="preserve">PLN/os</w:t>
            </w:r>
          </w:p>
        </w:tc>
        <w:tc>
          <w:tcPr/>
          <w:p>
            <w:pPr>
              <w:pStyle w:val="Compact"/>
            </w:pPr>
            <w:r>
              <w:t xml:space="preserve">GUS BDL</w:t>
            </w:r>
          </w:p>
        </w:tc>
        <w:tc>
          <w:tcPr/>
          <w:p>
            <w:pPr>
              <w:pStyle w:val="Compact"/>
            </w:pPr>
            <w:r>
              <w:t xml:space="preserve">X – model Polska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CENA</w:t>
            </w:r>
          </w:p>
        </w:tc>
        <w:tc>
          <w:tcPr/>
          <w:p>
            <w:pPr>
              <w:pStyle w:val="Compact"/>
            </w:pPr>
            <w:r>
              <w:t xml:space="preserve">Cena energii elektrycznej</w:t>
            </w:r>
          </w:p>
        </w:tc>
        <w:tc>
          <w:tcPr/>
          <w:p>
            <w:pPr>
              <w:pStyle w:val="Compact"/>
            </w:pPr>
            <w:r>
              <w:t xml:space="preserve">PLN/kWh</w:t>
            </w:r>
          </w:p>
        </w:tc>
        <w:tc>
          <w:tcPr/>
          <w:p>
            <w:pPr>
              <w:pStyle w:val="Compact"/>
            </w:pPr>
            <w:r>
              <w:t xml:space="preserve">URE / GUS</w:t>
            </w:r>
          </w:p>
        </w:tc>
        <w:tc>
          <w:tcPr/>
          <w:p>
            <w:pPr>
              <w:pStyle w:val="Compact"/>
            </w:pPr>
            <w:r>
              <w:t xml:space="preserve">X – oba modele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HDD</w:t>
            </w:r>
          </w:p>
        </w:tc>
        <w:tc>
          <w:tcPr/>
          <w:p>
            <w:pPr>
              <w:pStyle w:val="Compact"/>
            </w:pPr>
            <w:r>
              <w:t xml:space="preserve">Stopniodni grzewcze</w:t>
            </w:r>
          </w:p>
        </w:tc>
        <w:tc>
          <w:tcPr/>
          <w:p>
            <w:pPr>
              <w:pStyle w:val="Compact"/>
            </w:pPr>
            <w:r>
              <w:t xml:space="preserve">°C·dzień</w:t>
            </w:r>
          </w:p>
        </w:tc>
        <w:tc>
          <w:tcPr/>
          <w:p>
            <w:pPr>
              <w:pStyle w:val="Compact"/>
            </w:pPr>
            <w:r>
              <w:t xml:space="preserve">IMGW / Eurostat</w:t>
            </w:r>
          </w:p>
        </w:tc>
        <w:tc>
          <w:tcPr/>
          <w:p>
            <w:pPr>
              <w:pStyle w:val="Compact"/>
            </w:pPr>
            <w:r>
              <w:t xml:space="preserve">X – oba modele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DOCHOD_OS</w:t>
            </w:r>
          </w:p>
        </w:tc>
        <w:tc>
          <w:tcPr/>
          <w:p>
            <w:pPr>
              <w:pStyle w:val="Compact"/>
            </w:pPr>
            <w:r>
              <w:t xml:space="preserve">Dochód rozp. na osobę</w:t>
            </w:r>
          </w:p>
        </w:tc>
        <w:tc>
          <w:tcPr/>
          <w:p>
            <w:pPr>
              <w:pStyle w:val="Compact"/>
            </w:pPr>
            <w:r>
              <w:t xml:space="preserve">PLN/os</w:t>
            </w:r>
          </w:p>
        </w:tc>
        <w:tc>
          <w:tcPr/>
          <w:p>
            <w:pPr>
              <w:pStyle w:val="Compact"/>
            </w:pPr>
            <w:r>
              <w:t xml:space="preserve">GUS BDL</w:t>
            </w:r>
          </w:p>
        </w:tc>
        <w:tc>
          <w:tcPr/>
          <w:p>
            <w:pPr>
              <w:pStyle w:val="Compact"/>
            </w:pPr>
            <w:r>
              <w:t xml:space="preserve">X – model FE woj.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URBANIZACJA</w:t>
            </w:r>
          </w:p>
        </w:tc>
        <w:tc>
          <w:tcPr/>
          <w:p>
            <w:pPr>
              <w:pStyle w:val="Compact"/>
            </w:pPr>
            <w:r>
              <w:t xml:space="preserve">Stopień urbanizacji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GUS BDL</w:t>
            </w:r>
          </w:p>
        </w:tc>
        <w:tc>
          <w:tcPr/>
          <w:p>
            <w:pPr>
              <w:pStyle w:val="Compact"/>
            </w:pPr>
            <w:r>
              <w:t xml:space="preserve">X – model FE woj.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LICZBA_OS</w:t>
            </w:r>
          </w:p>
        </w:tc>
        <w:tc>
          <w:tcPr/>
          <w:p>
            <w:pPr>
              <w:pStyle w:val="Compact"/>
            </w:pPr>
            <w:r>
              <w:t xml:space="preserve">Śr. liczba osób w gosp. dom.</w:t>
            </w:r>
          </w:p>
        </w:tc>
        <w:tc>
          <w:tcPr/>
          <w:p>
            <w:pPr>
              <w:pStyle w:val="Compact"/>
            </w:pPr>
            <w:r>
              <w:t xml:space="preserve">osoby</w:t>
            </w:r>
          </w:p>
        </w:tc>
        <w:tc>
          <w:tcPr/>
          <w:p>
            <w:pPr>
              <w:pStyle w:val="Compact"/>
            </w:pPr>
            <w:r>
              <w:t xml:space="preserve">GUS</w:t>
            </w:r>
          </w:p>
        </w:tc>
        <w:tc>
          <w:tcPr/>
          <w:p>
            <w:pPr>
              <w:pStyle w:val="Compact"/>
            </w:pPr>
            <w:r>
              <w:t xml:space="preserve">X – model FE woj.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POW_OS</w:t>
            </w:r>
          </w:p>
        </w:tc>
        <w:tc>
          <w:tcPr/>
          <w:p>
            <w:pPr>
              <w:pStyle w:val="Compact"/>
            </w:pPr>
            <w:r>
              <w:t xml:space="preserve">Pow. użytkowa mieszk. na os.</w:t>
            </w:r>
          </w:p>
        </w:tc>
        <w:tc>
          <w:tcPr/>
          <w:p>
            <w:pPr>
              <w:pStyle w:val="Compact"/>
            </w:pPr>
            <w:r>
              <w:t xml:space="preserve">m²/os</w:t>
            </w:r>
          </w:p>
        </w:tc>
        <w:tc>
          <w:tcPr/>
          <w:p>
            <w:pPr>
              <w:pStyle w:val="Compact"/>
            </w:pPr>
            <w:r>
              <w:t xml:space="preserve">GUS BDL</w:t>
            </w:r>
          </w:p>
        </w:tc>
        <w:tc>
          <w:tcPr/>
          <w:p>
            <w:pPr>
              <w:pStyle w:val="Compact"/>
            </w:pPr>
            <w:r>
              <w:t xml:space="preserve">X – model FE woj.</w:t>
            </w:r>
          </w:p>
        </w:tc>
      </w:tr>
    </w:tbl>
    <w:p>
      <w:pPr>
        <w:pStyle w:val="BlockText"/>
      </w:pPr>
      <w:r>
        <w:rPr>
          <w:b/>
          <w:bCs/>
        </w:rPr>
        <w:t xml:space="preserve">Uwaga:</w:t>
      </w:r>
      <w:r>
        <w:t xml:space="preserve"> </w:t>
      </w:r>
      <w:r>
        <w:t xml:space="preserve">Zmienna CDD (stopniodni chłodnicze) została usunięta z modeli po uzyskaniu nieistotnego statystycznie współczynnika (p &gt; 0,5), co wskazuje na jej marginalną rolę w polskich warunkach klimatycznych.</w:t>
      </w:r>
    </w:p>
    <w:bookmarkEnd w:id="11"/>
    <w:bookmarkStart w:id="12" w:name="statystyki-opisowe-polska-20042024-n21"/>
    <w:p>
      <w:pPr>
        <w:pStyle w:val="Heading3"/>
      </w:pPr>
      <w:r>
        <w:t xml:space="preserve">2.2 Statystyki opisowe – Polska (2004–2024, n=21)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Zmienna</w:t>
            </w:r>
          </w:p>
        </w:tc>
        <w:tc>
          <w:tcPr/>
          <w:p>
            <w:pPr>
              <w:pStyle w:val="Compact"/>
            </w:pPr>
            <w:r>
              <w:t xml:space="preserve">Średnia</w:t>
            </w:r>
          </w:p>
        </w:tc>
        <w:tc>
          <w:tcPr/>
          <w:p>
            <w:pPr>
              <w:pStyle w:val="Compact"/>
            </w:pPr>
            <w:r>
              <w:t xml:space="preserve">Odch. std.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Zużycie energii [GWh]</w:t>
            </w:r>
          </w:p>
        </w:tc>
        <w:tc>
          <w:tcPr/>
          <w:p>
            <w:pPr>
              <w:pStyle w:val="Compact"/>
            </w:pPr>
            <w:r>
              <w:t xml:space="preserve">28 229</w:t>
            </w:r>
          </w:p>
        </w:tc>
        <w:tc>
          <w:tcPr/>
          <w:p>
            <w:pPr>
              <w:pStyle w:val="Compact"/>
            </w:pPr>
            <w:r>
              <w:t xml:space="preserve">2 020</w:t>
            </w:r>
          </w:p>
        </w:tc>
        <w:tc>
          <w:tcPr/>
          <w:p>
            <w:pPr>
              <w:pStyle w:val="Compact"/>
            </w:pPr>
            <w:r>
              <w:t xml:space="preserve">22 804</w:t>
            </w:r>
          </w:p>
        </w:tc>
        <w:tc>
          <w:tcPr/>
          <w:p>
            <w:pPr>
              <w:pStyle w:val="Compact"/>
            </w:pPr>
            <w:r>
              <w:t xml:space="preserve">32 661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PKB per capita [PLN/os]</w:t>
            </w:r>
          </w:p>
        </w:tc>
        <w:tc>
          <w:tcPr/>
          <w:p>
            <w:pPr>
              <w:pStyle w:val="Compact"/>
            </w:pPr>
            <w:r>
              <w:t xml:space="preserve">50 155</w:t>
            </w:r>
          </w:p>
        </w:tc>
        <w:tc>
          <w:tcPr/>
          <w:p>
            <w:pPr>
              <w:pStyle w:val="Compact"/>
            </w:pPr>
            <w:r>
              <w:t xml:space="preserve">20 682</w:t>
            </w:r>
          </w:p>
        </w:tc>
        <w:tc>
          <w:tcPr/>
          <w:p>
            <w:pPr>
              <w:pStyle w:val="Compact"/>
            </w:pPr>
            <w:r>
              <w:t xml:space="preserve">24 554</w:t>
            </w:r>
          </w:p>
        </w:tc>
        <w:tc>
          <w:tcPr/>
          <w:p>
            <w:pPr>
              <w:pStyle w:val="Compact"/>
            </w:pPr>
            <w:r>
              <w:t xml:space="preserve">97 453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Cena energii [PLN/kWh]</w:t>
            </w:r>
          </w:p>
        </w:tc>
        <w:tc>
          <w:tcPr/>
          <w:p>
            <w:pPr>
              <w:pStyle w:val="Compact"/>
            </w:pPr>
            <w:r>
              <w:t xml:space="preserve">0,63</w:t>
            </w:r>
          </w:p>
        </w:tc>
        <w:tc>
          <w:tcPr/>
          <w:p>
            <w:pPr>
              <w:pStyle w:val="Compact"/>
            </w:pPr>
            <w:r>
              <w:t xml:space="preserve">0,15</w:t>
            </w:r>
          </w:p>
        </w:tc>
        <w:tc>
          <w:tcPr/>
          <w:p>
            <w:pPr>
              <w:pStyle w:val="Compact"/>
            </w:pPr>
            <w:r>
              <w:t xml:space="preserve">0,41</w:t>
            </w:r>
          </w:p>
        </w:tc>
        <w:tc>
          <w:tcPr/>
          <w:p>
            <w:pPr>
              <w:pStyle w:val="Compact"/>
            </w:pPr>
            <w:r>
              <w:t xml:space="preserve">1,01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HDD [°C·dzień]</w:t>
            </w:r>
          </w:p>
        </w:tc>
        <w:tc>
          <w:tcPr/>
          <w:p>
            <w:pPr>
              <w:pStyle w:val="Compact"/>
            </w:pPr>
            <w:r>
              <w:t xml:space="preserve">3 283</w:t>
            </w:r>
          </w:p>
        </w:tc>
        <w:tc>
          <w:tcPr/>
          <w:p>
            <w:pPr>
              <w:pStyle w:val="Compact"/>
            </w:pPr>
            <w:r>
              <w:t xml:space="preserve">269</w:t>
            </w:r>
          </w:p>
        </w:tc>
        <w:tc>
          <w:tcPr/>
          <w:p>
            <w:pPr>
              <w:pStyle w:val="Compact"/>
            </w:pPr>
            <w:r>
              <w:t xml:space="preserve">2 738</w:t>
            </w:r>
          </w:p>
        </w:tc>
        <w:tc>
          <w:tcPr/>
          <w:p>
            <w:pPr>
              <w:pStyle w:val="Compact"/>
            </w:pPr>
            <w:r>
              <w:t xml:space="preserve">3 923</w:t>
            </w:r>
          </w:p>
        </w:tc>
      </w:tr>
    </w:tbl>
    <w:p>
      <w:pPr>
        <w:pStyle w:val="BodyText"/>
      </w:pPr>
      <w:r>
        <w:rPr>
          <w:b/>
          <w:bCs/>
        </w:rPr>
        <w:t xml:space="preserve">Główne obserwacje z EDA:</w:t>
      </w:r>
      <w:r>
        <w:t xml:space="preserve"> </w:t>
      </w:r>
      <w:r>
        <w:t xml:space="preserve">- Zużycie energii wzrosło o</w:t>
      </w:r>
      <w:r>
        <w:t xml:space="preserve"> </w:t>
      </w:r>
      <w:r>
        <w:rPr>
          <w:b/>
          <w:bCs/>
        </w:rPr>
        <w:t xml:space="preserve">+43,2%</w:t>
      </w:r>
      <w:r>
        <w:t xml:space="preserve"> </w:t>
      </w:r>
      <w:r>
        <w:t xml:space="preserve">w latach 2004–2024 (z 22 804 do 32 661 GWh)</w:t>
      </w:r>
      <w:r>
        <w:t xml:space="preserve"> </w:t>
      </w:r>
      <w:r>
        <w:t xml:space="preserve">- PKB per capita wzrósł ponad trzykrotnie (24 554 → 97 453 PLN/os), wskazując na silny wzrost gospodarczy</w:t>
      </w:r>
      <w:r>
        <w:t xml:space="preserve"> </w:t>
      </w:r>
      <w:r>
        <w:t xml:space="preserve">- Cena energii wykazuje skok w 2022–2023 (kryzys energetyczny), osiągając 1,01 PLN/kWh</w:t>
      </w:r>
      <w:r>
        <w:t xml:space="preserve"> </w:t>
      </w:r>
      <w:r>
        <w:t xml:space="preserve">- HDD charakteryzuje się umiarkowaną zmiennością (CV ≈ 8%), co odzwierciedla naturalną zmienność klimatyczną</w:t>
      </w:r>
    </w:p>
    <w:bookmarkEnd w:id="12"/>
    <w:bookmarkStart w:id="13" w:name="X7d1396b707a504717f9a527fbf6af475eef7c40"/>
    <w:p>
      <w:pPr>
        <w:pStyle w:val="Heading3"/>
      </w:pPr>
      <w:r>
        <w:t xml:space="preserve">2.3 Dane panelowe – województwa (16 × 21 = 336 obserwacji)</w:t>
      </w:r>
    </w:p>
    <w:p>
      <w:pPr>
        <w:pStyle w:val="FirstParagraph"/>
      </w:pPr>
      <w:r>
        <w:t xml:space="preserve">Dane obejmują 16 województw w latach 2004–2024. Zmienne objaśniające dla modelu FE różnią się od modelu Polska, gdyż dostępność danych jest odmienna na poziomie regionalnym:</w:t>
      </w:r>
      <w:r>
        <w:t xml:space="preserve"> </w:t>
      </w:r>
      <w:r>
        <w:t xml:space="preserve">- Zamiast PKB per capita zastosowano</w:t>
      </w:r>
      <w:r>
        <w:t xml:space="preserve"> </w:t>
      </w:r>
      <w:r>
        <w:rPr>
          <w:b/>
          <w:bCs/>
        </w:rPr>
        <w:t xml:space="preserve">dochód rozporządzalny na osobę</w:t>
      </w:r>
      <w:r>
        <w:t xml:space="preserve"> </w:t>
      </w:r>
      <w:r>
        <w:t xml:space="preserve">(dane GUS BDL)</w:t>
      </w:r>
      <w:r>
        <w:t xml:space="preserve"> </w:t>
      </w:r>
      <w:r>
        <w:t xml:space="preserve">- Dodano zmienne strukturalne: urbanizację, przeciętną liczbę osób w gospodarstwie domowym oraz powierzchnię mieszkania na osobę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modele-ekonometryczne-zadanie-3"/>
    <w:p>
      <w:pPr>
        <w:pStyle w:val="Heading2"/>
      </w:pPr>
      <w:r>
        <w:t xml:space="preserve">3. Modele ekonometryczne (Zadanie 3)</w:t>
      </w:r>
    </w:p>
    <w:bookmarkStart w:id="15" w:name="model-polska-log-liniowy-ols"/>
    <w:p>
      <w:pPr>
        <w:pStyle w:val="Heading3"/>
      </w:pPr>
      <w:r>
        <w:t xml:space="preserve">3.1 Model Polska – log-liniowy OLS</w:t>
      </w:r>
    </w:p>
    <w:p>
      <w:pPr>
        <w:pStyle w:val="FirstParagraph"/>
      </w:pPr>
      <w:r>
        <w:rPr>
          <w:b/>
          <w:bCs/>
        </w:rPr>
        <w:t xml:space="preserve">Specyfikacja: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ZUZYCIE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PKB_pc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CENA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HDD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Wyniki estymacji (train 2004–2023, n=20):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Estymacja</w:t>
            </w:r>
          </w:p>
        </w:tc>
        <w:tc>
          <w:tcPr/>
          <w:p>
            <w:pPr>
              <w:pStyle w:val="Compact"/>
            </w:pPr>
            <w:r>
              <w:t xml:space="preserve">Błąd std.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stała (β₀)</w:t>
            </w:r>
          </w:p>
        </w:tc>
        <w:tc>
          <w:tcPr/>
          <w:p>
            <w:pPr>
              <w:pStyle w:val="Compact"/>
            </w:pPr>
            <w:r>
              <w:t xml:space="preserve">9,3854</w:t>
            </w:r>
          </w:p>
        </w:tc>
        <w:tc>
          <w:tcPr/>
          <w:p>
            <w:pPr>
              <w:pStyle w:val="Compact"/>
            </w:pPr>
            <w:r>
              <w:t xml:space="preserve">1,018</w:t>
            </w:r>
          </w:p>
        </w:tc>
        <w:tc>
          <w:tcPr/>
          <w:p>
            <w:pPr>
              <w:pStyle w:val="Compact"/>
            </w:pPr>
            <w:r>
              <w:t xml:space="preserve">9,218</w:t>
            </w:r>
          </w:p>
        </w:tc>
        <w:tc>
          <w:tcPr/>
          <w:p>
            <w:pPr>
              <w:pStyle w:val="Compact"/>
            </w:pPr>
            <w:r>
              <w:t xml:space="preserve">0,000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ln(PKB_pc) (β₁)</w:t>
            </w:r>
          </w:p>
        </w:tc>
        <w:tc>
          <w:tcPr/>
          <w:p>
            <w:pPr>
              <w:pStyle w:val="Compact"/>
            </w:pPr>
            <w:r>
              <w:t xml:space="preserve">0,0803</w:t>
            </w:r>
          </w:p>
        </w:tc>
        <w:tc>
          <w:tcPr/>
          <w:p>
            <w:pPr>
              <w:pStyle w:val="Compact"/>
            </w:pPr>
            <w:r>
              <w:t xml:space="preserve">0,080</w:t>
            </w:r>
          </w:p>
        </w:tc>
        <w:tc>
          <w:tcPr/>
          <w:p>
            <w:pPr>
              <w:pStyle w:val="Compact"/>
            </w:pPr>
            <w:r>
              <w:t xml:space="preserve">1,003</w:t>
            </w:r>
          </w:p>
        </w:tc>
        <w:tc>
          <w:tcPr/>
          <w:p>
            <w:pPr>
              <w:pStyle w:val="Compact"/>
            </w:pPr>
            <w:r>
              <w:t xml:space="preserve">0,331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ln(CENA) (β₂)</w:t>
            </w:r>
          </w:p>
        </w:tc>
        <w:tc>
          <w:tcPr/>
          <w:p>
            <w:pPr>
              <w:pStyle w:val="Compact"/>
            </w:pPr>
            <w:r>
              <w:t xml:space="preserve">0,1437</w:t>
            </w:r>
          </w:p>
        </w:tc>
        <w:tc>
          <w:tcPr/>
          <w:p>
            <w:pPr>
              <w:pStyle w:val="Compact"/>
            </w:pPr>
            <w:r>
              <w:t xml:space="preserve">0,126</w:t>
            </w:r>
          </w:p>
        </w:tc>
        <w:tc>
          <w:tcPr/>
          <w:p>
            <w:pPr>
              <w:pStyle w:val="Compact"/>
            </w:pPr>
            <w:r>
              <w:t xml:space="preserve">1,138</w:t>
            </w:r>
          </w:p>
        </w:tc>
        <w:tc>
          <w:tcPr/>
          <w:p>
            <w:pPr>
              <w:pStyle w:val="Compact"/>
            </w:pPr>
            <w:r>
              <w:t xml:space="preserve">0,272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HDD (β₃)</w:t>
            </w:r>
          </w:p>
        </w:tc>
        <w:tc>
          <w:tcPr/>
          <w:p>
            <w:pPr>
              <w:pStyle w:val="Compact"/>
            </w:pPr>
            <w:r>
              <w:t xml:space="preserve">2,00×10⁻⁵</w:t>
            </w:r>
          </w:p>
        </w:tc>
        <w:tc>
          <w:tcPr/>
          <w:p>
            <w:pPr>
              <w:pStyle w:val="Compact"/>
            </w:pPr>
            <w:r>
              <w:t xml:space="preserve">4,91×10⁻⁵</w:t>
            </w:r>
          </w:p>
        </w:tc>
        <w:tc>
          <w:tcPr/>
          <w:p>
            <w:pPr>
              <w:pStyle w:val="Compact"/>
            </w:pPr>
            <w:r>
              <w:t xml:space="preserve">0,408</w:t>
            </w:r>
          </w:p>
        </w:tc>
        <w:tc>
          <w:tcPr/>
          <w:p>
            <w:pPr>
              <w:pStyle w:val="Compact"/>
            </w:pPr>
            <w:r>
              <w:t xml:space="preserve">0,689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  <w:bCs/>
        </w:rPr>
        <w:t xml:space="preserve">Miary dopasowania (in-sample 2004–2023):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Miara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0,6980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 skorygowany</w:t>
            </w:r>
          </w:p>
        </w:tc>
        <w:tc>
          <w:tcPr/>
          <w:p>
            <w:pPr>
              <w:pStyle w:val="Compact"/>
            </w:pPr>
            <w:r>
              <w:t xml:space="preserve">0,6416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−68,27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−64,28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F-statystyka</w:t>
            </w:r>
          </w:p>
        </w:tc>
        <w:tc>
          <w:tcPr/>
          <w:p>
            <w:pPr>
              <w:pStyle w:val="Compact"/>
            </w:pPr>
            <w:r>
              <w:t xml:space="preserve">12,32 (p = 0,000198)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RMSPE% in-sample (2004–2023)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3,71% 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VIF: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Zmienna</w:t>
            </w:r>
          </w:p>
        </w:tc>
        <w:tc>
          <w:tcPr/>
          <w:p>
            <w:pPr>
              <w:pStyle w:val="Compact"/>
            </w:pPr>
            <w:r>
              <w:t xml:space="preserve">VIF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ln(PKB_pc)</w:t>
            </w:r>
          </w:p>
        </w:tc>
        <w:tc>
          <w:tcPr/>
          <w:p>
            <w:pPr>
              <w:pStyle w:val="Compact"/>
            </w:pPr>
            <w:r>
              <w:t xml:space="preserve">10,00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ln(CENA)</w:t>
            </w:r>
          </w:p>
        </w:tc>
        <w:tc>
          <w:tcPr/>
          <w:p>
            <w:pPr>
              <w:pStyle w:val="Compact"/>
            </w:pPr>
            <w:r>
              <w:t xml:space="preserve">8,20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HDD</w:t>
            </w:r>
          </w:p>
        </w:tc>
        <w:tc>
          <w:tcPr/>
          <w:p>
            <w:pPr>
              <w:pStyle w:val="Compact"/>
            </w:pPr>
            <w:r>
              <w:t xml:space="preserve">1,69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Interpretacja:</w:t>
      </w:r>
      <w:r>
        <w:t xml:space="preserve"> </w:t>
      </w:r>
      <w:r>
        <w:t xml:space="preserve">- Model wykazuje istotność globalną (F-test p &lt; 0,001), mimo nieistotnych indywidualnych t-testów</w:t>
      </w:r>
      <w:r>
        <w:t xml:space="preserve"> </w:t>
      </w:r>
      <w:r>
        <w:t xml:space="preserve">- Przyczyną jest</w:t>
      </w:r>
      <w:r>
        <w:t xml:space="preserve"> </w:t>
      </w:r>
      <w:r>
        <w:rPr>
          <w:b/>
          <w:bCs/>
        </w:rPr>
        <w:t xml:space="preserve">współliniowość</w:t>
      </w:r>
      <w:r>
        <w:t xml:space="preserve">: VIF(ln_PKB_pc) ≈ 10, VIF(ln_CENA) ≈ 8 – typowy problem krótkich szeregów makroekonomicznych</w:t>
      </w:r>
      <w:r>
        <w:t xml:space="preserve"> </w:t>
      </w:r>
      <w:r>
        <w:t xml:space="preserve">- PKB i CENA wykazują silne trendy wzrostowe w latach 2004–2023, co utrudnia separację efektów</w:t>
      </w:r>
      <w:r>
        <w:t xml:space="preserve"> </w:t>
      </w:r>
      <w:r>
        <w:t xml:space="preserve">- RMSPE% = 3,71% mieści się w kryterium ≤ 10% ✓</w:t>
      </w:r>
    </w:p>
    <w:p>
      <w:pPr>
        <w:pStyle w:val="BodyText"/>
      </w:pPr>
      <w:r>
        <w:rPr>
          <w:b/>
          <w:bCs/>
        </w:rPr>
        <w:t xml:space="preserve">Diagnostyka reszt: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  <w:tc>
          <w:tcPr/>
          <w:p>
            <w:pPr>
              <w:pStyle w:val="Compact"/>
            </w:pPr>
            <w:r>
              <w:t xml:space="preserve">Wniosek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Durbin-Watson</w:t>
            </w:r>
          </w:p>
        </w:tc>
        <w:tc>
          <w:tcPr/>
          <w:p>
            <w:pPr>
              <w:pStyle w:val="Compact"/>
            </w:pPr>
            <w:r>
              <w:t xml:space="preserve">0,6510</w:t>
            </w:r>
          </w:p>
        </w:tc>
        <w:tc>
          <w:tcPr/>
          <w:p>
            <w:pPr>
              <w:pStyle w:val="Compact"/>
            </w:pPr>
            <w:r>
              <w:t xml:space="preserve">! Silna autokorelacja (DW &lt; 1,5)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Breusch-Godfrey p</w:t>
            </w:r>
          </w:p>
        </w:tc>
        <w:tc>
          <w:tcPr/>
          <w:p>
            <w:pPr>
              <w:pStyle w:val="Compact"/>
            </w:pPr>
            <w:r>
              <w:t xml:space="preserve">0,1696</w:t>
            </w:r>
          </w:p>
        </w:tc>
        <w:tc>
          <w:tcPr/>
          <w:p>
            <w:pPr>
              <w:pStyle w:val="Compact"/>
            </w:pPr>
            <w:r>
              <w:t xml:space="preserve">OK ✓ Brak istotnej autokorelacji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Ljung-Box lag=1 p</w:t>
            </w:r>
          </w:p>
        </w:tc>
        <w:tc>
          <w:tcPr/>
          <w:p>
            <w:pPr>
              <w:pStyle w:val="Compact"/>
            </w:pPr>
            <w:r>
              <w:t xml:space="preserve">0,1021</w:t>
            </w:r>
          </w:p>
        </w:tc>
        <w:tc>
          <w:tcPr/>
          <w:p>
            <w:pPr>
              <w:pStyle w:val="Compact"/>
            </w:pPr>
            <w:r>
              <w:t xml:space="preserve">OK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Shapiro-Wilk p</w:t>
            </w:r>
          </w:p>
        </w:tc>
        <w:tc>
          <w:tcPr/>
          <w:p>
            <w:pPr>
              <w:pStyle w:val="Compact"/>
            </w:pPr>
            <w:r>
              <w:t xml:space="preserve">0,0002</w:t>
            </w:r>
          </w:p>
        </w:tc>
        <w:tc>
          <w:tcPr/>
          <w:p>
            <w:pPr>
              <w:pStyle w:val="Compact"/>
            </w:pPr>
            <w:r>
              <w:t xml:space="preserve">! Odrzucenie normalności (n=20, wrażliwy 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Breusch-Pagan p</w:t>
            </w:r>
          </w:p>
        </w:tc>
        <w:tc>
          <w:tcPr/>
          <w:p>
            <w:pPr>
              <w:pStyle w:val="Compact"/>
            </w:pPr>
            <w:r>
              <w:t xml:space="preserve">0,8508</w:t>
            </w:r>
          </w:p>
        </w:tc>
        <w:tc>
          <w:tcPr/>
          <w:p>
            <w:pPr>
              <w:pStyle w:val="Compact"/>
            </w:pPr>
            <w:r>
              <w:t xml:space="preserve">OK ✓ Brak heteroskedastyczności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p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  <w:tc>
          <w:tcPr/>
          <w:p>
            <w:pPr>
              <w:pStyle w:val="Compact"/>
            </w:pPr>
            <w:r>
              <w:t xml:space="preserve">! Błędna specyfikacja formy funkcyjnej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ADF p (orientacyjny)</w:t>
            </w:r>
          </w:p>
        </w:tc>
        <w:tc>
          <w:tcPr/>
          <w:p>
            <w:pPr>
              <w:pStyle w:val="Compact"/>
            </w:pPr>
            <w:r>
              <w:t xml:space="preserve">0,0597</w:t>
            </w:r>
          </w:p>
        </w:tc>
        <w:tc>
          <w:tcPr/>
          <w:p>
            <w:pPr>
              <w:pStyle w:val="Compact"/>
            </w:pPr>
            <w:r>
              <w:t xml:space="preserve">! Niestacjonarność (orientacyjny przy n=21)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number</w:t>
            </w:r>
          </w:p>
        </w:tc>
        <w:tc>
          <w:tcPr/>
          <w:p>
            <w:pPr>
              <w:pStyle w:val="Compact"/>
            </w:pPr>
            <w:r>
              <w:t xml:space="preserve">379 472</w:t>
            </w:r>
          </w:p>
        </w:tc>
        <w:tc>
          <w:tcPr/>
          <w:p>
            <w:pPr>
              <w:pStyle w:val="Compact"/>
            </w:pPr>
            <w:r>
              <w:t xml:space="preserve">! Wysoka multikolinearność</w:t>
            </w:r>
          </w:p>
        </w:tc>
      </w:tr>
    </w:tbl>
    <w:p>
      <w:pPr>
        <w:pStyle w:val="BlockText"/>
      </w:pPr>
      <w:r>
        <w:rPr>
          <w:b/>
          <w:bCs/>
        </w:rPr>
        <w:t xml:space="preserve">Uwaga diagnostyczna:</w:t>
      </w:r>
      <w:r>
        <w:t xml:space="preserve"> </w:t>
      </w:r>
      <w:r>
        <w:t xml:space="preserve">Naruszenie normalności reszt przy n=20 jest charakterystyczne dla makroekonomicznych szeregów czasowych z obserwacjami anomalnymi (kryzys 2008–2009, pandemia 2020–2021, kryzys energetyczny 2022–2023). DW sugeruje autokorelację, jednak test BG nie potwierdza jej na poziomie istotności 5%. RESET wskazuje na potencjalne problemy ze specyfikacją, co jest oczekiwane przy silnej multikoliniowości. Model nadal pozostaje użyteczny prognostycznie (RMSPE% = 3,71% ≤ 10%).</w:t>
      </w:r>
    </w:p>
    <w:p>
      <w:r>
        <w:pict>
          <v:rect style="width:0;height:1.5pt" o:hralign="center" o:hrstd="t" o:hr="t"/>
        </w:pict>
      </w:r>
    </w:p>
    <w:bookmarkEnd w:id="15"/>
    <w:bookmarkStart w:id="16" w:name="model-fe-efekty-stałe-dane-panelowe"/>
    <w:p>
      <w:pPr>
        <w:pStyle w:val="Heading3"/>
      </w:pPr>
      <w:r>
        <w:t xml:space="preserve">3.2 Model FE (efekty stałe) – dane panelowe</w:t>
      </w:r>
    </w:p>
    <w:p>
      <w:pPr>
        <w:pStyle w:val="FirstParagraph"/>
      </w:pPr>
      <w:r>
        <w:rPr>
          <w:b/>
          <w:bCs/>
        </w:rPr>
        <w:t xml:space="preserve">Specyfikacja: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ZUZYCIE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  <m:r>
                <m:t>t</m:t>
              </m:r>
            </m:sub>
            <m:sup>
              <m:r>
                <m:t>T</m:t>
              </m:r>
            </m:sup>
          </m:sSubSup>
          <m:r>
            <m:rPr>
              <m:sty m:val="bi"/>
            </m:rPr>
            <m:t>β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16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gdzie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to zmienne zero-jedynkowe dla województw (kategoria referencyjna: dolnośląskie).</w:t>
      </w:r>
    </w:p>
    <w:p>
      <w:pPr>
        <w:pStyle w:val="BodyText"/>
      </w:pPr>
      <w:r>
        <w:rPr>
          <w:b/>
          <w:bCs/>
        </w:rPr>
        <w:t xml:space="preserve">Okres estymacji:</w:t>
      </w:r>
      <w:r>
        <w:t xml:space="preserve"> </w:t>
      </w:r>
      <w:r>
        <w:t xml:space="preserve">2005–2023 (n = 19 lat × 16 województw = 304 obserwacje; rok 2004 wykluczony ze względu na zmienną opóźnioną)</w:t>
      </w:r>
    </w:p>
    <w:p>
      <w:pPr>
        <w:pStyle w:val="BodyText"/>
      </w:pPr>
      <w:r>
        <w:rPr>
          <w:b/>
          <w:bCs/>
        </w:rPr>
        <w:t xml:space="preserve">Zmienne objaśniające: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ln_dochod_os_lag1</w:t>
      </w:r>
      <w:r>
        <w:t xml:space="preserve"> </w:t>
      </w:r>
      <w:r>
        <w:t xml:space="preserve">– logarytm dochodu na osobę z opóźnieniem o 1 rok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ln_cena</w:t>
      </w:r>
      <w:r>
        <w:t xml:space="preserve"> </w:t>
      </w:r>
      <w:r>
        <w:t xml:space="preserve">– logarytm ceny energii elektrycznej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urbanizacja_pct</w:t>
      </w:r>
      <w:r>
        <w:t xml:space="preserve"> </w:t>
      </w:r>
      <w:r>
        <w:t xml:space="preserve">– stopień urbanizacji [%]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liczba_os</w:t>
      </w:r>
      <w:r>
        <w:t xml:space="preserve"> </w:t>
      </w:r>
      <w:r>
        <w:t xml:space="preserve">– przeciętna liczba osób w gosp. domowym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pow_os</w:t>
      </w:r>
      <w:r>
        <w:t xml:space="preserve"> </w:t>
      </w:r>
      <w:r>
        <w:t xml:space="preserve">– powierzchnia użytkowa mieszkania na osobę [m²]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hdd</w:t>
      </w:r>
      <w:r>
        <w:t xml:space="preserve"> </w:t>
      </w:r>
      <w:r>
        <w:t xml:space="preserve">– stopniodni grzewcze</w:t>
      </w:r>
    </w:p>
    <w:p>
      <w:pPr>
        <w:pStyle w:val="BodyText"/>
      </w:pPr>
      <w:r>
        <w:rPr>
          <w:b/>
          <w:bCs/>
        </w:rPr>
        <w:t xml:space="preserve">Wyniki estymacji (zmienne główne):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Parametr</w:t>
            </w:r>
          </w:p>
        </w:tc>
        <w:tc>
          <w:tcPr/>
          <w:p>
            <w:pPr>
              <w:pStyle w:val="Compact"/>
            </w:pPr>
            <w:r>
              <w:t xml:space="preserve">Estymacja</w:t>
            </w:r>
          </w:p>
        </w:tc>
        <w:tc>
          <w:tcPr/>
          <w:p>
            <w:pPr>
              <w:pStyle w:val="Compact"/>
            </w:pPr>
            <w:r>
              <w:t xml:space="preserve">Błąd std.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stała</w:t>
            </w:r>
          </w:p>
        </w:tc>
        <w:tc>
          <w:tcPr/>
          <w:p>
            <w:pPr>
              <w:pStyle w:val="Compact"/>
            </w:pPr>
            <w:r>
              <w:t xml:space="preserve">5,8039</w:t>
            </w:r>
          </w:p>
        </w:tc>
        <w:tc>
          <w:tcPr/>
          <w:p>
            <w:pPr>
              <w:pStyle w:val="Compact"/>
            </w:pPr>
            <w:r>
              <w:t xml:space="preserve">0,421</w:t>
            </w:r>
          </w:p>
        </w:tc>
        <w:tc>
          <w:tcPr/>
          <w:p>
            <w:pPr>
              <w:pStyle w:val="Compact"/>
            </w:pPr>
            <w:r>
              <w:t xml:space="preserve">13,781</w:t>
            </w:r>
          </w:p>
        </w:tc>
        <w:tc>
          <w:tcPr/>
          <w:p>
            <w:pPr>
              <w:pStyle w:val="Compact"/>
            </w:pPr>
            <w:r>
              <w:t xml:space="preserve">0,000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ln(Dochód_os lag1)</w:t>
            </w:r>
          </w:p>
        </w:tc>
        <w:tc>
          <w:tcPr/>
          <w:p>
            <w:pPr>
              <w:pStyle w:val="Compact"/>
            </w:pPr>
            <w:r>
              <w:t xml:space="preserve">0,2305</w:t>
            </w:r>
          </w:p>
        </w:tc>
        <w:tc>
          <w:tcPr/>
          <w:p>
            <w:pPr>
              <w:pStyle w:val="Compact"/>
            </w:pPr>
            <w:r>
              <w:t xml:space="preserve">0,038</w:t>
            </w:r>
          </w:p>
        </w:tc>
        <w:tc>
          <w:tcPr/>
          <w:p>
            <w:pPr>
              <w:pStyle w:val="Compact"/>
            </w:pPr>
            <w:r>
              <w:t xml:space="preserve">6,110</w:t>
            </w:r>
          </w:p>
        </w:tc>
        <w:tc>
          <w:tcPr/>
          <w:p>
            <w:pPr>
              <w:pStyle w:val="Compact"/>
            </w:pPr>
            <w:r>
              <w:t xml:space="preserve">0,000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ln(CENA)</w:t>
            </w:r>
          </w:p>
        </w:tc>
        <w:tc>
          <w:tcPr/>
          <w:p>
            <w:pPr>
              <w:pStyle w:val="Compact"/>
            </w:pPr>
            <w:r>
              <w:t xml:space="preserve">−0,0441</w:t>
            </w:r>
          </w:p>
        </w:tc>
        <w:tc>
          <w:tcPr/>
          <w:p>
            <w:pPr>
              <w:pStyle w:val="Compact"/>
            </w:pPr>
            <w:r>
              <w:t xml:space="preserve">0,031</w:t>
            </w:r>
          </w:p>
        </w:tc>
        <w:tc>
          <w:tcPr/>
          <w:p>
            <w:pPr>
              <w:pStyle w:val="Compact"/>
            </w:pPr>
            <w:r>
              <w:t xml:space="preserve">−1,424</w:t>
            </w:r>
          </w:p>
        </w:tc>
        <w:tc>
          <w:tcPr/>
          <w:p>
            <w:pPr>
              <w:pStyle w:val="Compact"/>
            </w:pPr>
            <w:r>
              <w:t xml:space="preserve">0,156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Urbanizacja [%]</w:t>
            </w:r>
          </w:p>
        </w:tc>
        <w:tc>
          <w:tcPr/>
          <w:p>
            <w:pPr>
              <w:pStyle w:val="Compact"/>
            </w:pPr>
            <w:r>
              <w:t xml:space="preserve">−0,0026</w:t>
            </w:r>
          </w:p>
        </w:tc>
        <w:tc>
          <w:tcPr/>
          <w:p>
            <w:pPr>
              <w:pStyle w:val="Compact"/>
            </w:pPr>
            <w:r>
              <w:t xml:space="preserve">0,004</w:t>
            </w:r>
          </w:p>
        </w:tc>
        <w:tc>
          <w:tcPr/>
          <w:p>
            <w:pPr>
              <w:pStyle w:val="Compact"/>
            </w:pPr>
            <w:r>
              <w:t xml:space="preserve">−0,716</w:t>
            </w:r>
          </w:p>
        </w:tc>
        <w:tc>
          <w:tcPr/>
          <w:p>
            <w:pPr>
              <w:pStyle w:val="Compact"/>
            </w:pPr>
            <w:r>
              <w:t xml:space="preserve">0,474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os.</w:t>
            </w:r>
          </w:p>
        </w:tc>
        <w:tc>
          <w:tcPr/>
          <w:p>
            <w:pPr>
              <w:pStyle w:val="Compact"/>
            </w:pPr>
            <w:r>
              <w:t xml:space="preserve">−0,0104</w:t>
            </w:r>
          </w:p>
        </w:tc>
        <w:tc>
          <w:tcPr/>
          <w:p>
            <w:pPr>
              <w:pStyle w:val="Compact"/>
            </w:pPr>
            <w:r>
              <w:t xml:space="preserve">0,034</w:t>
            </w:r>
          </w:p>
        </w:tc>
        <w:tc>
          <w:tcPr/>
          <w:p>
            <w:pPr>
              <w:pStyle w:val="Compact"/>
            </w:pPr>
            <w:r>
              <w:t xml:space="preserve">−0,309</w:t>
            </w:r>
          </w:p>
        </w:tc>
        <w:tc>
          <w:tcPr/>
          <w:p>
            <w:pPr>
              <w:pStyle w:val="Compact"/>
            </w:pPr>
            <w:r>
              <w:t xml:space="preserve">0,758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Pow./os. [m²]</w:t>
            </w:r>
          </w:p>
        </w:tc>
        <w:tc>
          <w:tcPr/>
          <w:p>
            <w:pPr>
              <w:pStyle w:val="Compact"/>
            </w:pPr>
            <w:r>
              <w:t xml:space="preserve">−0,0114</w:t>
            </w:r>
          </w:p>
        </w:tc>
        <w:tc>
          <w:tcPr/>
          <w:p>
            <w:pPr>
              <w:pStyle w:val="Compact"/>
            </w:pPr>
            <w:r>
              <w:t xml:space="preserve">0,004</w:t>
            </w:r>
          </w:p>
        </w:tc>
        <w:tc>
          <w:tcPr/>
          <w:p>
            <w:pPr>
              <w:pStyle w:val="Compact"/>
            </w:pPr>
            <w:r>
              <w:t xml:space="preserve">−2,853</w:t>
            </w:r>
          </w:p>
        </w:tc>
        <w:tc>
          <w:tcPr/>
          <w:p>
            <w:pPr>
              <w:pStyle w:val="Compact"/>
            </w:pPr>
            <w:r>
              <w:t xml:space="preserve">0,005</w:t>
            </w:r>
          </w:p>
        </w:tc>
        <w:tc>
          <w:tcPr/>
          <w:p>
            <w:pPr>
              <w:pStyle w:val="Compac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HDD</w:t>
            </w:r>
          </w:p>
        </w:tc>
        <w:tc>
          <w:tcPr/>
          <w:p>
            <w:pPr>
              <w:pStyle w:val="Compact"/>
            </w:pPr>
            <w:r>
              <w:t xml:space="preserve">3,98×10⁻⁵</w:t>
            </w:r>
          </w:p>
        </w:tc>
        <w:tc>
          <w:tcPr/>
          <w:p>
            <w:pPr>
              <w:pStyle w:val="Compact"/>
            </w:pPr>
            <w:r>
              <w:t xml:space="preserve">1,11×10⁻⁵</w:t>
            </w:r>
          </w:p>
        </w:tc>
        <w:tc>
          <w:tcPr/>
          <w:p>
            <w:pPr>
              <w:pStyle w:val="Compact"/>
            </w:pPr>
            <w:r>
              <w:t xml:space="preserve">3,573</w:t>
            </w:r>
          </w:p>
        </w:tc>
        <w:tc>
          <w:tcPr/>
          <w:p>
            <w:pPr>
              <w:pStyle w:val="Compact"/>
            </w:pPr>
            <w:r>
              <w:t xml:space="preserve">0,000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</w:tbl>
    <w:p>
      <w:pPr>
        <w:pStyle w:val="BodyText"/>
      </w:pPr>
      <w:r>
        <w:rPr>
          <w:b/>
          <w:bCs/>
        </w:rPr>
        <w:t xml:space="preserve">Miary dopasowania (in-sample 2005–2023):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Miara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0,9953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 skorygowany</w:t>
            </w:r>
          </w:p>
        </w:tc>
        <w:tc>
          <w:tcPr/>
          <w:p>
            <w:pPr>
              <w:pStyle w:val="Compact"/>
            </w:pPr>
            <w:r>
              <w:t xml:space="preserve">0,9950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−1 084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−1 002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F-statystyka</w:t>
            </w:r>
          </w:p>
        </w:tc>
        <w:tc>
          <w:tcPr/>
          <w:p>
            <w:pPr>
              <w:pStyle w:val="Compact"/>
            </w:pPr>
            <w:r>
              <w:t xml:space="preserve">2 874 (p ≈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304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F-test dummies (p)</w:t>
            </w:r>
          </w:p>
        </w:tc>
        <w:tc>
          <w:tcPr/>
          <w:p>
            <w:pPr>
              <w:pStyle w:val="Compact"/>
            </w:pPr>
            <w:r>
              <w:t xml:space="preserve">0,000000 – efekty stałe wysoce istotne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RMSPE% in-sample (2005–2023)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3,87%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Woj. RMSPE ≤ 10% (in-sample)</w:t>
            </w:r>
          </w:p>
        </w:tc>
        <w:tc>
          <w:tcPr/>
          <w:p>
            <w:pPr>
              <w:pStyle w:val="Compact"/>
            </w:pPr>
            <w:r>
              <w:t xml:space="preserve">14/16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łącznej istotności efektów stałych:</w:t>
      </w:r>
      <w:r>
        <w:t xml:space="preserve"> </w:t>
      </w:r>
      <w:r>
        <w:t xml:space="preserve">F(15, 282) = 2 425,9, p ≈ 0 →</w:t>
      </w:r>
      <w:r>
        <w:t xml:space="preserve"> </w:t>
      </w:r>
      <w:r>
        <w:rPr>
          <w:b/>
          <w:bCs/>
        </w:rPr>
        <w:t xml:space="preserve">efekty stałe wysoce istotne</w:t>
      </w:r>
    </w:p>
    <w:p>
      <w:pPr>
        <w:pStyle w:val="BodyText"/>
      </w:pPr>
      <w:r>
        <w:rPr>
          <w:b/>
          <w:bCs/>
        </w:rPr>
        <w:t xml:space="preserve">VIF (zmienne główne, bez dummy):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Zmienna</w:t>
            </w:r>
          </w:p>
        </w:tc>
        <w:tc>
          <w:tcPr/>
          <w:p>
            <w:pPr>
              <w:pStyle w:val="Compact"/>
            </w:pPr>
            <w:r>
              <w:t xml:space="preserve">VIF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ln(Dochód_os lag1)</w:t>
            </w:r>
          </w:p>
        </w:tc>
        <w:tc>
          <w:tcPr/>
          <w:p>
            <w:pPr>
              <w:pStyle w:val="Compact"/>
            </w:pPr>
            <w:r>
              <w:t xml:space="preserve">31,72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ln(CENA)</w:t>
            </w:r>
          </w:p>
        </w:tc>
        <w:tc>
          <w:tcPr/>
          <w:p>
            <w:pPr>
              <w:pStyle w:val="Compact"/>
            </w:pPr>
            <w:r>
              <w:t xml:space="preserve">6,95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Urbanizacja [%]</w:t>
            </w:r>
          </w:p>
        </w:tc>
        <w:tc>
          <w:tcPr/>
          <w:p>
            <w:pPr>
              <w:pStyle w:val="Compact"/>
            </w:pPr>
            <w:r>
              <w:t xml:space="preserve">242,73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os.</w:t>
            </w:r>
          </w:p>
        </w:tc>
        <w:tc>
          <w:tcPr/>
          <w:p>
            <w:pPr>
              <w:pStyle w:val="Compact"/>
            </w:pPr>
            <w:r>
              <w:t xml:space="preserve">13,18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Pow./os. [m²]</w:t>
            </w:r>
          </w:p>
        </w:tc>
        <w:tc>
          <w:tcPr/>
          <w:p>
            <w:pPr>
              <w:pStyle w:val="Compact"/>
            </w:pPr>
            <w:r>
              <w:t xml:space="preserve">25,10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HDD</w:t>
            </w:r>
          </w:p>
        </w:tc>
        <w:tc>
          <w:tcPr/>
          <w:p>
            <w:pPr>
              <w:pStyle w:val="Compact"/>
            </w:pPr>
            <w:r>
              <w:t xml:space="preserve">2,05</w:t>
            </w:r>
          </w:p>
        </w:tc>
      </w:tr>
    </w:tbl>
    <w:p>
      <w:pPr>
        <w:pStyle w:val="BlockText"/>
      </w:pPr>
      <w:r>
        <w:rPr>
          <w:b/>
          <w:bCs/>
        </w:rPr>
        <w:t xml:space="preserve">Uwaga:</w:t>
      </w:r>
      <w:r>
        <w:t xml:space="preserve"> </w:t>
      </w:r>
      <w:r>
        <w:t xml:space="preserve">VIF dla</w:t>
      </w:r>
      <w:r>
        <w:t xml:space="preserve"> </w:t>
      </w:r>
      <w:r>
        <w:rPr>
          <w:rStyle w:val="VerbatimChar"/>
        </w:rPr>
        <w:t xml:space="preserve">urbanizacja_pct</w:t>
      </w:r>
      <w:r>
        <w:t xml:space="preserve"> </w:t>
      </w:r>
      <w:r>
        <w:t xml:space="preserve">jest bardzo wysoki (242,73), co wskazuje na silną współliniowość ze zmiennymi strukturalnymi. Usunięcie tej zmiennej pogarszało jednak jakość prognoz, dlatego pozostawiono ją w modelu z adnotacją o ograniczonej interpretowalności parametru.</w:t>
      </w:r>
    </w:p>
    <w:p>
      <w:pPr>
        <w:pStyle w:val="FirstParagraph"/>
      </w:pPr>
      <w:r>
        <w:rPr>
          <w:b/>
          <w:bCs/>
        </w:rPr>
        <w:t xml:space="preserve">Diagnostyka reszt FE: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  <w:tc>
          <w:tcPr/>
          <w:p>
            <w:pPr>
              <w:pStyle w:val="Compact"/>
            </w:pPr>
            <w:r>
              <w:t xml:space="preserve">Wniosek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Durbin-Watson (orientacyjny)</w:t>
            </w:r>
          </w:p>
        </w:tc>
        <w:tc>
          <w:tcPr/>
          <w:p>
            <w:pPr>
              <w:pStyle w:val="Compact"/>
            </w:pPr>
            <w:r>
              <w:t xml:space="preserve">0,7883</w:t>
            </w:r>
          </w:p>
        </w:tc>
        <w:tc>
          <w:tcPr/>
          <w:p>
            <w:pPr>
              <w:pStyle w:val="Compact"/>
            </w:pPr>
            <w:r>
              <w:t xml:space="preserve">! Silna autokorelacja (panel)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Breusch-Godfrey p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  <w:tc>
          <w:tcPr/>
          <w:p>
            <w:pPr>
              <w:pStyle w:val="Compact"/>
            </w:pPr>
            <w:r>
              <w:t xml:space="preserve">! Autokorelacja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Ljung-Box lag=4 p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  <w:tc>
          <w:tcPr/>
          <w:p>
            <w:pPr>
              <w:pStyle w:val="Compact"/>
            </w:pPr>
            <w:r>
              <w:t xml:space="preserve">! Autokorelacja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Shapiro-Wilk p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  <w:tc>
          <w:tcPr/>
          <w:p>
            <w:pPr>
              <w:pStyle w:val="Compact"/>
            </w:pPr>
            <w:r>
              <w:t xml:space="preserve">! Odrzucenie normalności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Jarque-Bera p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  <w:tc>
          <w:tcPr/>
          <w:p>
            <w:pPr>
              <w:pStyle w:val="Compact"/>
            </w:pPr>
            <w:r>
              <w:t xml:space="preserve">! Odrzucenie normalności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Breusch-Pagan p</w:t>
            </w:r>
          </w:p>
        </w:tc>
        <w:tc>
          <w:tcPr/>
          <w:p>
            <w:pPr>
              <w:pStyle w:val="Compact"/>
            </w:pPr>
            <w:r>
              <w:t xml:space="preserve">0,0139</w:t>
            </w:r>
          </w:p>
        </w:tc>
        <w:tc>
          <w:tcPr/>
          <w:p>
            <w:pPr>
              <w:pStyle w:val="Compact"/>
            </w:pPr>
            <w:r>
              <w:t xml:space="preserve">! Heteroskedastyczność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p (bez dummy)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  <w:tc>
          <w:tcPr/>
          <w:p>
            <w:pPr>
              <w:pStyle w:val="Compact"/>
            </w:pPr>
            <w:r>
              <w:t xml:space="preserve">! Heteroskedastyczność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p (orientacyjny)</w:t>
            </w:r>
          </w:p>
        </w:tc>
        <w:tc>
          <w:tcPr/>
          <w:p>
            <w:pPr>
              <w:pStyle w:val="Compact"/>
            </w:pPr>
            <w:r>
              <w:t xml:space="preserve">0,0549</w:t>
            </w:r>
          </w:p>
        </w:tc>
        <w:tc>
          <w:tcPr/>
          <w:p>
            <w:pPr>
              <w:pStyle w:val="Compact"/>
            </w:pPr>
            <w:r>
              <w:t xml:space="preserve">OK ✓ Forma funkcyjna akceptowalna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F-test dummies p</w:t>
            </w:r>
          </w:p>
        </w:tc>
        <w:tc>
          <w:tcPr/>
          <w:p>
            <w:pPr>
              <w:pStyle w:val="Compact"/>
            </w:pPr>
            <w:r>
              <w:t xml:space="preserve">0,000000</w:t>
            </w:r>
          </w:p>
        </w:tc>
        <w:tc>
          <w:tcPr/>
          <w:p>
            <w:pPr>
              <w:pStyle w:val="Compact"/>
            </w:pPr>
            <w:r>
              <w:t xml:space="preserve">FE istotne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number (główne)</w:t>
            </w:r>
          </w:p>
        </w:tc>
        <w:tc>
          <w:tcPr/>
          <w:p>
            <w:pPr>
              <w:pStyle w:val="Compact"/>
            </w:pPr>
            <w:r>
              <w:t xml:space="preserve">383 784</w:t>
            </w:r>
          </w:p>
        </w:tc>
        <w:tc>
          <w:tcPr/>
          <w:p>
            <w:pPr>
              <w:pStyle w:val="Compact"/>
            </w:pPr>
            <w:r>
              <w:t xml:space="preserve">! Wysoka multikolinearność</w:t>
            </w:r>
          </w:p>
        </w:tc>
      </w:tr>
    </w:tbl>
    <w:p>
      <w:pPr>
        <w:pStyle w:val="BlockText"/>
      </w:pPr>
      <w:r>
        <w:t xml:space="preserve">W modelu panelowym autokorelacja i odrzucenie normalności są typowe i oczekiwane przy n=304. Heteroskedastyczność wynika z dużego zróżnicowania województw pod względem zużycia energii. Nie wpływają istotnie na użyteczność prognostyczną modelu – RMSPE% = 3,87% ≤ 10%.</w:t>
      </w:r>
    </w:p>
    <w:p>
      <w:pPr>
        <w:pStyle w:val="FirstParagraph"/>
      </w:pPr>
      <w:r>
        <w:rPr>
          <w:b/>
          <w:bCs/>
        </w:rPr>
        <w:t xml:space="preserve">Porównanie modeli – miary jakości in-sample: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6"/>
        <w:gridCol w:w="495"/>
        <w:gridCol w:w="866"/>
        <w:gridCol w:w="618"/>
        <w:gridCol w:w="618"/>
        <w:gridCol w:w="2103"/>
        <w:gridCol w:w="1361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R²adj</w:t>
            </w:r>
          </w:p>
        </w:tc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RMSPE% in-sample</w:t>
            </w:r>
          </w:p>
        </w:tc>
        <w:tc>
          <w:tcPr/>
          <w:p>
            <w:pPr>
              <w:pStyle w:val="Compact"/>
            </w:pPr>
            <w:r>
              <w:t xml:space="preserve">Woj./obs.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Polska (OLS)</w:t>
            </w:r>
          </w:p>
        </w:tc>
        <w:tc>
          <w:tcPr/>
          <w:p>
            <w:pPr>
              <w:pStyle w:val="Compact"/>
            </w:pPr>
            <w:r>
              <w:t xml:space="preserve">0,6980</w:t>
            </w:r>
          </w:p>
        </w:tc>
        <w:tc>
          <w:tcPr/>
          <w:p>
            <w:pPr>
              <w:pStyle w:val="Compact"/>
            </w:pPr>
            <w:r>
              <w:t xml:space="preserve">0,6416</w:t>
            </w:r>
          </w:p>
        </w:tc>
        <w:tc>
          <w:tcPr/>
          <w:p>
            <w:pPr>
              <w:pStyle w:val="Compact"/>
            </w:pPr>
            <w:r>
              <w:t xml:space="preserve">−68,3</w:t>
            </w:r>
          </w:p>
        </w:tc>
        <w:tc>
          <w:tcPr/>
          <w:p>
            <w:pPr>
              <w:pStyle w:val="Compact"/>
            </w:pPr>
            <w:r>
              <w:t xml:space="preserve">−64,3</w:t>
            </w:r>
          </w:p>
        </w:tc>
        <w:tc>
          <w:tcPr/>
          <w:p>
            <w:pPr>
              <w:pStyle w:val="Compact"/>
            </w:pPr>
            <w:r>
              <w:t xml:space="preserve">3,71%</w:t>
            </w:r>
          </w:p>
        </w:tc>
        <w:tc>
          <w:tcPr/>
          <w:p>
            <w:pPr>
              <w:pStyle w:val="Compact"/>
            </w:pPr>
            <w:r>
              <w:t xml:space="preserve">20 obs</w:t>
            </w:r>
          </w:p>
        </w:tc>
        <w:tc>
          <w:tcPr/>
          <w:p>
            <w:pPr>
              <w:pStyle w:val="Compact"/>
            </w:pPr>
            <w:r>
              <w:t xml:space="preserve">OK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FE Woj. (panel)</w:t>
            </w:r>
          </w:p>
        </w:tc>
        <w:tc>
          <w:tcPr/>
          <w:p>
            <w:pPr>
              <w:pStyle w:val="Compact"/>
            </w:pPr>
            <w:r>
              <w:t xml:space="preserve">0,9953</w:t>
            </w:r>
          </w:p>
        </w:tc>
        <w:tc>
          <w:tcPr/>
          <w:p>
            <w:pPr>
              <w:pStyle w:val="Compact"/>
            </w:pPr>
            <w:r>
              <w:t xml:space="preserve">0,9950</w:t>
            </w:r>
          </w:p>
        </w:tc>
        <w:tc>
          <w:tcPr/>
          <w:p>
            <w:pPr>
              <w:pStyle w:val="Compact"/>
            </w:pPr>
            <w:r>
              <w:t xml:space="preserve">−1 084</w:t>
            </w:r>
          </w:p>
        </w:tc>
        <w:tc>
          <w:tcPr/>
          <w:p>
            <w:pPr>
              <w:pStyle w:val="Compact"/>
            </w:pPr>
            <w:r>
              <w:t xml:space="preserve">−1 002</w:t>
            </w:r>
          </w:p>
        </w:tc>
        <w:tc>
          <w:tcPr/>
          <w:p>
            <w:pPr>
              <w:pStyle w:val="Compact"/>
            </w:pPr>
            <w:r>
              <w:t xml:space="preserve">3,87%</w:t>
            </w:r>
          </w:p>
        </w:tc>
        <w:tc>
          <w:tcPr/>
          <w:p>
            <w:pPr>
              <w:pStyle w:val="Compact"/>
            </w:pPr>
            <w:r>
              <w:t xml:space="preserve">14/16 woj.</w:t>
            </w:r>
          </w:p>
        </w:tc>
        <w:tc>
          <w:tcPr/>
          <w:p>
            <w:pPr>
              <w:pStyle w:val="Compact"/>
            </w:pPr>
            <w:r>
              <w:t xml:space="preserve">OK 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X62f6eaf62523f3f4a4eb8443d7dfbe31f70d145"/>
    <w:p>
      <w:pPr>
        <w:pStyle w:val="Heading2"/>
      </w:pPr>
      <w:r>
        <w:t xml:space="preserve">4. Prognozy zmiennych objaśniających (Zadanie 4)</w:t>
      </w:r>
    </w:p>
    <w:p>
      <w:pPr>
        <w:pStyle w:val="FirstParagraph"/>
      </w:pPr>
      <w:r>
        <w:t xml:space="preserve">Zmienne objaśniające na rok 2024 prognozowano</w:t>
      </w:r>
      <w:r>
        <w:t xml:space="preserve"> </w:t>
      </w:r>
      <w:r>
        <w:rPr>
          <w:b/>
          <w:bCs/>
        </w:rPr>
        <w:t xml:space="preserve">5 metodami</w:t>
      </w:r>
      <w:r>
        <w:t xml:space="preserve">, wybierając najlepszą na podstawie RMSPE% obliczonego na</w:t>
      </w:r>
      <w:r>
        <w:t xml:space="preserve"> </w:t>
      </w:r>
      <w:r>
        <w:rPr>
          <w:b/>
          <w:bCs/>
        </w:rPr>
        <w:t xml:space="preserve">wartościach dopasowanych do pełnej próby uczącej 2004–2023</w:t>
      </w:r>
      <w:r>
        <w:t xml:space="preserve">.</w:t>
      </w:r>
    </w:p>
    <w:bookmarkStart w:id="18" w:name="zastosowane-metody-prognozowania"/>
    <w:p>
      <w:pPr>
        <w:pStyle w:val="Heading3"/>
      </w:pPr>
      <w:r>
        <w:t xml:space="preserve">4.1 Zastosowane metody prognozowania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Metoda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OLS_lin</w:t>
            </w:r>
          </w:p>
        </w:tc>
        <w:tc>
          <w:tcPr/>
          <w:p>
            <w:pPr>
              <w:pStyle w:val="Compact"/>
            </w:pPr>
            <w:r>
              <w:t xml:space="preserve">Regresja liniowa OLS</w:t>
            </w:r>
          </w:p>
        </w:tc>
        <w:tc>
          <w:tcPr/>
          <w:p>
            <w:pPr>
              <w:pStyle w:val="Compact"/>
            </w:pPr>
            <w:r>
              <w:t xml:space="preserve">Trend liniowy w czasie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OLS_kw</w:t>
            </w:r>
          </w:p>
        </w:tc>
        <w:tc>
          <w:tcPr/>
          <w:p>
            <w:pPr>
              <w:pStyle w:val="Compact"/>
            </w:pPr>
            <w:r>
              <w:t xml:space="preserve">Regresja kwadratowa OLS</w:t>
            </w:r>
          </w:p>
        </w:tc>
        <w:tc>
          <w:tcPr/>
          <w:p>
            <w:pPr>
              <w:pStyle w:val="Compact"/>
            </w:pPr>
            <w:r>
              <w:t xml:space="preserve">Trend paraboliczny w czasie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ARIMA</w:t>
            </w:r>
          </w:p>
        </w:tc>
        <w:tc>
          <w:tcPr/>
          <w:p>
            <w:pPr>
              <w:pStyle w:val="Compact"/>
            </w:pPr>
            <w:r>
              <w:t xml:space="preserve">Auto-ARIMA</w:t>
            </w:r>
          </w:p>
        </w:tc>
        <w:tc>
          <w:tcPr/>
          <w:p>
            <w:pPr>
              <w:pStyle w:val="Compact"/>
            </w:pPr>
            <w:r>
              <w:t xml:space="preserve">Auto-dobór p,d,q (pmdarima)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Holt</w:t>
            </w:r>
          </w:p>
        </w:tc>
        <w:tc>
          <w:tcPr/>
          <w:p>
            <w:pPr>
              <w:pStyle w:val="Compact"/>
            </w:pPr>
            <w:r>
              <w:t xml:space="preserve">Wygładzanie wykładnicze Holta</w:t>
            </w:r>
          </w:p>
        </w:tc>
        <w:tc>
          <w:tcPr/>
          <w:p>
            <w:pPr>
              <w:pStyle w:val="Compact"/>
            </w:pPr>
            <w:r>
              <w:t xml:space="preserve">SimpleExpSmoothing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Pawl</w:t>
            </w:r>
          </w:p>
        </w:tc>
        <w:tc>
          <w:tcPr/>
          <w:p>
            <w:pPr>
              <w:pStyle w:val="Compact"/>
            </w:pPr>
            <w:r>
              <w:t xml:space="preserve">Metoda Pawłowskiego</w:t>
            </w:r>
          </w:p>
        </w:tc>
        <w:tc>
          <w:tcPr/>
          <w:p>
            <w:pPr>
              <w:pStyle w:val="Compact"/>
            </w:pPr>
            <w:r>
              <w:t xml:space="preserve">WLS z wagami rosnącymi liniowo</w:t>
            </w:r>
          </w:p>
        </w:tc>
      </w:tr>
    </w:tbl>
    <w:bookmarkEnd w:id="18"/>
    <w:bookmarkStart w:id="19" w:name="wyniki-model-polska-3-zmienne"/>
    <w:p>
      <w:pPr>
        <w:pStyle w:val="Heading3"/>
      </w:pPr>
      <w:r>
        <w:t xml:space="preserve">4.2 Wyniki – Model Polska (3 zmienne)</w:t>
      </w:r>
    </w:p>
    <w:p>
      <w:pPr>
        <w:pStyle w:val="FirstParagraph"/>
      </w:pPr>
      <w:r>
        <w:t xml:space="preserve">RMSPE% in-sample 2004–2023 dla każdej metody (* = najlepsza):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Metoda</w:t>
            </w:r>
          </w:p>
        </w:tc>
        <w:tc>
          <w:tcPr/>
          <w:p>
            <w:pPr>
              <w:pStyle w:val="Compact"/>
            </w:pPr>
            <w:r>
              <w:t xml:space="preserve">PKB per capita</w:t>
            </w:r>
          </w:p>
        </w:tc>
        <w:tc>
          <w:tcPr/>
          <w:p>
            <w:pPr>
              <w:pStyle w:val="Compact"/>
            </w:pPr>
            <w:r>
              <w:t xml:space="preserve">Cena energii</w:t>
            </w:r>
          </w:p>
        </w:tc>
        <w:tc>
          <w:tcPr/>
          <w:p>
            <w:pPr>
              <w:pStyle w:val="Compact"/>
            </w:pPr>
            <w:r>
              <w:t xml:space="preserve">HDD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OLS_lin</w:t>
            </w:r>
          </w:p>
        </w:tc>
        <w:tc>
          <w:tcPr/>
          <w:p>
            <w:pPr>
              <w:pStyle w:val="Compact"/>
            </w:pPr>
            <w:r>
              <w:t xml:space="preserve">9,62%</w:t>
            </w:r>
          </w:p>
        </w:tc>
        <w:tc>
          <w:tcPr/>
          <w:p>
            <w:pPr>
              <w:pStyle w:val="Compact"/>
            </w:pPr>
            <w:r>
              <w:t xml:space="preserve">8,38%</w:t>
            </w:r>
          </w:p>
        </w:tc>
        <w:tc>
          <w:tcPr/>
          <w:p>
            <w:pPr>
              <w:pStyle w:val="Compact"/>
            </w:pPr>
            <w:r>
              <w:t xml:space="preserve">5,76%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OLS_kw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7,09%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8,08%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5,76%</w:t>
            </w: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ARIMA</w:t>
            </w:r>
          </w:p>
        </w:tc>
        <w:tc>
          <w:tcPr/>
          <w:p>
            <w:pPr>
              <w:pStyle w:val="Compact"/>
            </w:pPr>
            <w:r>
              <w:t xml:space="preserve">28,17%</w:t>
            </w:r>
          </w:p>
        </w:tc>
        <w:tc>
          <w:tcPr/>
          <w:p>
            <w:pPr>
              <w:pStyle w:val="Compact"/>
            </w:pPr>
            <w:r>
              <w:t xml:space="preserve">21,72%</w:t>
            </w:r>
          </w:p>
        </w:tc>
        <w:tc>
          <w:tcPr/>
          <w:p>
            <w:pPr>
              <w:pStyle w:val="Compact"/>
            </w:pPr>
            <w:r>
              <w:t xml:space="preserve">23,19%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Holt</w:t>
            </w:r>
          </w:p>
        </w:tc>
        <w:tc>
          <w:tcPr/>
          <w:p>
            <w:pPr>
              <w:pStyle w:val="Compact"/>
            </w:pPr>
            <w:r>
              <w:t xml:space="preserve">7,14%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6,80%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6,95%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Pawl</w:t>
            </w:r>
          </w:p>
        </w:tc>
        <w:tc>
          <w:tcPr/>
          <w:p>
            <w:pPr>
              <w:pStyle w:val="Compact"/>
            </w:pPr>
            <w:r>
              <w:t xml:space="preserve">17,51%</w:t>
            </w:r>
          </w:p>
        </w:tc>
        <w:tc>
          <w:tcPr/>
          <w:p>
            <w:pPr>
              <w:pStyle w:val="Compact"/>
            </w:pPr>
            <w:r>
              <w:t xml:space="preserve">8,58%</w:t>
            </w:r>
          </w:p>
        </w:tc>
        <w:tc>
          <w:tcPr/>
          <w:p>
            <w:pPr>
              <w:pStyle w:val="Compact"/>
            </w:pPr>
            <w:r>
              <w:t xml:space="preserve">5,79%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Zmienna</w:t>
            </w:r>
          </w:p>
        </w:tc>
        <w:tc>
          <w:tcPr/>
          <w:p>
            <w:pPr>
              <w:pStyle w:val="Compact"/>
            </w:pPr>
            <w:r>
              <w:t xml:space="preserve">Najlepsza metoda</w:t>
            </w:r>
          </w:p>
        </w:tc>
        <w:tc>
          <w:tcPr/>
          <w:p>
            <w:pPr>
              <w:pStyle w:val="Compact"/>
            </w:pPr>
            <w:r>
              <w:t xml:space="preserve">RMSPE%</w:t>
            </w:r>
          </w:p>
        </w:tc>
        <w:tc>
          <w:tcPr/>
          <w:p>
            <w:pPr>
              <w:pStyle w:val="Compact"/>
            </w:pPr>
            <w:r>
              <w:t xml:space="preserve">FC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PKB per capita [PLN/os]</w:t>
            </w:r>
          </w:p>
        </w:tc>
        <w:tc>
          <w:tcPr/>
          <w:p>
            <w:pPr>
              <w:pStyle w:val="Compact"/>
            </w:pPr>
            <w:r>
              <w:t xml:space="preserve">OLS_kw</w:t>
            </w:r>
          </w:p>
        </w:tc>
        <w:tc>
          <w:tcPr/>
          <w:p>
            <w:pPr>
              <w:pStyle w:val="Compact"/>
            </w:pPr>
            <w:r>
              <w:t xml:space="preserve">7,09% ✓</w:t>
            </w:r>
          </w:p>
        </w:tc>
        <w:tc>
          <w:tcPr/>
          <w:p>
            <w:pPr>
              <w:pStyle w:val="Compact"/>
            </w:pPr>
            <w:r>
              <w:t xml:space="preserve">89 289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Cena energii [PLN/kWh]</w:t>
            </w:r>
          </w:p>
        </w:tc>
        <w:tc>
          <w:tcPr/>
          <w:p>
            <w:pPr>
              <w:pStyle w:val="Compact"/>
            </w:pPr>
            <w:r>
              <w:t xml:space="preserve">Holt</w:t>
            </w:r>
          </w:p>
        </w:tc>
        <w:tc>
          <w:tcPr/>
          <w:p>
            <w:pPr>
              <w:pStyle w:val="Compact"/>
            </w:pPr>
            <w:r>
              <w:t xml:space="preserve">6,80% ✓</w:t>
            </w:r>
          </w:p>
        </w:tc>
        <w:tc>
          <w:tcPr/>
          <w:p>
            <w:pPr>
              <w:pStyle w:val="Compact"/>
            </w:pPr>
            <w:r>
              <w:t xml:space="preserve">0,910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HDD [°C·dzień]</w:t>
            </w:r>
          </w:p>
        </w:tc>
        <w:tc>
          <w:tcPr/>
          <w:p>
            <w:pPr>
              <w:pStyle w:val="Compact"/>
            </w:pPr>
            <w:r>
              <w:t xml:space="preserve">OLS_kw</w:t>
            </w:r>
          </w:p>
        </w:tc>
        <w:tc>
          <w:tcPr/>
          <w:p>
            <w:pPr>
              <w:pStyle w:val="Compact"/>
            </w:pPr>
            <w:r>
              <w:t xml:space="preserve">5,76% ✓</w:t>
            </w:r>
          </w:p>
        </w:tc>
        <w:tc>
          <w:tcPr/>
          <w:p>
            <w:pPr>
              <w:pStyle w:val="Compact"/>
            </w:pPr>
            <w:r>
              <w:t xml:space="preserve">3 031</w:t>
            </w:r>
          </w:p>
        </w:tc>
      </w:tr>
    </w:tbl>
    <w:p>
      <w:pPr>
        <w:pStyle w:val="BodyText"/>
      </w:pPr>
      <w:r>
        <w:rPr>
          <w:b/>
          <w:bCs/>
        </w:rPr>
        <w:t xml:space="preserve">Pełne miary jakości prognoz zmiennych X – najlepsza metoda, in-sample 2004–2023: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Miara</w:t>
            </w:r>
          </w:p>
        </w:tc>
        <w:tc>
          <w:tcPr/>
          <w:p>
            <w:pPr>
              <w:pStyle w:val="Compact"/>
            </w:pPr>
            <w:r>
              <w:t xml:space="preserve">PKB per capita (OLS_kw)</w:t>
            </w:r>
          </w:p>
        </w:tc>
        <w:tc>
          <w:tcPr/>
          <w:p>
            <w:pPr>
              <w:pStyle w:val="Compact"/>
            </w:pPr>
            <w:r>
              <w:t xml:space="preserve">Cena energii (Holt)</w:t>
            </w:r>
          </w:p>
        </w:tc>
        <w:tc>
          <w:tcPr/>
          <w:p>
            <w:pPr>
              <w:pStyle w:val="Compact"/>
            </w:pPr>
            <w:r>
              <w:t xml:space="preserve">HDD (OLS_kw)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−0,00</w:t>
            </w:r>
          </w:p>
        </w:tc>
        <w:tc>
          <w:tcPr/>
          <w:p>
            <w:pPr>
              <w:pStyle w:val="Compact"/>
            </w:pPr>
            <w:r>
              <w:t xml:space="preserve">0,03</w:t>
            </w:r>
          </w:p>
        </w:tc>
        <w:tc>
          <w:tcPr/>
          <w:p>
            <w:pPr>
              <w:pStyle w:val="Compact"/>
            </w:pPr>
            <w:r>
              <w:t xml:space="preserve">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MPE%</w:t>
            </w:r>
          </w:p>
        </w:tc>
        <w:tc>
          <w:tcPr/>
          <w:p>
            <w:pPr>
              <w:pStyle w:val="Compact"/>
            </w:pPr>
            <w:r>
              <w:t xml:space="preserve">−0,34%</w:t>
            </w:r>
          </w:p>
        </w:tc>
        <w:tc>
          <w:tcPr/>
          <w:p>
            <w:pPr>
              <w:pStyle w:val="Compact"/>
            </w:pPr>
            <w:r>
              <w:t xml:space="preserve">3,74%</w:t>
            </w:r>
          </w:p>
        </w:tc>
        <w:tc>
          <w:tcPr/>
          <w:p>
            <w:pPr>
              <w:pStyle w:val="Compact"/>
            </w:pPr>
            <w:r>
              <w:t xml:space="preserve">−0,34%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2 865,63</w:t>
            </w:r>
          </w:p>
        </w:tc>
        <w:tc>
          <w:tcPr/>
          <w:p>
            <w:pPr>
              <w:pStyle w:val="Compact"/>
            </w:pPr>
            <w:r>
              <w:t xml:space="preserve">0,04</w:t>
            </w:r>
          </w:p>
        </w:tc>
        <w:tc>
          <w:tcPr/>
          <w:p>
            <w:pPr>
              <w:pStyle w:val="Compact"/>
            </w:pPr>
            <w:r>
              <w:t xml:space="preserve">152,21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MAPE%</w:t>
            </w:r>
          </w:p>
        </w:tc>
        <w:tc>
          <w:tcPr/>
          <w:p>
            <w:pPr>
              <w:pStyle w:val="Compact"/>
            </w:pPr>
            <w:r>
              <w:t xml:space="preserve">6,24%</w:t>
            </w:r>
          </w:p>
        </w:tc>
        <w:tc>
          <w:tcPr/>
          <w:p>
            <w:pPr>
              <w:pStyle w:val="Compact"/>
            </w:pPr>
            <w:r>
              <w:t xml:space="preserve">5,53%</w:t>
            </w:r>
          </w:p>
        </w:tc>
        <w:tc>
          <w:tcPr/>
          <w:p>
            <w:pPr>
              <w:pStyle w:val="Compact"/>
            </w:pPr>
            <w:r>
              <w:t xml:space="preserve">4,56%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3 309,68</w:t>
            </w:r>
          </w:p>
        </w:tc>
        <w:tc>
          <w:tcPr/>
          <w:p>
            <w:pPr>
              <w:pStyle w:val="Compact"/>
            </w:pPr>
            <w:r>
              <w:t xml:space="preserve">0,05</w:t>
            </w:r>
          </w:p>
        </w:tc>
        <w:tc>
          <w:tcPr/>
          <w:p>
            <w:pPr>
              <w:pStyle w:val="Compact"/>
            </w:pPr>
            <w:r>
              <w:t xml:space="preserve">198,13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RMSPE%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7,09%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TheilU</w:t>
            </w:r>
          </w:p>
        </w:tc>
        <w:tc>
          <w:tcPr/>
          <w:p>
            <w:pPr>
              <w:pStyle w:val="Compact"/>
            </w:pPr>
            <w:r>
              <w:t xml:space="preserve">0,0325</w:t>
            </w:r>
          </w:p>
        </w:tc>
        <w:tc>
          <w:tcPr/>
          <w:p>
            <w:pPr>
              <w:pStyle w:val="Compact"/>
            </w:pPr>
            <w:r>
              <w:t xml:space="preserve">0,0392</w:t>
            </w:r>
          </w:p>
        </w:tc>
        <w:tc>
          <w:tcPr/>
          <w:p>
            <w:pPr>
              <w:pStyle w:val="Compact"/>
            </w:pPr>
            <w:r>
              <w:t xml:space="preserve">0,0299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  <w:tc>
          <w:tcPr/>
          <w:p>
            <w:pPr>
              <w:pStyle w:val="Compact"/>
            </w:pPr>
            <w:r>
              <w:t xml:space="preserve">0,2729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0,0090</w:t>
            </w:r>
          </w:p>
        </w:tc>
        <w:tc>
          <w:tcPr/>
          <w:p>
            <w:pPr>
              <w:pStyle w:val="Compact"/>
            </w:pPr>
            <w:r>
              <w:t xml:space="preserve">0,0773</w:t>
            </w:r>
          </w:p>
        </w:tc>
        <w:tc>
          <w:tcPr/>
          <w:p>
            <w:pPr>
              <w:pStyle w:val="Compact"/>
            </w:pPr>
            <w:r>
              <w:t xml:space="preserve">0,2855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0,9910</w:t>
            </w:r>
          </w:p>
        </w:tc>
        <w:tc>
          <w:tcPr/>
          <w:p>
            <w:pPr>
              <w:pStyle w:val="Compact"/>
            </w:pPr>
            <w:r>
              <w:t xml:space="preserve">0,6497</w:t>
            </w:r>
          </w:p>
        </w:tc>
        <w:tc>
          <w:tcPr/>
          <w:p>
            <w:pPr>
              <w:pStyle w:val="Compact"/>
            </w:pPr>
            <w:r>
              <w:t xml:space="preserve">0,7145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Interpretacja:</w:t>
      </w:r>
      <w:r>
        <w:t xml:space="preserve"> </w:t>
      </w:r>
      <w:r>
        <w:t xml:space="preserve">Wszystkie trzy prognozy spełniają kryterium RMSPE% ≤ 10%. TheilU bliski 0 świadczy o dobrej jakości. Składowe:</w:t>
      </w:r>
      <w:r>
        <w:t xml:space="preserve"> </w:t>
      </w:r>
      <w:r>
        <w:rPr>
          <w:b/>
          <w:bCs/>
        </w:rPr>
        <w:t xml:space="preserve">UM</w:t>
      </w:r>
      <w:r>
        <w:t xml:space="preserve"> </w:t>
      </w:r>
      <w:r>
        <w:t xml:space="preserve">= udział obciążenia (bias) – PKB i HDD ≈ 0 (brak systematycznego błędu), CENA = 0,27 (umiarkowane obciążenie);</w:t>
      </w:r>
      <w:r>
        <w:t xml:space="preserve"> </w:t>
      </w:r>
      <w:r>
        <w:rPr>
          <w:b/>
          <w:bCs/>
        </w:rPr>
        <w:t xml:space="preserve">UV</w:t>
      </w:r>
      <w:r>
        <w:t xml:space="preserve"> </w:t>
      </w:r>
      <w:r>
        <w:t xml:space="preserve">= niedopasowanie wahań;</w:t>
      </w:r>
      <w:r>
        <w:t xml:space="preserve"> </w:t>
      </w:r>
      <w:r>
        <w:rPr>
          <w:b/>
          <w:bCs/>
        </w:rPr>
        <w:t xml:space="preserve">UC</w:t>
      </w:r>
      <w:r>
        <w:t xml:space="preserve"> </w:t>
      </w:r>
      <w:r>
        <w:t xml:space="preserve">= zgodność kierunku – PKB i CENA dominuje UC (≥ 0,65), co oznacza dobrą odpowiedź na kierunek zmian.</w:t>
      </w:r>
    </w:p>
    <w:bookmarkEnd w:id="19"/>
    <w:bookmarkStart w:id="20" w:name="X998f572e9c3a59dab817bc7a1fb3c160bc49d02"/>
    <w:p>
      <w:pPr>
        <w:pStyle w:val="Heading3"/>
      </w:pPr>
      <w:r>
        <w:t xml:space="preserve">4.3 Analiza trafności prognoz X (prognoza 2024 vs rzeczywiste 2024)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8"/>
        <w:gridCol w:w="905"/>
        <w:gridCol w:w="1584"/>
        <w:gridCol w:w="1923"/>
        <w:gridCol w:w="1244"/>
        <w:gridCol w:w="12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Zmienna</w:t>
            </w:r>
          </w:p>
        </w:tc>
        <w:tc>
          <w:tcPr/>
          <w:p>
            <w:pPr>
              <w:pStyle w:val="Compact"/>
            </w:pPr>
            <w:r>
              <w:t xml:space="preserve">Metoda</w:t>
            </w:r>
          </w:p>
        </w:tc>
        <w:tc>
          <w:tcPr/>
          <w:p>
            <w:pPr>
              <w:pStyle w:val="Compact"/>
            </w:pPr>
            <w:r>
              <w:t xml:space="preserve">Prognoza 2024</w:t>
            </w:r>
          </w:p>
        </w:tc>
        <w:tc>
          <w:tcPr/>
          <w:p>
            <w:pPr>
              <w:pStyle w:val="Compact"/>
            </w:pPr>
            <w:r>
              <w:t xml:space="preserve">Rzeczywiste 2024</w:t>
            </w:r>
          </w:p>
        </w:tc>
        <w:tc>
          <w:tcPr/>
          <w:p>
            <w:pPr>
              <w:pStyle w:val="Compact"/>
            </w:pPr>
            <w:r>
              <w:t xml:space="preserve">Błąd abs.</w:t>
            </w:r>
          </w:p>
        </w:tc>
        <w:tc>
          <w:tcPr/>
          <w:p>
            <w:pPr>
              <w:pStyle w:val="Compact"/>
            </w:pPr>
            <w:r>
              <w:t xml:space="preserve">Błąd wzgl.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PKB per capita [PLN/os]</w:t>
            </w:r>
          </w:p>
        </w:tc>
        <w:tc>
          <w:tcPr/>
          <w:p>
            <w:pPr>
              <w:pStyle w:val="Compact"/>
            </w:pPr>
            <w:r>
              <w:t xml:space="preserve">OLS_kw</w:t>
            </w:r>
          </w:p>
        </w:tc>
        <w:tc>
          <w:tcPr/>
          <w:p>
            <w:pPr>
              <w:pStyle w:val="Compact"/>
            </w:pPr>
            <w:r>
              <w:t xml:space="preserve">89 289</w:t>
            </w:r>
          </w:p>
        </w:tc>
        <w:tc>
          <w:tcPr/>
          <w:p>
            <w:pPr>
              <w:pStyle w:val="Compact"/>
            </w:pPr>
            <w:r>
              <w:t xml:space="preserve">97 453</w:t>
            </w:r>
          </w:p>
        </w:tc>
        <w:tc>
          <w:tcPr/>
          <w:p>
            <w:pPr>
              <w:pStyle w:val="Compact"/>
            </w:pPr>
            <w:r>
              <w:t xml:space="preserve">−8 164</w:t>
            </w:r>
          </w:p>
        </w:tc>
        <w:tc>
          <w:tcPr/>
          <w:p>
            <w:pPr>
              <w:pStyle w:val="Compact"/>
            </w:pPr>
            <w:r>
              <w:t xml:space="preserve">−8,38%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Cena energii [PLN/kWh]</w:t>
            </w:r>
          </w:p>
        </w:tc>
        <w:tc>
          <w:tcPr/>
          <w:p>
            <w:pPr>
              <w:pStyle w:val="Compact"/>
            </w:pPr>
            <w:r>
              <w:t xml:space="preserve">Holt</w:t>
            </w:r>
          </w:p>
        </w:tc>
        <w:tc>
          <w:tcPr/>
          <w:p>
            <w:pPr>
              <w:pStyle w:val="Compact"/>
            </w:pPr>
            <w:r>
              <w:t xml:space="preserve">0,910</w:t>
            </w:r>
          </w:p>
        </w:tc>
        <w:tc>
          <w:tcPr/>
          <w:p>
            <w:pPr>
              <w:pStyle w:val="Compact"/>
            </w:pPr>
            <w:r>
              <w:t xml:space="preserve">1,010</w:t>
            </w:r>
          </w:p>
        </w:tc>
        <w:tc>
          <w:tcPr/>
          <w:p>
            <w:pPr>
              <w:pStyle w:val="Compact"/>
            </w:pPr>
            <w:r>
              <w:t xml:space="preserve">−0,100</w:t>
            </w:r>
          </w:p>
        </w:tc>
        <w:tc>
          <w:tcPr/>
          <w:p>
            <w:pPr>
              <w:pStyle w:val="Compact"/>
            </w:pPr>
            <w:r>
              <w:t xml:space="preserve">−9,90%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HDD [°C·dzień]</w:t>
            </w:r>
          </w:p>
        </w:tc>
        <w:tc>
          <w:tcPr/>
          <w:p>
            <w:pPr>
              <w:pStyle w:val="Compact"/>
            </w:pPr>
            <w:r>
              <w:t xml:space="preserve">OLS_kw</w:t>
            </w:r>
          </w:p>
        </w:tc>
        <w:tc>
          <w:tcPr/>
          <w:p>
            <w:pPr>
              <w:pStyle w:val="Compact"/>
            </w:pPr>
            <w:r>
              <w:t xml:space="preserve">3 031</w:t>
            </w:r>
          </w:p>
        </w:tc>
        <w:tc>
          <w:tcPr/>
          <w:p>
            <w:pPr>
              <w:pStyle w:val="Compact"/>
            </w:pPr>
            <w:r>
              <w:t xml:space="preserve">2 738</w:t>
            </w:r>
          </w:p>
        </w:tc>
        <w:tc>
          <w:tcPr/>
          <w:p>
            <w:pPr>
              <w:pStyle w:val="Compact"/>
            </w:pPr>
            <w:r>
              <w:t xml:space="preserve">+294</w:t>
            </w:r>
          </w:p>
        </w:tc>
        <w:tc>
          <w:tcPr/>
          <w:p>
            <w:pPr>
              <w:pStyle w:val="Compact"/>
            </w:pPr>
            <w:r>
              <w:t xml:space="preserve">+10,74%</w:t>
            </w:r>
          </w:p>
        </w:tc>
      </w:tr>
    </w:tbl>
    <w:p>
      <w:pPr>
        <w:pStyle w:val="BlockText"/>
      </w:pPr>
      <w:r>
        <w:t xml:space="preserve">Wszystkie trzy zmienne prognozowane są z błędem poniżej 11%. Prognozy PKB i Ceny są niedoszacowane – model nie uchwycił w pełni dalszego wzrostu PKB oraz utrzymania wysokich cen energii w 2024 roku. HDD jest przeszacowane (przewidziano zimniejszy rok niż był w rzeczywistości).</w:t>
      </w:r>
    </w:p>
    <w:bookmarkEnd w:id="20"/>
    <w:bookmarkStart w:id="21" w:name="wyniki-model-fe-województwa-6-zmiennych"/>
    <w:p>
      <w:pPr>
        <w:pStyle w:val="Heading3"/>
      </w:pPr>
      <w:r>
        <w:t xml:space="preserve">4.4 Wyniki – Model FE województwa (6 zmiennych)</w:t>
      </w:r>
    </w:p>
    <w:p>
      <w:pPr>
        <w:pStyle w:val="FirstParagraph"/>
      </w:pPr>
      <w:r>
        <w:t xml:space="preserve">Mediana RMSPE% po 16 województwach na próbie uczącej 2004–2023: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Zmienna</w:t>
            </w:r>
          </w:p>
        </w:tc>
        <w:tc>
          <w:tcPr/>
          <w:p>
            <w:pPr>
              <w:pStyle w:val="Compact"/>
            </w:pPr>
            <w:r>
              <w:t xml:space="preserve">Mediana RMSPE%</w:t>
            </w:r>
          </w:p>
        </w:tc>
        <w:tc>
          <w:tcPr/>
          <w:p>
            <w:pPr>
              <w:pStyle w:val="Compact"/>
            </w:pPr>
            <w:r>
              <w:t xml:space="preserve">Woj. ≤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Dochód na osobę [PLN]</w:t>
            </w:r>
          </w:p>
        </w:tc>
        <w:tc>
          <w:tcPr/>
          <w:p>
            <w:pPr>
              <w:pStyle w:val="Compact"/>
            </w:pPr>
            <w:r>
              <w:t xml:space="preserve">6,78% ✓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Cena energii [PLN/kWh]</w:t>
            </w:r>
          </w:p>
        </w:tc>
        <w:tc>
          <w:tcPr/>
          <w:p>
            <w:pPr>
              <w:pStyle w:val="Compact"/>
            </w:pPr>
            <w:r>
              <w:t xml:space="preserve">6,92% ✓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Urbanizacja [%]</w:t>
            </w:r>
          </w:p>
        </w:tc>
        <w:tc>
          <w:tcPr/>
          <w:p>
            <w:pPr>
              <w:pStyle w:val="Compact"/>
            </w:pPr>
            <w:r>
              <w:t xml:space="preserve">0,14% ✓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osób w gosp.</w:t>
            </w:r>
          </w:p>
        </w:tc>
        <w:tc>
          <w:tcPr/>
          <w:p>
            <w:pPr>
              <w:pStyle w:val="Compact"/>
            </w:pPr>
            <w:r>
              <w:t xml:space="preserve">1,75% ✓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Pow. mieszk. na os. [m²]</w:t>
            </w:r>
          </w:p>
        </w:tc>
        <w:tc>
          <w:tcPr/>
          <w:p>
            <w:pPr>
              <w:pStyle w:val="Compact"/>
            </w:pPr>
            <w:r>
              <w:t xml:space="preserve">0,87% ✓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HDD [°C·dzień]</w:t>
            </w:r>
          </w:p>
        </w:tc>
        <w:tc>
          <w:tcPr/>
          <w:p>
            <w:pPr>
              <w:pStyle w:val="Compact"/>
            </w:pPr>
            <w:r>
              <w:t xml:space="preserve">5,90% ✓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</w:tr>
    </w:tbl>
    <w:p>
      <w:pPr>
        <w:pStyle w:val="BlockText"/>
      </w:pPr>
      <w:r>
        <w:t xml:space="preserve">Wszystkie 6 zmiennych i wszystkie 16 województw spełniają kryterium RMSPE% ≤ 10%. Zmienne strukturalne (urbanizacja, liczba osób, pow. mieszk.) prognozują się z minimalnym błędem dzięki ich wolnozmiennej naturze.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prognoza-warunkowa-zadanie-5"/>
    <w:p>
      <w:pPr>
        <w:pStyle w:val="Heading2"/>
      </w:pPr>
      <w:r>
        <w:t xml:space="preserve">5. Prognoza warunkowa (Zadanie 5)</w:t>
      </w:r>
    </w:p>
    <w:bookmarkStart w:id="23" w:name="metodologia"/>
    <w:p>
      <w:pPr>
        <w:pStyle w:val="Heading3"/>
      </w:pPr>
      <w:r>
        <w:t xml:space="preserve">5.1 Metodologia</w:t>
      </w:r>
    </w:p>
    <w:p>
      <w:pPr>
        <w:pStyle w:val="FirstParagraph"/>
      </w:pPr>
      <w:r>
        <w:t xml:space="preserve">Prognozę warunkową zużycia energii na rok</w:t>
      </w:r>
      <w:r>
        <w:t xml:space="preserve"> </w:t>
      </w:r>
      <w:r>
        <w:rPr>
          <w:b/>
          <w:bCs/>
        </w:rPr>
        <w:t xml:space="preserve">2024</w:t>
      </w:r>
      <w:r>
        <w:t xml:space="preserve"> </w:t>
      </w:r>
      <w:r>
        <w:t xml:space="preserve">wyznaczono w dwóch krokach: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Prognoza zmiennych X</w:t>
      </w:r>
      <w:r>
        <w:t xml:space="preserve"> </w:t>
      </w:r>
      <w:r>
        <w:t xml:space="preserve">(Zadanie 4) → wartości oczekiwane na 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Podstawienie prognozowanych X</w:t>
      </w:r>
      <w:r>
        <w:t xml:space="preserve"> </w:t>
      </w:r>
      <w:r>
        <w:t xml:space="preserve">do modelu ekonometrycznego (Zadanie 3):</w:t>
      </w:r>
    </w:p>
    <w:p>
      <w:pPr>
        <w:pStyle w:val="Compact"/>
        <w:numPr>
          <w:ilvl w:val="1"/>
          <w:numId w:val="1002"/>
        </w:numPr>
      </w:pPr>
      <w:r>
        <w:t xml:space="preserve">Model Polska:</w:t>
      </w:r>
      <w:r>
        <w:t xml:space="preserve"> </w:t>
      </w:r>
      <w:r>
        <w:rPr>
          <w:rStyle w:val="VerbatimChar"/>
        </w:rPr>
        <w:t xml:space="preserve">ŷ₂₀₂₄ = exp(β̂₀ + β̂₁·ln(x̂₁) + β̂₂·ln(x̂₂) + β̂₃·x̂₃)</w:t>
      </w:r>
    </w:p>
    <w:p>
      <w:pPr>
        <w:pStyle w:val="Compact"/>
        <w:numPr>
          <w:ilvl w:val="1"/>
          <w:numId w:val="1002"/>
        </w:numPr>
      </w:pPr>
      <w:r>
        <w:t xml:space="preserve">Model FE: dla każdego województwa z osobna, następnie agregacja do sumy krajowej</w:t>
      </w:r>
    </w:p>
    <w:p>
      <w:pPr>
        <w:pStyle w:val="FirstParagraph"/>
      </w:pPr>
      <w:r>
        <w:t xml:space="preserve">Przedziały ufności obliczono metodą analityczną: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SE</m:t>
              </m:r>
            </m:e>
            <m:sub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e>
          </m:rad>
        </m:oMath>
      </m:oMathPara>
    </w:p>
    <w:bookmarkEnd w:id="23"/>
    <w:bookmarkStart w:id="24" w:name="wyniki-model-polska"/>
    <w:p>
      <w:pPr>
        <w:pStyle w:val="Heading3"/>
      </w:pPr>
      <w:r>
        <w:t xml:space="preserve">5.2 Wyniki – Model Polska</w:t>
      </w:r>
    </w:p>
    <w:p>
      <w:pPr>
        <w:pStyle w:val="FirstParagraph"/>
      </w:pPr>
      <w:r>
        <w:rPr>
          <w:b/>
          <w:bCs/>
        </w:rPr>
        <w:t xml:space="preserve">Prognoza ex-ante 2024:</w:t>
      </w:r>
      <w:r>
        <w:t xml:space="preserve"> </w:t>
      </w:r>
      <w:r>
        <w:rPr>
          <w:b/>
          <w:bCs/>
        </w:rPr>
        <w:t xml:space="preserve">31 193 GWh</w:t>
      </w:r>
      <w:r>
        <w:t xml:space="preserve">, 95% CI: [29 836 – 32 612 GWh]</w:t>
      </w:r>
    </w:p>
    <w:p>
      <w:pPr>
        <w:pStyle w:val="BodyText"/>
      </w:pPr>
      <w:r>
        <w:rPr>
          <w:b/>
          <w:bCs/>
        </w:rPr>
        <w:t xml:space="preserve">Miary jakości dopasowania modelu Polska (in-sample 2004–2023):</w:t>
      </w:r>
    </w:p>
    <w:p>
      <w:pPr>
        <w:pStyle w:val="Compact"/>
        <w:numPr>
          <w:ilvl w:val="0"/>
          <w:numId w:val="1003"/>
        </w:numPr>
      </w:pPr>
      <w:r>
        <w:t xml:space="preserve">RMSPE% in-sample =</w:t>
      </w:r>
      <w:r>
        <w:t xml:space="preserve"> </w:t>
      </w:r>
      <w:r>
        <w:rPr>
          <w:b/>
          <w:bCs/>
        </w:rPr>
        <w:t xml:space="preserve">3,71%</w:t>
      </w:r>
      <w:r>
        <w:t xml:space="preserve"> </w:t>
      </w:r>
      <w:r>
        <w:t xml:space="preserve">✓ (kryterium ≤ 10% spełnione)</w:t>
      </w:r>
    </w:p>
    <w:p>
      <w:pPr>
        <w:pStyle w:val="Compact"/>
        <w:numPr>
          <w:ilvl w:val="0"/>
          <w:numId w:val="1003"/>
        </w:numPr>
      </w:pPr>
      <w:r>
        <w:t xml:space="preserve">MAPE% in-sample = 2,50%</w:t>
      </w:r>
    </w:p>
    <w:p>
      <w:pPr>
        <w:pStyle w:val="Compact"/>
        <w:numPr>
          <w:ilvl w:val="0"/>
          <w:numId w:val="1003"/>
        </w:numPr>
      </w:pPr>
      <w:r>
        <w:t xml:space="preserve">R² = 0,698</w:t>
      </w:r>
    </w:p>
    <w:p>
      <w:pPr>
        <w:pStyle w:val="BlockText"/>
      </w:pPr>
      <w:r>
        <w:t xml:space="preserve">Szczegółowe miary jakości prognoz zmiennych objaśniających (ME, MPE%, MAE, MAPE%, RMSE, RMSPE%, TheilU, UM, UV, UC) zawarte są w sekcji 4.2.</w:t>
      </w:r>
    </w:p>
    <w:bookmarkEnd w:id="24"/>
    <w:bookmarkStart w:id="25" w:name="wyniki-model-fe-agregacja-16-województw"/>
    <w:p>
      <w:pPr>
        <w:pStyle w:val="Heading3"/>
      </w:pPr>
      <w:r>
        <w:t xml:space="preserve">5.3 Wyniki – Model FE (agregacja 16 województw)</w:t>
      </w:r>
    </w:p>
    <w:p>
      <w:pPr>
        <w:pStyle w:val="FirstParagraph"/>
      </w:pPr>
      <w:r>
        <w:rPr>
          <w:b/>
          <w:bCs/>
        </w:rPr>
        <w:t xml:space="preserve">Prognoza ex-ante 2024 (suma): 30 248 GWh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Województwo</w:t>
            </w:r>
          </w:p>
        </w:tc>
        <w:tc>
          <w:tcPr/>
          <w:p>
            <w:pPr>
              <w:pStyle w:val="Compact"/>
            </w:pPr>
            <w:r>
              <w:t xml:space="preserve">RMSPE%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FC 2024 [GWh]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Dolnośląskie</w:t>
            </w:r>
          </w:p>
        </w:tc>
        <w:tc>
          <w:tcPr/>
          <w:p>
            <w:pPr>
              <w:pStyle w:val="Compact"/>
            </w:pPr>
            <w:r>
              <w:t xml:space="preserve">6,9%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2 277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Kujawsko-pomorskie</w:t>
            </w:r>
          </w:p>
        </w:tc>
        <w:tc>
          <w:tcPr/>
          <w:p>
            <w:pPr>
              <w:pStyle w:val="Compact"/>
            </w:pPr>
            <w:r>
              <w:t xml:space="preserve">8,0%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1 600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Lubelskie</w:t>
            </w:r>
          </w:p>
        </w:tc>
        <w:tc>
          <w:tcPr/>
          <w:p>
            <w:pPr>
              <w:pStyle w:val="Compact"/>
            </w:pPr>
            <w:r>
              <w:t xml:space="preserve">16,2%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1 460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Lubuskie</w:t>
            </w:r>
          </w:p>
        </w:tc>
        <w:tc>
          <w:tcPr/>
          <w:p>
            <w:pPr>
              <w:pStyle w:val="Compact"/>
            </w:pPr>
            <w:r>
              <w:t xml:space="preserve">5,3%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794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Mazowieckie</w:t>
            </w:r>
          </w:p>
        </w:tc>
        <w:tc>
          <w:tcPr/>
          <w:p>
            <w:pPr>
              <w:pStyle w:val="Compact"/>
            </w:pPr>
            <w:r>
              <w:t xml:space="preserve">2,3%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4 922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Małopolskie</w:t>
            </w:r>
          </w:p>
        </w:tc>
        <w:tc>
          <w:tcPr/>
          <w:p>
            <w:pPr>
              <w:pStyle w:val="Compact"/>
            </w:pPr>
            <w:r>
              <w:t xml:space="preserve">5,7%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2 844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Opolskie</w:t>
            </w:r>
          </w:p>
        </w:tc>
        <w:tc>
          <w:tcPr/>
          <w:p>
            <w:pPr>
              <w:pStyle w:val="Compact"/>
            </w:pPr>
            <w:r>
              <w:t xml:space="preserve">6,8%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826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Podkarpackie</w:t>
            </w:r>
          </w:p>
        </w:tc>
        <w:tc>
          <w:tcPr/>
          <w:p>
            <w:pPr>
              <w:pStyle w:val="Compact"/>
            </w:pPr>
            <w:r>
              <w:t xml:space="preserve">13,1%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1 244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Podlaskie</w:t>
            </w:r>
          </w:p>
        </w:tc>
        <w:tc>
          <w:tcPr/>
          <w:p>
            <w:pPr>
              <w:pStyle w:val="Compact"/>
            </w:pPr>
            <w:r>
              <w:t xml:space="preserve">7,9%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Pomorskie</w:t>
            </w:r>
          </w:p>
        </w:tc>
        <w:tc>
          <w:tcPr/>
          <w:p>
            <w:pPr>
              <w:pStyle w:val="Compact"/>
            </w:pPr>
            <w:r>
              <w:t xml:space="preserve">3,5%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1 772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Warmińsko-mazurskie</w:t>
            </w:r>
          </w:p>
        </w:tc>
        <w:tc>
          <w:tcPr/>
          <w:p>
            <w:pPr>
              <w:pStyle w:val="Compact"/>
            </w:pPr>
            <w:r>
              <w:t xml:space="preserve">8,1%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1 039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Wielkopolskie</w:t>
            </w:r>
          </w:p>
        </w:tc>
        <w:tc>
          <w:tcPr/>
          <w:p>
            <w:pPr>
              <w:pStyle w:val="Compact"/>
            </w:pPr>
            <w:r>
              <w:t xml:space="preserve">1,4%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2 724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Zachodniopomorskie</w:t>
            </w:r>
          </w:p>
        </w:tc>
        <w:tc>
          <w:tcPr/>
          <w:p>
            <w:pPr>
              <w:pStyle w:val="Compact"/>
            </w:pPr>
            <w:r>
              <w:t xml:space="preserve">4,0%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1 234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Łódzkie</w:t>
            </w:r>
          </w:p>
        </w:tc>
        <w:tc>
          <w:tcPr/>
          <w:p>
            <w:pPr>
              <w:pStyle w:val="Compact"/>
            </w:pPr>
            <w:r>
              <w:t xml:space="preserve">5,7%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2 010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Śląskie</w:t>
            </w:r>
          </w:p>
        </w:tc>
        <w:tc>
          <w:tcPr/>
          <w:p>
            <w:pPr>
              <w:pStyle w:val="Compact"/>
            </w:pPr>
            <w:r>
              <w:t xml:space="preserve">9,0%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3 783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Świętokrzyskie</w:t>
            </w:r>
          </w:p>
        </w:tc>
        <w:tc>
          <w:tcPr/>
          <w:p>
            <w:pPr>
              <w:pStyle w:val="Compact"/>
            </w:pPr>
            <w:r>
              <w:t xml:space="preserve">7,6%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782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med. 6,80%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14/16 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30 248</w:t>
            </w:r>
          </w:p>
        </w:tc>
      </w:tr>
    </w:tbl>
    <w:p>
      <w:pPr>
        <w:pStyle w:val="BlockText"/>
      </w:pPr>
      <w:r>
        <w:t xml:space="preserve">Lubelskie (16,2%) i Podkarpackie (13,1%) przekraczają kryterium 10% – oba województwa charakteryzują się dużą zmiennością struktury zużycia energii w badanym okresie.</w:t>
      </w:r>
    </w:p>
    <w:bookmarkEnd w:id="25"/>
    <w:bookmarkStart w:id="26" w:name="X1641ee3bc9c8fb16dccb48e2897347c75527465"/>
    <w:p>
      <w:pPr>
        <w:pStyle w:val="Heading3"/>
      </w:pPr>
      <w:r>
        <w:t xml:space="preserve">5.4 Analiza trafności ex-ante – prognoza Y 2024 vs rzeczywiste 2024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2"/>
        <w:gridCol w:w="1779"/>
        <w:gridCol w:w="2046"/>
        <w:gridCol w:w="1512"/>
        <w:gridCol w:w="1423"/>
        <w:gridCol w:w="5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Prognoza 2024 [GWh]</w:t>
            </w:r>
          </w:p>
        </w:tc>
        <w:tc>
          <w:tcPr/>
          <w:p>
            <w:pPr>
              <w:pStyle w:val="Compact"/>
            </w:pPr>
            <w:r>
              <w:t xml:space="preserve">Rzeczywiste 2024 [GWh]</w:t>
            </w:r>
          </w:p>
        </w:tc>
        <w:tc>
          <w:tcPr/>
          <w:p>
            <w:pPr>
              <w:pStyle w:val="Compact"/>
            </w:pPr>
            <w:r>
              <w:t xml:space="preserve">Błąd abs. [GWh]</w:t>
            </w:r>
          </w:p>
        </w:tc>
        <w:tc>
          <w:tcPr/>
          <w:p>
            <w:pPr>
              <w:pStyle w:val="Compact"/>
            </w:pPr>
            <w:r>
              <w:t xml:space="preserve">Błąd wzgl. [%]</w:t>
            </w:r>
          </w:p>
        </w:tc>
        <w:tc>
          <w:tcPr/>
          <w:p>
            <w:pPr>
              <w:pStyle w:val="Compact"/>
            </w:pPr>
            <w:r>
              <w:t xml:space="preserve">≤5%?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Polska (OLS)</w:t>
            </w:r>
          </w:p>
        </w:tc>
        <w:tc>
          <w:tcPr/>
          <w:p>
            <w:pPr>
              <w:pStyle w:val="Compact"/>
            </w:pPr>
            <w:r>
              <w:t xml:space="preserve">31 193</w:t>
            </w:r>
          </w:p>
        </w:tc>
        <w:tc>
          <w:tcPr/>
          <w:p>
            <w:pPr>
              <w:pStyle w:val="Compact"/>
            </w:pPr>
            <w:r>
              <w:t xml:space="preserve">32 661</w:t>
            </w:r>
          </w:p>
        </w:tc>
        <w:tc>
          <w:tcPr/>
          <w:p>
            <w:pPr>
              <w:pStyle w:val="Compact"/>
            </w:pPr>
            <w:r>
              <w:t xml:space="preserve">−1 468</w:t>
            </w:r>
          </w:p>
        </w:tc>
        <w:tc>
          <w:tcPr/>
          <w:p>
            <w:pPr>
              <w:pStyle w:val="Compact"/>
            </w:pPr>
            <w:r>
              <w:t xml:space="preserve">−4,49%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FE (województwa)</w:t>
            </w:r>
          </w:p>
        </w:tc>
        <w:tc>
          <w:tcPr/>
          <w:p>
            <w:pPr>
              <w:pStyle w:val="Compact"/>
            </w:pPr>
            <w:r>
              <w:t xml:space="preserve">30 248</w:t>
            </w:r>
          </w:p>
        </w:tc>
        <w:tc>
          <w:tcPr/>
          <w:p>
            <w:pPr>
              <w:pStyle w:val="Compact"/>
            </w:pPr>
            <w:r>
              <w:t xml:space="preserve">32 661</w:t>
            </w:r>
          </w:p>
        </w:tc>
        <w:tc>
          <w:tcPr/>
          <w:p>
            <w:pPr>
              <w:pStyle w:val="Compact"/>
            </w:pPr>
            <w:r>
              <w:t xml:space="preserve">−2 413</w:t>
            </w:r>
          </w:p>
        </w:tc>
        <w:tc>
          <w:tcPr/>
          <w:p>
            <w:pPr>
              <w:pStyle w:val="Compact"/>
            </w:pPr>
            <w:r>
              <w:t xml:space="preserve">−7,39%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</w:tbl>
    <w:p>
      <w:pPr>
        <w:pStyle w:val="BlockText"/>
      </w:pPr>
      <w:r>
        <w:t xml:space="preserve">Oba modele niedoszacowują zużycia energii w 2024 roku, co wynika z wyższego wzrostu PKB i utrzymania wysokich cen energii niż zakładały prognozy. Model Polska spełnia kryterium ≤ 5% błędu względnego (−4,49%), model FE nie spełnia (−7,39%).</w:t>
      </w:r>
    </w:p>
    <w:bookmarkEnd w:id="26"/>
    <w:bookmarkStart w:id="27" w:name="porównanie-obu-modeli"/>
    <w:p>
      <w:pPr>
        <w:pStyle w:val="Heading3"/>
      </w:pPr>
      <w:r>
        <w:t xml:space="preserve">5.5 Porównanie obu modeli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Miara</w:t>
            </w:r>
          </w:p>
        </w:tc>
        <w:tc>
          <w:tcPr/>
          <w:p>
            <w:pPr>
              <w:pStyle w:val="Compact"/>
            </w:pPr>
            <w:r>
              <w:t xml:space="preserve">Model Polska</w:t>
            </w:r>
          </w:p>
        </w:tc>
        <w:tc>
          <w:tcPr/>
          <w:p>
            <w:pPr>
              <w:pStyle w:val="Compact"/>
            </w:pPr>
            <w:r>
              <w:t xml:space="preserve">Model FE Woj.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 (train 2004–2023)</w:t>
            </w:r>
          </w:p>
        </w:tc>
        <w:tc>
          <w:tcPr/>
          <w:p>
            <w:pPr>
              <w:pStyle w:val="Compact"/>
            </w:pPr>
            <w:r>
              <w:t xml:space="preserve">0,6980</w:t>
            </w:r>
          </w:p>
        </w:tc>
        <w:tc>
          <w:tcPr/>
          <w:p>
            <w:pPr>
              <w:pStyle w:val="Compact"/>
            </w:pPr>
            <w:r>
              <w:t xml:space="preserve">0,9953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RMSPE% in-sample</w:t>
            </w:r>
          </w:p>
        </w:tc>
        <w:tc>
          <w:tcPr/>
          <w:p>
            <w:pPr>
              <w:pStyle w:val="Compact"/>
            </w:pPr>
            <w:r>
              <w:t xml:space="preserve">3,71% ✓</w:t>
            </w:r>
          </w:p>
        </w:tc>
        <w:tc>
          <w:tcPr/>
          <w:p>
            <w:pPr>
              <w:pStyle w:val="Compact"/>
            </w:pPr>
            <w:r>
              <w:t xml:space="preserve">3,87%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 2024 [GWh]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31 193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Różnica FC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−945 GWh (−3,0%)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Błąd wzgl. vs rzecz. 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−4,49% ✓</w:t>
            </w:r>
          </w:p>
        </w:tc>
        <w:tc>
          <w:tcPr/>
          <w:p>
            <w:pPr>
              <w:pStyle w:val="Compact"/>
            </w:pPr>
            <w:r>
              <w:t xml:space="preserve">−7,39% 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Woj. ≤ 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14/16</w:t>
            </w:r>
          </w:p>
        </w:tc>
      </w:tr>
    </w:tbl>
    <w:p>
      <w:pPr>
        <w:pStyle w:val="BodyText"/>
      </w:pPr>
      <w:r>
        <w:t xml:space="preserve">Oba modele spełniają kryterium RMSPE% ≤ 10% na próbie uczącej. Model Polska lepiej trafił prognozę 2024 (błąd −4,49%), natomiast model FE dostarcza dodatkowej informacji na poziomie regionalnym (16 województw).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wnioski"/>
    <w:p>
      <w:pPr>
        <w:pStyle w:val="Heading2"/>
      </w:pPr>
      <w:r>
        <w:t xml:space="preserve">6. Wnioski</w:t>
      </w:r>
    </w:p>
    <w:bookmarkStart w:id="29" w:name="prognoza-na-2024-rok"/>
    <w:p>
      <w:pPr>
        <w:pStyle w:val="Heading3"/>
      </w:pPr>
      <w:r>
        <w:t xml:space="preserve">6.1 Prognoza na 2024 rok</w:t>
      </w:r>
    </w:p>
    <w:p>
      <w:pPr>
        <w:pStyle w:val="FirstParagraph"/>
      </w:pPr>
      <w:r>
        <w:t xml:space="preserve">Zużycie energii elektrycznej w Polsce w roku 2024 prognozowane było na: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31 193 GWh</w:t>
      </w:r>
      <w:r>
        <w:t xml:space="preserve"> </w:t>
      </w:r>
      <w:r>
        <w:t xml:space="preserve">(Model Polska OLS, 95% CI: 29 836–32 612 GWh)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30 248 GWh</w:t>
      </w:r>
      <w:r>
        <w:t xml:space="preserve"> </w:t>
      </w:r>
      <w:r>
        <w:t xml:space="preserve">(Model FE – agregacja województw)</w:t>
      </w:r>
    </w:p>
    <w:p>
      <w:pPr>
        <w:pStyle w:val="BodyText"/>
      </w:pPr>
      <w:r>
        <w:t xml:space="preserve">Wartość rzeczywista wyniosła</w:t>
      </w:r>
      <w:r>
        <w:t xml:space="preserve"> </w:t>
      </w:r>
      <w:r>
        <w:rPr>
          <w:b/>
          <w:bCs/>
        </w:rPr>
        <w:t xml:space="preserve">32 661 GWh</w:t>
      </w:r>
      <w:r>
        <w:t xml:space="preserve">. Oba modele niedoszacowały zużycia energii: Model Polska o 4,49% (błąd mieści się w kryterium ≤ 5%), Model FE o 7,39%.</w:t>
      </w:r>
    </w:p>
    <w:bookmarkEnd w:id="29"/>
    <w:bookmarkStart w:id="30" w:name="kluczowe-czynniki-wzrostu"/>
    <w:p>
      <w:pPr>
        <w:pStyle w:val="Heading3"/>
      </w:pPr>
      <w:r>
        <w:t xml:space="preserve">6.2 Kluczowe czynniki wzrostu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Wzrost PKB per capita</w:t>
      </w:r>
      <w:r>
        <w:t xml:space="preserve"> </w:t>
      </w:r>
      <w:r>
        <w:t xml:space="preserve">– główny czynnik długoterminowego wzrostu; elastyczność dochodowa β₁ = 0,08 (model Polska)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Ceny energii</w:t>
      </w:r>
      <w:r>
        <w:t xml:space="preserve"> </w:t>
      </w:r>
      <w:r>
        <w:t xml:space="preserve">– wyższe ceny mogą hamować konsumpcję (β₂ = 0,14); sygnał osłabiony multikoliniowością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Warunki klimatyczne (HDD)</w:t>
      </w:r>
      <w:r>
        <w:t xml:space="preserve"> </w:t>
      </w:r>
      <w:r>
        <w:t xml:space="preserve">– silniejsze zimy zwiększają zużycie energii grzewczej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Dochód rozporządzalny (model FE)</w:t>
      </w:r>
      <w:r>
        <w:t xml:space="preserve"> </w:t>
      </w:r>
      <w:r>
        <w:t xml:space="preserve">– elastyczność dochodowa β = 0,23, istotna statystycznie (p &lt; 0,001)</w:t>
      </w:r>
    </w:p>
    <w:bookmarkEnd w:id="30"/>
    <w:bookmarkStart w:id="31" w:name="ograniczenia-modeli"/>
    <w:p>
      <w:pPr>
        <w:pStyle w:val="Heading3"/>
      </w:pPr>
      <w:r>
        <w:t xml:space="preserve">6.3 Ograniczenia modeli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Krótki szereg czasowy</w:t>
      </w:r>
      <w:r>
        <w:t xml:space="preserve"> </w:t>
      </w:r>
      <w:r>
        <w:t xml:space="preserve">(n=20) ogranicza precyzję estymacji i moc testów diagnostycznych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Kryzys cen energii 2022–2023</w:t>
      </w:r>
      <w:r>
        <w:t xml:space="preserve"> </w:t>
      </w:r>
      <w:r>
        <w:t xml:space="preserve">– bezprecedensowy wzrost cen jest trudny do uchwycenia przez modele trendu; błąd prognozy ceny wynosi −9,90%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Multikoliniowość</w:t>
      </w:r>
      <w:r>
        <w:t xml:space="preserve"> </w:t>
      </w:r>
      <w:r>
        <w:t xml:space="preserve">– PKB i CENA wykazują silne trendy (VIF ≈ 8–10), co utrudnia izolację ich wpływów, choć nie wpływa negatywnie na RMSPE%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Autokorelacja reszt</w:t>
      </w:r>
      <w:r>
        <w:t xml:space="preserve"> </w:t>
      </w:r>
      <w:r>
        <w:t xml:space="preserve">– charakterystyczna dla rocznych szeregów makroekonomicznych; nie korygowana, gdyż nie jest wymagana kursowo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Efekty strukturalne</w:t>
      </w:r>
      <w:r>
        <w:t xml:space="preserve"> </w:t>
      </w:r>
      <w:r>
        <w:t xml:space="preserve">– transformacja energetyczna i odnawialne źródła energii mogą zmieniać zależności strukturalne w kolejnych latach</w:t>
      </w:r>
    </w:p>
    <w:bookmarkEnd w:id="31"/>
    <w:bookmarkStart w:id="32" w:name="ocena-modeli-według-kryterium-rmspe-10"/>
    <w:p>
      <w:pPr>
        <w:pStyle w:val="Heading3"/>
      </w:pPr>
      <w:r>
        <w:t xml:space="preserve">6.4 Ocena modeli według kryterium RMSPE% ≤ 10%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6"/>
        <w:gridCol w:w="3588"/>
        <w:gridCol w:w="2475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RMSPE% in-sample (2004–2023)</w:t>
            </w:r>
          </w:p>
        </w:tc>
        <w:tc>
          <w:tcPr/>
          <w:p>
            <w:pPr>
              <w:pStyle w:val="Compact"/>
            </w:pPr>
            <w:r>
              <w:t xml:space="preserve">Błąd ex-ante 2024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Polska (OLS log-liniowy)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3,71%</w:t>
            </w:r>
          </w:p>
        </w:tc>
        <w:tc>
          <w:tcPr/>
          <w:p>
            <w:pPr>
              <w:pStyle w:val="Compact"/>
            </w:pPr>
            <w:r>
              <w:t xml:space="preserve">−4,49%</w:t>
            </w:r>
          </w:p>
        </w:tc>
        <w:tc>
          <w:tcPr/>
          <w:p>
            <w:pPr>
              <w:pStyle w:val="Compact"/>
            </w:pPr>
            <w:r>
              <w:t xml:space="preserve">✓ Spełnia kryterium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FE Województwa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3,87%</w:t>
            </w:r>
          </w:p>
        </w:tc>
        <w:tc>
          <w:tcPr/>
          <w:p>
            <w:pPr>
              <w:pStyle w:val="Compact"/>
            </w:pPr>
            <w:r>
              <w:t xml:space="preserve">−7,39%</w:t>
            </w:r>
          </w:p>
        </w:tc>
        <w:tc>
          <w:tcPr/>
          <w:p>
            <w:pPr>
              <w:pStyle w:val="Compact"/>
            </w:pPr>
            <w:r>
              <w:t xml:space="preserve">✓ In-sample / ✗ Trafność 2024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5" w:name="pliki-projektu"/>
    <w:p>
      <w:pPr>
        <w:pStyle w:val="Heading2"/>
      </w:pPr>
      <w:r>
        <w:t xml:space="preserve">7. Pliki projektu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Plik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analiza.py</w:t>
            </w:r>
          </w:p>
        </w:tc>
        <w:tc>
          <w:tcPr/>
          <w:p>
            <w:pPr>
              <w:pStyle w:val="Compact"/>
            </w:pPr>
            <w:r>
              <w:t xml:space="preserve">Główny skrypt analityczny (Zadania 2–5)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_md2docx.py</w:t>
            </w:r>
          </w:p>
        </w:tc>
        <w:tc>
          <w:tcPr/>
          <w:p>
            <w:pPr>
              <w:pStyle w:val="Compact"/>
            </w:pPr>
            <w:r>
              <w:t xml:space="preserve">Konwerter raport.md do raport.docx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uruchom_projekt.bat</w:t>
            </w:r>
          </w:p>
        </w:tc>
        <w:tc>
          <w:tcPr/>
          <w:p>
            <w:pPr>
              <w:pStyle w:val="Compact"/>
            </w:pPr>
            <w:r>
              <w:t xml:space="preserve">Skrypt uruchomieniowy (CLI)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Zuzycie_energii_polska.xlsx</w:t>
            </w:r>
          </w:p>
        </w:tc>
        <w:tc>
          <w:tcPr/>
          <w:p>
            <w:pPr>
              <w:pStyle w:val="Compact"/>
            </w:pPr>
            <w:r>
              <w:t xml:space="preserve">Dane dla modelu Polska (2004–2024)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Zuzycie_energii_wojewodztwa.xlsx</w:t>
            </w:r>
          </w:p>
        </w:tc>
        <w:tc>
          <w:tcPr/>
          <w:p>
            <w:pPr>
              <w:pStyle w:val="Compact"/>
            </w:pPr>
            <w:r>
              <w:t xml:space="preserve">Dane panelowe dla 16 województw (2004–2024)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z2_01..z2_09_*.png</w:t>
            </w:r>
          </w:p>
        </w:tc>
        <w:tc>
          <w:tcPr/>
          <w:p>
            <w:pPr>
              <w:pStyle w:val="Compact"/>
            </w:pPr>
            <w:r>
              <w:t xml:space="preserve">Wykresy EDA (analiza opisowa)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z3_01..z3_07_*.png</w:t>
            </w:r>
          </w:p>
        </w:tc>
        <w:tc>
          <w:tcPr/>
          <w:p>
            <w:pPr>
              <w:pStyle w:val="Compact"/>
            </w:pPr>
            <w:r>
              <w:t xml:space="preserve">Wykresy modeli ekonometrycznych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z4_01..z4_05_*.png</w:t>
            </w:r>
          </w:p>
        </w:tc>
        <w:tc>
          <w:tcPr/>
          <w:p>
            <w:pPr>
              <w:pStyle w:val="Compact"/>
            </w:pPr>
            <w:r>
              <w:t xml:space="preserve">Tabele RMSPE prognoz zmiennych 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z4_09_*.png</w:t>
            </w:r>
          </w:p>
        </w:tc>
        <w:tc>
          <w:tcPr/>
          <w:p>
            <w:pPr>
              <w:pStyle w:val="Compact"/>
            </w:pPr>
            <w:r>
              <w:t xml:space="preserve">Analiza trafności prognoz X (2024 vs rzecz.)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z5_01..z5_06_*.png</w:t>
            </w:r>
          </w:p>
        </w:tc>
        <w:tc>
          <w:tcPr/>
          <w:p>
            <w:pPr>
              <w:pStyle w:val="Compact"/>
            </w:pPr>
            <w:r>
              <w:t xml:space="preserve">Wykresy prognoz warunkowych Y i analiza trafności</w:t>
            </w:r>
          </w:p>
        </w:tc>
      </w:tr>
    </w:tbl>
    <w:bookmarkStart w:id="34" w:name="uruchomienie"/>
    <w:p>
      <w:pPr>
        <w:pStyle w:val="Heading3"/>
      </w:pPr>
      <w:r>
        <w:t xml:space="preserve">Uruchomienie</w:t>
      </w:r>
    </w:p>
    <w:p>
      <w:pPr>
        <w:pStyle w:val="SourceCode"/>
      </w:pPr>
      <w:r>
        <w:rPr>
          <w:rStyle w:val="ExtensionTok"/>
        </w:rPr>
        <w:t xml:space="preserve">py</w:t>
      </w:r>
      <w:r>
        <w:rPr>
          <w:rStyle w:val="NormalTok"/>
        </w:rPr>
        <w:t xml:space="preserve"> analiza.py</w:t>
      </w:r>
      <w:r>
        <w:br/>
      </w:r>
      <w:r>
        <w:rPr>
          <w:rStyle w:val="ExtensionTok"/>
        </w:rPr>
        <w:t xml:space="preserve">py</w:t>
      </w:r>
      <w:r>
        <w:rPr>
          <w:rStyle w:val="NormalTok"/>
        </w:rPr>
        <w:t xml:space="preserve"> _md2docx.py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metodologia-szczegóły-techniczne"/>
    <w:p>
      <w:pPr>
        <w:pStyle w:val="Heading2"/>
      </w:pPr>
      <w:r>
        <w:t xml:space="preserve">8. Metodologia – szczegóły techniczne</w:t>
      </w:r>
    </w:p>
    <w:bookmarkStart w:id="36" w:name="transformacja-logarytmiczna"/>
    <w:p>
      <w:pPr>
        <w:pStyle w:val="Heading3"/>
      </w:pPr>
      <w:r>
        <w:t xml:space="preserve">8.1 Transformacja logarytmiczna</w:t>
      </w:r>
    </w:p>
    <w:p>
      <w:pPr>
        <w:pStyle w:val="FirstParagraph"/>
      </w:pPr>
      <w:r>
        <w:t xml:space="preserve">Obie zmienne objaśniające (PKB_pc, CENA) oraz zmienna objaśniana (ZUZYCIE) poddano transformacji logarytmicznej. Uzasadnienie:</w:t>
      </w:r>
      <w:r>
        <w:t xml:space="preserve"> </w:t>
      </w:r>
      <w:r>
        <w:t xml:space="preserve">- Relacja ekonomiczna między PKB a zużyciem energii ma charakter elastyczności stałej</w:t>
      </w:r>
      <w:r>
        <w:t xml:space="preserve"> </w:t>
      </w:r>
      <w:r>
        <w:t xml:space="preserve">- Logarytmowanie stabilizuje wariancję przy rosnących wartościach szeregów</w:t>
      </w:r>
      <w:r>
        <w:t xml:space="preserve"> </w:t>
      </w:r>
      <w:r>
        <w:t xml:space="preserve">- Współczynniki β₁, β₂ interpretowane są bezpośrednio jako elastyczności</w:t>
      </w:r>
    </w:p>
    <w:p>
      <w:pPr>
        <w:pStyle w:val="BodyText"/>
      </w:pPr>
      <w:r>
        <w:t xml:space="preserve">Prognoza na oryginalnej skali:</w:t>
      </w:r>
      <w:r>
        <w:t xml:space="preserve"> </w:t>
      </w:r>
      <w:r>
        <w:rPr>
          <w:rStyle w:val="VerbatimChar"/>
        </w:rPr>
        <w:t xml:space="preserve">Y_hat = exp(y_hat)</w:t>
      </w:r>
    </w:p>
    <w:bookmarkEnd w:id="36"/>
    <w:bookmarkStart w:id="37" w:name="efekty-stałe-fixed-effects"/>
    <w:p>
      <w:pPr>
        <w:pStyle w:val="Heading3"/>
      </w:pPr>
      <w:r>
        <w:t xml:space="preserve">8.2 Efekty stałe (Fixed Effects)</w:t>
      </w:r>
    </w:p>
    <w:p>
      <w:pPr>
        <w:pStyle w:val="FirstParagraph"/>
      </w:pPr>
      <w:r>
        <w:t xml:space="preserve">Model FE zastosowano zamiast modelu RE (Random Effects) ze względu na:</w:t>
      </w:r>
      <w:r>
        <w:t xml:space="preserve"> </w:t>
      </w:r>
      <w:r>
        <w:t xml:space="preserve">- Wysoce istotny F-test łącznej istotności efektów stałych: F(15, 282) = 2 425,9, p ≈ 0</w:t>
      </w:r>
      <w:r>
        <w:t xml:space="preserve"> </w:t>
      </w:r>
      <w:r>
        <w:t xml:space="preserve">- Korelację nieobserwowalnych efektów indywidualnych z zmiennymi objaśniającymi</w:t>
      </w:r>
    </w:p>
    <w:bookmarkEnd w:id="37"/>
    <w:bookmarkStart w:id="38" w:name="zmienna-opóźniona"/>
    <w:p>
      <w:pPr>
        <w:pStyle w:val="Heading3"/>
      </w:pPr>
      <w:r>
        <w:t xml:space="preserve">8.3 Zmienna opóźniona</w:t>
      </w:r>
    </w:p>
    <w:p>
      <w:pPr>
        <w:pStyle w:val="FirstParagraph"/>
      </w:pPr>
      <w:r>
        <w:t xml:space="preserve">Zmienną</w:t>
      </w:r>
      <w:r>
        <w:t xml:space="preserve"> </w:t>
      </w:r>
      <w:r>
        <w:rPr>
          <w:rStyle w:val="VerbatimChar"/>
        </w:rPr>
        <w:t xml:space="preserve">ln_dochod_os</w:t>
      </w:r>
      <w:r>
        <w:t xml:space="preserve"> </w:t>
      </w:r>
      <w:r>
        <w:t xml:space="preserve">zastosowano z opóźnieniem o jeden rok (</w:t>
      </w:r>
      <w:r>
        <w:rPr>
          <w:rStyle w:val="VerbatimChar"/>
        </w:rPr>
        <w:t xml:space="preserve">lag1</w:t>
      </w:r>
      <w:r>
        <w:t xml:space="preserve">), co:</w:t>
      </w:r>
      <w:r>
        <w:t xml:space="preserve"> </w:t>
      </w:r>
      <w:r>
        <w:t xml:space="preserve">- Eliminuje potencjalną endogeniczność</w:t>
      </w:r>
      <w:r>
        <w:t xml:space="preserve"> </w:t>
      </w:r>
      <w:r>
        <w:t xml:space="preserve">- Modeluje realny mechanizm transmisji: zmiana dochodów wpływa na decyzje energetyczne z opóźnieniem (zakup urządzeń, zmiana standardu mieszkaniowego)</w:t>
      </w:r>
      <w:r>
        <w:t xml:space="preserve"> </w:t>
      </w:r>
      <w:r>
        <w:t xml:space="preserve">- Powoduje wykluczenie roku 2004 ze zbioru uczącego FE (efektywny train: 2005–2023, n=304)</w:t>
      </w:r>
    </w:p>
    <w:bookmarkEnd w:id="38"/>
    <w:bookmarkStart w:id="39" w:name="selekcja-zmiennych-i-metod"/>
    <w:p>
      <w:pPr>
        <w:pStyle w:val="Heading3"/>
      </w:pPr>
      <w:r>
        <w:t xml:space="preserve">8.4 Selekcja zmiennych i metod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CDD</w:t>
      </w:r>
      <w:r>
        <w:t xml:space="preserve"> </w:t>
      </w:r>
      <w:r>
        <w:t xml:space="preserve">usunięte: p &gt; 0,5 – chłodzenie elektryczne ma marginalną rolę w Polsce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Ludność</w:t>
      </w:r>
      <w:r>
        <w:t xml:space="preserve"> </w:t>
      </w:r>
      <w:r>
        <w:t xml:space="preserve">nieuwzględniona jako regressor – silna korelacja z PKB, nie poprawia jakości prognoz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AR1 i AR2</w:t>
      </w:r>
      <w:r>
        <w:t xml:space="preserve"> </w:t>
      </w:r>
      <w:r>
        <w:t xml:space="preserve">usunięte z metod prognozowania – zawierają się w Auto-ARIMA, która automatycznie dobiera optymalny rząd procesu</w:t>
      </w:r>
    </w:p>
    <w:bookmarkEnd w:id="39"/>
    <w:bookmarkStart w:id="40" w:name="miary-jakości-prognoz"/>
    <w:p>
      <w:pPr>
        <w:pStyle w:val="Heading3"/>
      </w:pPr>
      <w:r>
        <w:t xml:space="preserve">8.5 Miary jakości prognoz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Nazwa</w:t>
            </w:r>
          </w:p>
        </w:tc>
        <w:tc>
          <w:tcPr/>
          <w:p>
            <w:pPr>
              <w:pStyle w:val="Compact"/>
            </w:pPr>
            <w:r>
              <w:t xml:space="preserve">Formuła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</w:t>
            </w:r>
          </w:p>
        </w:tc>
        <w:tc>
          <w:tcPr/>
          <w:p>
            <w:pPr>
              <w:pStyle w:val="Compact"/>
            </w:pPr>
            <w:r>
              <w:t xml:space="preserve">Średni błąd</w:t>
            </w:r>
          </w:p>
        </w:tc>
        <w:tc>
          <w:tcPr/>
          <w:p>
            <w:pPr>
              <w:pStyle w:val="Compact"/>
            </w:pPr>
            <w:r>
              <w:t xml:space="preserve">mean(e_t)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MPE%</w:t>
            </w:r>
          </w:p>
        </w:tc>
        <w:tc>
          <w:tcPr/>
          <w:p>
            <w:pPr>
              <w:pStyle w:val="Compact"/>
            </w:pPr>
            <w:r>
              <w:t xml:space="preserve">Średni błąd procentowy</w:t>
            </w:r>
          </w:p>
        </w:tc>
        <w:tc>
          <w:tcPr/>
          <w:p>
            <w:pPr>
              <w:pStyle w:val="Compact"/>
            </w:pPr>
            <w:r>
              <w:t xml:space="preserve">mean(e_t / y_t)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Średni błąd bezwzględny</w:t>
            </w:r>
          </w:p>
        </w:tc>
        <w:tc>
          <w:tcPr/>
          <w:p>
            <w:pPr>
              <w:pStyle w:val="Compact"/>
            </w:pPr>
            <w:r>
              <w:t xml:space="preserve">mean(abs(e_t))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MAPE%</w:t>
            </w:r>
          </w:p>
        </w:tc>
        <w:tc>
          <w:tcPr/>
          <w:p>
            <w:pPr>
              <w:pStyle w:val="Compact"/>
            </w:pPr>
            <w:r>
              <w:t xml:space="preserve">Średni abs. błąd procentowy</w:t>
            </w:r>
          </w:p>
        </w:tc>
        <w:tc>
          <w:tcPr/>
          <w:p>
            <w:pPr>
              <w:pStyle w:val="Compact"/>
            </w:pPr>
            <w:r>
              <w:t xml:space="preserve">mean(abs(e_t / y_t))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Pierwiastek MSE</w:t>
            </w:r>
          </w:p>
        </w:tc>
        <w:tc>
          <w:tcPr/>
          <w:p>
            <w:pPr>
              <w:pStyle w:val="Compact"/>
            </w:pPr>
            <w:r>
              <w:t xml:space="preserve">sqrt(mean(e_t²))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RMSPE%</w:t>
            </w:r>
          </w:p>
        </w:tc>
        <w:tc>
          <w:tcPr/>
          <w:p>
            <w:pPr>
              <w:pStyle w:val="Compact"/>
            </w:pPr>
            <w:r>
              <w:t xml:space="preserve">Pierwiastek MSE procentowy</w:t>
            </w:r>
          </w:p>
        </w:tc>
        <w:tc>
          <w:tcPr/>
          <w:p>
            <w:pPr>
              <w:pStyle w:val="Compact"/>
            </w:pPr>
            <w:r>
              <w:t xml:space="preserve">sqrt(mean((e_t / y_t)²))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TheilU</w:t>
            </w:r>
          </w:p>
        </w:tc>
        <w:tc>
          <w:tcPr/>
          <w:p>
            <w:pPr>
              <w:pStyle w:val="Compact"/>
            </w:pPr>
            <w:r>
              <w:t xml:space="preserve">Statystyka Theila U</w:t>
            </w:r>
          </w:p>
        </w:tc>
        <w:tc>
          <w:tcPr/>
          <w:p>
            <w:pPr>
              <w:pStyle w:val="Compact"/>
            </w:pPr>
            <w:r>
              <w:t xml:space="preserve">sqrt(sum e²) / (sqrt(sum y²) + sqrt(sum ŷ²))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</w:t>
            </w:r>
          </w:p>
        </w:tc>
        <w:tc>
          <w:tcPr/>
          <w:p>
            <w:pPr>
              <w:pStyle w:val="Compact"/>
            </w:pPr>
            <w:r>
              <w:t xml:space="preserve">Obciążoność (bias)</w:t>
            </w:r>
          </w:p>
        </w:tc>
        <w:tc>
          <w:tcPr/>
          <w:p>
            <w:pPr>
              <w:pStyle w:val="Compact"/>
            </w:pPr>
            <w:r>
              <w:t xml:space="preserve">(mean_hat − mean_act)² / 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Niedopasowanie wahań</w:t>
            </w:r>
          </w:p>
        </w:tc>
        <w:tc>
          <w:tcPr/>
          <w:p>
            <w:pPr>
              <w:pStyle w:val="Compact"/>
            </w:pPr>
            <w:r>
              <w:t xml:space="preserve">(sd_hat − sd_act)² / 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</w:t>
            </w:r>
          </w:p>
        </w:tc>
        <w:tc>
          <w:tcPr/>
          <w:p>
            <w:pPr>
              <w:pStyle w:val="Compact"/>
            </w:pPr>
            <w:r>
              <w:t xml:space="preserve">Niedopasowanie kierunku</w:t>
            </w:r>
          </w:p>
        </w:tc>
        <w:tc>
          <w:tcPr/>
          <w:p>
            <w:pPr>
              <w:pStyle w:val="Compact"/>
            </w:pPr>
            <w:r>
              <w:t xml:space="preserve">2(1−r)·sd_act·sd_hat / MSE</w:t>
            </w:r>
          </w:p>
        </w:tc>
      </w:tr>
    </w:tbl>
    <w:p>
      <w:pPr>
        <w:pStyle w:val="BodyText"/>
      </w:pPr>
      <w:r>
        <w:t xml:space="preserve">gdzie e_t = y_t − ŷ_t, oraz UM + UV + UC = 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Projekt zrealizowany w języku Python 3.12. Główne biblioteki: NumPy, Pandas, Statsmodels, Matplotlib, Seaborn, pmdarima.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2026-06-11T17:21:55Z</dcterms:created>
  <dcterms:modified xsi:type="dcterms:W3CDTF">2026-06-11T17:21:55Z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