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0E1CC" w14:textId="77777777" w:rsidR="00410006" w:rsidRPr="007A78D4" w:rsidRDefault="00410006" w:rsidP="005F2992">
      <w:pPr>
        <w:pStyle w:val="Heading2"/>
        <w:spacing w:line="480" w:lineRule="auto"/>
        <w:rPr>
          <w:rFonts w:cs="Times New Roman"/>
          <w:sz w:val="24"/>
          <w:szCs w:val="24"/>
        </w:rPr>
      </w:pPr>
      <w:bookmarkStart w:id="0" w:name="introduction"/>
      <w:r w:rsidRPr="007A78D4">
        <w:rPr>
          <w:rFonts w:cs="Times New Roman"/>
          <w:sz w:val="24"/>
          <w:szCs w:val="24"/>
        </w:rPr>
        <w:t>Introduction</w:t>
      </w:r>
    </w:p>
    <w:p w14:paraId="5FA2F4CC" w14:textId="77777777" w:rsidR="00410006" w:rsidRPr="007A78D4" w:rsidRDefault="00410006" w:rsidP="005F2992">
      <w:pPr>
        <w:pStyle w:val="FirstParagraph"/>
        <w:spacing w:line="480" w:lineRule="auto"/>
        <w:rPr>
          <w:rFonts w:cs="Times New Roman"/>
        </w:rPr>
      </w:pPr>
      <w:r w:rsidRPr="007A78D4">
        <w:rPr>
          <w:rFonts w:cs="Times New Roman"/>
        </w:rPr>
        <w:t>Cognition is defined as the processes by which animals gather, preserve, and use information from their environment through perception, learning, memory, and decision making (</w:t>
      </w:r>
      <w:hyperlink w:anchor="ref-shettleworth">
        <w:r w:rsidRPr="007A78D4">
          <w:rPr>
            <w:rStyle w:val="Hyperlink"/>
            <w:rFonts w:cs="Times New Roman"/>
          </w:rPr>
          <w:t>Shettleworth 2010</w:t>
        </w:r>
      </w:hyperlink>
      <w:r w:rsidRPr="007A78D4">
        <w:rPr>
          <w:rFonts w:cs="Times New Roman"/>
        </w:rPr>
        <w:t>). These cognitive processes underpin several aspects of animals’ ecology such as foraging, mate choice, antipredatory strategies, and/or social behaviours, that are crucial for the survival and reproduction of animals (</w:t>
      </w:r>
      <w:hyperlink w:anchor="ref-dukas_evolutionary_2004">
        <w:r w:rsidRPr="007A78D4">
          <w:rPr>
            <w:rStyle w:val="Hyperlink"/>
            <w:rFonts w:cs="Times New Roman"/>
          </w:rPr>
          <w:t>Dukas 2004</w:t>
        </w:r>
      </w:hyperlink>
      <w:r w:rsidRPr="007A78D4">
        <w:rPr>
          <w:rFonts w:cs="Times New Roman"/>
        </w:rPr>
        <w:t>). Particularly, learning - the acquisition of neuronal representations of new information (</w:t>
      </w:r>
      <w:hyperlink w:anchor="ref-dukas_evolutionary_2004">
        <w:r w:rsidRPr="007A78D4">
          <w:rPr>
            <w:rStyle w:val="Hyperlink"/>
            <w:rFonts w:cs="Times New Roman"/>
          </w:rPr>
          <w:t>Dukas 2004</w:t>
        </w:r>
      </w:hyperlink>
      <w:r w:rsidRPr="007A78D4">
        <w:rPr>
          <w:rFonts w:cs="Times New Roman"/>
        </w:rPr>
        <w:t>) - is seen as fundamental for coping with environmental changes by enabling individuals to create new associations between events (</w:t>
      </w:r>
      <w:hyperlink w:anchor="ref-dukas_evolutionary_2004">
        <w:r w:rsidRPr="007A78D4">
          <w:rPr>
            <w:rStyle w:val="Hyperlink"/>
            <w:rFonts w:cs="Times New Roman"/>
          </w:rPr>
          <w:t>Dukas 2004</w:t>
        </w:r>
      </w:hyperlink>
      <w:r w:rsidRPr="007A78D4">
        <w:rPr>
          <w:rFonts w:cs="Times New Roman"/>
        </w:rPr>
        <w:t xml:space="preserve">; </w:t>
      </w:r>
      <w:hyperlink w:anchor="ref-leal_behavioural_2012">
        <w:r w:rsidRPr="007A78D4">
          <w:rPr>
            <w:rStyle w:val="Hyperlink"/>
            <w:rFonts w:cs="Times New Roman"/>
          </w:rPr>
          <w:t>Leal and Powell 2012</w:t>
        </w:r>
      </w:hyperlink>
      <w:r w:rsidRPr="007A78D4">
        <w:rPr>
          <w:rFonts w:cs="Times New Roman"/>
        </w:rPr>
        <w:t xml:space="preserve">; </w:t>
      </w:r>
      <w:hyperlink w:anchor="ref-buchanan_condition_2013">
        <w:r w:rsidRPr="007A78D4">
          <w:rPr>
            <w:rStyle w:val="Hyperlink"/>
            <w:rFonts w:cs="Times New Roman"/>
          </w:rPr>
          <w:t>Buchanan et al. 2013</w:t>
        </w:r>
      </w:hyperlink>
      <w:r w:rsidRPr="007A78D4">
        <w:rPr>
          <w:rFonts w:cs="Times New Roman"/>
        </w:rPr>
        <w:t>). However, the capacity of individuals to acquire new information exhibits natural variation influenced by factors like age, sex, gut microbiota, or the environment where animals develop (</w:t>
      </w:r>
      <w:hyperlink w:anchor="ref-szuran_water_1994">
        <w:r w:rsidRPr="007A78D4">
          <w:rPr>
            <w:rStyle w:val="Hyperlink"/>
            <w:rFonts w:cs="Times New Roman"/>
          </w:rPr>
          <w:t>Szuran et al. 1994</w:t>
        </w:r>
      </w:hyperlink>
      <w:r w:rsidRPr="007A78D4">
        <w:rPr>
          <w:rFonts w:cs="Times New Roman"/>
        </w:rPr>
        <w:t xml:space="preserve">; </w:t>
      </w:r>
      <w:hyperlink w:anchor="ref-lemaire_prenatal_2000">
        <w:r w:rsidRPr="007A78D4">
          <w:rPr>
            <w:rStyle w:val="Hyperlink"/>
            <w:rFonts w:cs="Times New Roman"/>
          </w:rPr>
          <w:t>Lemaire et al. 2000</w:t>
        </w:r>
      </w:hyperlink>
      <w:r w:rsidRPr="007A78D4">
        <w:rPr>
          <w:rFonts w:cs="Times New Roman"/>
        </w:rPr>
        <w:t xml:space="preserve">; </w:t>
      </w:r>
      <w:hyperlink w:anchor="ref-zhu_prenatal_2004">
        <w:r w:rsidRPr="007A78D4">
          <w:rPr>
            <w:rStyle w:val="Hyperlink"/>
            <w:rFonts w:cs="Times New Roman"/>
          </w:rPr>
          <w:t>Zhu et al. 2004</w:t>
        </w:r>
      </w:hyperlink>
      <w:r w:rsidRPr="007A78D4">
        <w:rPr>
          <w:rFonts w:cs="Times New Roman"/>
        </w:rPr>
        <w:t xml:space="preserve">; </w:t>
      </w:r>
      <w:hyperlink w:anchor="ref-amiel_hotter_2012">
        <w:r w:rsidRPr="007A78D4">
          <w:rPr>
            <w:rStyle w:val="Hyperlink"/>
            <w:rFonts w:cs="Times New Roman"/>
          </w:rPr>
          <w:t>Amiel and Shine 2012</w:t>
        </w:r>
      </w:hyperlink>
      <w:r w:rsidRPr="007A78D4">
        <w:rPr>
          <w:rFonts w:cs="Times New Roman"/>
        </w:rPr>
        <w:t xml:space="preserve">; </w:t>
      </w:r>
      <w:hyperlink w:anchor="ref-amiel_egg_2014">
        <w:r w:rsidRPr="007A78D4">
          <w:rPr>
            <w:rStyle w:val="Hyperlink"/>
            <w:rFonts w:cs="Times New Roman"/>
          </w:rPr>
          <w:t>Amiel et al. 2014</w:t>
        </w:r>
      </w:hyperlink>
      <w:r w:rsidRPr="007A78D4">
        <w:rPr>
          <w:rFonts w:cs="Times New Roman"/>
        </w:rPr>
        <w:t xml:space="preserve">; </w:t>
      </w:r>
      <w:hyperlink w:anchor="ref-carazo_sex_2014">
        <w:r w:rsidRPr="007A78D4">
          <w:rPr>
            <w:rStyle w:val="Hyperlink"/>
            <w:rFonts w:cs="Times New Roman"/>
          </w:rPr>
          <w:t>Carazo et al. 2014</w:t>
        </w:r>
      </w:hyperlink>
      <w:r w:rsidRPr="007A78D4">
        <w:rPr>
          <w:rFonts w:cs="Times New Roman"/>
        </w:rPr>
        <w:t xml:space="preserve">; </w:t>
      </w:r>
      <w:hyperlink w:anchor="ref-noble_age-dependent_2014">
        <w:r w:rsidRPr="007A78D4">
          <w:rPr>
            <w:rStyle w:val="Hyperlink"/>
            <w:rFonts w:cs="Times New Roman"/>
          </w:rPr>
          <w:t>Noble et al. 2014</w:t>
        </w:r>
      </w:hyperlink>
      <w:r w:rsidRPr="007A78D4">
        <w:rPr>
          <w:rFonts w:cs="Times New Roman"/>
        </w:rPr>
        <w:t xml:space="preserve">; </w:t>
      </w:r>
      <w:hyperlink w:anchor="ref-alemohammad_2022_microbiota_learning">
        <w:r w:rsidRPr="007A78D4">
          <w:rPr>
            <w:rStyle w:val="Hyperlink"/>
            <w:rFonts w:cs="Times New Roman"/>
          </w:rPr>
          <w:t>Alemohammad et al. 2022</w:t>
        </w:r>
      </w:hyperlink>
      <w:r w:rsidRPr="007A78D4">
        <w:rPr>
          <w:rFonts w:cs="Times New Roman"/>
        </w:rPr>
        <w:t>). The developmental environment, in particular, plays a pivotal role, as the brain is especially susceptible to environmental influences during early stages of development (</w:t>
      </w:r>
      <w:hyperlink w:anchor="ref-zhu_prenatal_2004">
        <w:r w:rsidRPr="007A78D4">
          <w:rPr>
            <w:rStyle w:val="Hyperlink"/>
            <w:rFonts w:cs="Times New Roman"/>
          </w:rPr>
          <w:t>Zhu et al. 2004</w:t>
        </w:r>
      </w:hyperlink>
      <w:r w:rsidRPr="007A78D4">
        <w:rPr>
          <w:rFonts w:cs="Times New Roman"/>
        </w:rPr>
        <w:t>). Hence, investigating the effects of the developmental environment on learning can be essential to understand the evolution of learning and predict animals’ responses towards environmental change.</w:t>
      </w:r>
      <w:r w:rsidRPr="007A78D4">
        <w:rPr>
          <w:rFonts w:cs="Times New Roman"/>
        </w:rPr>
        <w:br/>
        <w:t xml:space="preserve">In this sense, prenatal Glucocorticoids (GCs) and prenatal thermal environment are known to play a prominent role in shaping learning abilities in different taxa (see </w:t>
      </w:r>
      <w:hyperlink w:anchor="ref-lemaire_prenatal_2000">
        <w:r w:rsidRPr="007A78D4">
          <w:rPr>
            <w:rStyle w:val="Hyperlink"/>
            <w:rFonts w:cs="Times New Roman"/>
          </w:rPr>
          <w:t>Lemaire et al. 2000</w:t>
        </w:r>
      </w:hyperlink>
      <w:r w:rsidRPr="007A78D4">
        <w:rPr>
          <w:rFonts w:cs="Times New Roman"/>
        </w:rPr>
        <w:t xml:space="preserve">; </w:t>
      </w:r>
      <w:hyperlink w:anchor="ref-zhu_prenatal_2004">
        <w:r w:rsidRPr="007A78D4">
          <w:rPr>
            <w:rStyle w:val="Hyperlink"/>
            <w:rFonts w:cs="Times New Roman"/>
          </w:rPr>
          <w:t>Zhu et al. 2004</w:t>
        </w:r>
      </w:hyperlink>
      <w:r w:rsidRPr="007A78D4">
        <w:rPr>
          <w:rFonts w:cs="Times New Roman"/>
        </w:rPr>
        <w:t xml:space="preserve">; </w:t>
      </w:r>
      <w:hyperlink w:anchor="ref-amiel_hotter_2012">
        <w:r w:rsidRPr="007A78D4">
          <w:rPr>
            <w:rStyle w:val="Hyperlink"/>
            <w:rFonts w:cs="Times New Roman"/>
          </w:rPr>
          <w:t>Amiel and Shine 2012</w:t>
        </w:r>
      </w:hyperlink>
      <w:r w:rsidRPr="007A78D4">
        <w:rPr>
          <w:rFonts w:cs="Times New Roman"/>
        </w:rPr>
        <w:t xml:space="preserve">; </w:t>
      </w:r>
      <w:hyperlink w:anchor="ref-crino_corticosterone_2014">
        <w:r w:rsidRPr="007A78D4">
          <w:rPr>
            <w:rStyle w:val="Hyperlink"/>
            <w:rFonts w:cs="Times New Roman"/>
          </w:rPr>
          <w:t>Crino et al. 2014a</w:t>
        </w:r>
      </w:hyperlink>
      <w:r w:rsidRPr="007A78D4">
        <w:rPr>
          <w:rFonts w:cs="Times New Roman"/>
        </w:rPr>
        <w:t xml:space="preserve">; </w:t>
      </w:r>
      <w:hyperlink w:anchor="ref-amiel_egg_2014">
        <w:r w:rsidRPr="007A78D4">
          <w:rPr>
            <w:rStyle w:val="Hyperlink"/>
            <w:rFonts w:cs="Times New Roman"/>
          </w:rPr>
          <w:t>Amiel et al. 2014</w:t>
        </w:r>
      </w:hyperlink>
      <w:r w:rsidRPr="007A78D4">
        <w:rPr>
          <w:rFonts w:cs="Times New Roman"/>
        </w:rPr>
        <w:t xml:space="preserve">; </w:t>
      </w:r>
      <w:hyperlink w:anchor="ref-abayarathna_effects_2020">
        <w:r w:rsidRPr="007A78D4">
          <w:rPr>
            <w:rStyle w:val="Hyperlink"/>
            <w:rFonts w:cs="Times New Roman"/>
          </w:rPr>
          <w:t>Abayarathna and Webb 2020</w:t>
        </w:r>
      </w:hyperlink>
      <w:r w:rsidRPr="007A78D4">
        <w:rPr>
          <w:rFonts w:cs="Times New Roman"/>
        </w:rPr>
        <w:t>). GCs - hormones related to organisms’ response to stress (</w:t>
      </w:r>
      <w:hyperlink w:anchor="ref-sapolsky_how_2000">
        <w:r w:rsidRPr="007A78D4">
          <w:rPr>
            <w:rStyle w:val="Hyperlink"/>
            <w:rFonts w:cs="Times New Roman"/>
          </w:rPr>
          <w:t>Sapolsky et al. 2000</w:t>
        </w:r>
      </w:hyperlink>
      <w:r w:rsidRPr="007A78D4">
        <w:rPr>
          <w:rFonts w:cs="Times New Roman"/>
        </w:rPr>
        <w:t>) - exert sustained effects on neural structure and physiology that are associated with animals’ performance on learning tasks (</w:t>
      </w:r>
      <w:hyperlink w:anchor="ref-lemaire_prenatal_2000">
        <w:r w:rsidRPr="007A78D4">
          <w:rPr>
            <w:rStyle w:val="Hyperlink"/>
            <w:rFonts w:cs="Times New Roman"/>
          </w:rPr>
          <w:t>Lemaire et al. 2000</w:t>
        </w:r>
      </w:hyperlink>
      <w:r w:rsidRPr="007A78D4">
        <w:rPr>
          <w:rFonts w:cs="Times New Roman"/>
        </w:rPr>
        <w:t xml:space="preserve">; </w:t>
      </w:r>
      <w:hyperlink w:anchor="ref-zhu_prenatal_2004">
        <w:r w:rsidRPr="007A78D4">
          <w:rPr>
            <w:rStyle w:val="Hyperlink"/>
            <w:rFonts w:cs="Times New Roman"/>
          </w:rPr>
          <w:t>Zhu et al. 2004</w:t>
        </w:r>
      </w:hyperlink>
      <w:r w:rsidRPr="007A78D4">
        <w:rPr>
          <w:rFonts w:cs="Times New Roman"/>
        </w:rPr>
        <w:t xml:space="preserve">; </w:t>
      </w:r>
      <w:hyperlink w:anchor="ref-crino_corticosterone_2014-learn">
        <w:r w:rsidRPr="007A78D4">
          <w:rPr>
            <w:rStyle w:val="Hyperlink"/>
            <w:rFonts w:cs="Times New Roman"/>
          </w:rPr>
          <w:t>Crino et al. 2014b</w:t>
        </w:r>
      </w:hyperlink>
      <w:r w:rsidRPr="007A78D4">
        <w:rPr>
          <w:rFonts w:cs="Times New Roman"/>
        </w:rPr>
        <w:t xml:space="preserve">; </w:t>
      </w:r>
      <w:hyperlink w:anchor="ref-farrell_developmental_2015-learn">
        <w:r w:rsidRPr="007A78D4">
          <w:rPr>
            <w:rStyle w:val="Hyperlink"/>
            <w:rFonts w:cs="Times New Roman"/>
          </w:rPr>
          <w:t xml:space="preserve">Farrell et </w:t>
        </w:r>
        <w:r w:rsidRPr="007A78D4">
          <w:rPr>
            <w:rStyle w:val="Hyperlink"/>
            <w:rFonts w:cs="Times New Roman"/>
          </w:rPr>
          <w:lastRenderedPageBreak/>
          <w:t>al. 2015</w:t>
        </w:r>
      </w:hyperlink>
      <w:r w:rsidRPr="007A78D4">
        <w:rPr>
          <w:rFonts w:cs="Times New Roman"/>
        </w:rPr>
        <w:t xml:space="preserve">; </w:t>
      </w:r>
      <w:hyperlink w:anchor="ref-bebus_associative_2016">
        <w:r w:rsidRPr="007A78D4">
          <w:rPr>
            <w:rStyle w:val="Hyperlink"/>
            <w:rFonts w:cs="Times New Roman"/>
          </w:rPr>
          <w:t>Bebus et al. 2016</w:t>
        </w:r>
      </w:hyperlink>
      <w:r w:rsidRPr="007A78D4">
        <w:rPr>
          <w:rFonts w:cs="Times New Roman"/>
        </w:rPr>
        <w:t>). Some studies have demonstrated that prenatal stress and high prenatal GC levels impair with learning (</w:t>
      </w:r>
      <w:hyperlink w:anchor="ref-lemaire_prenatal_2000">
        <w:r w:rsidRPr="007A78D4">
          <w:rPr>
            <w:rStyle w:val="Hyperlink"/>
            <w:rFonts w:cs="Times New Roman"/>
          </w:rPr>
          <w:t>Lemaire et al. 2000</w:t>
        </w:r>
      </w:hyperlink>
      <w:r w:rsidRPr="007A78D4">
        <w:rPr>
          <w:rFonts w:cs="Times New Roman"/>
        </w:rPr>
        <w:t xml:space="preserve">; </w:t>
      </w:r>
      <w:hyperlink w:anchor="ref-zhu_prenatal_2004">
        <w:r w:rsidRPr="007A78D4">
          <w:rPr>
            <w:rStyle w:val="Hyperlink"/>
            <w:rFonts w:cs="Times New Roman"/>
          </w:rPr>
          <w:t>Zhu et al. 2004</w:t>
        </w:r>
      </w:hyperlink>
      <w:r w:rsidRPr="007A78D4">
        <w:rPr>
          <w:rFonts w:cs="Times New Roman"/>
        </w:rPr>
        <w:t xml:space="preserve">; </w:t>
      </w:r>
      <w:hyperlink w:anchor="ref-farrell_developmental_2015-learn">
        <w:r w:rsidRPr="007A78D4">
          <w:rPr>
            <w:rStyle w:val="Hyperlink"/>
            <w:rFonts w:cs="Times New Roman"/>
          </w:rPr>
          <w:t>Farrell et al. 2015</w:t>
        </w:r>
      </w:hyperlink>
      <w:r w:rsidRPr="007A78D4">
        <w:rPr>
          <w:rFonts w:cs="Times New Roman"/>
        </w:rPr>
        <w:t>), while others showed diverse effects depending on factors such as sex or the nature of the learning task (</w:t>
      </w:r>
      <w:hyperlink w:anchor="ref-szuran_water_1994">
        <w:r w:rsidRPr="007A78D4">
          <w:rPr>
            <w:rStyle w:val="Hyperlink"/>
            <w:rFonts w:cs="Times New Roman"/>
          </w:rPr>
          <w:t>Szuran et al. 1994</w:t>
        </w:r>
      </w:hyperlink>
      <w:r w:rsidRPr="007A78D4">
        <w:rPr>
          <w:rFonts w:cs="Times New Roman"/>
        </w:rPr>
        <w:t xml:space="preserve">; </w:t>
      </w:r>
      <w:hyperlink w:anchor="ref-crino_corticosterone_2014-learn">
        <w:r w:rsidRPr="007A78D4">
          <w:rPr>
            <w:rStyle w:val="Hyperlink"/>
            <w:rFonts w:cs="Times New Roman"/>
          </w:rPr>
          <w:t>Crino et al. 2014b</w:t>
        </w:r>
      </w:hyperlink>
      <w:r w:rsidRPr="007A78D4">
        <w:rPr>
          <w:rFonts w:cs="Times New Roman"/>
        </w:rPr>
        <w:t xml:space="preserve">; </w:t>
      </w:r>
      <w:hyperlink w:anchor="ref-farrell_developmental_2015-learn">
        <w:r w:rsidRPr="007A78D4">
          <w:rPr>
            <w:rStyle w:val="Hyperlink"/>
            <w:rFonts w:cs="Times New Roman"/>
          </w:rPr>
          <w:t>Farrell et al. 2015</w:t>
        </w:r>
      </w:hyperlink>
      <w:r w:rsidRPr="007A78D4">
        <w:rPr>
          <w:rFonts w:cs="Times New Roman"/>
        </w:rPr>
        <w:t xml:space="preserve">; </w:t>
      </w:r>
      <w:hyperlink w:anchor="ref-bebus_associative_2016">
        <w:r w:rsidRPr="007A78D4">
          <w:rPr>
            <w:rStyle w:val="Hyperlink"/>
            <w:rFonts w:cs="Times New Roman"/>
          </w:rPr>
          <w:t>Bebus et al. 2016</w:t>
        </w:r>
      </w:hyperlink>
      <w:r w:rsidRPr="007A78D4">
        <w:rPr>
          <w:rFonts w:cs="Times New Roman"/>
        </w:rPr>
        <w:t>). Similarly, some experiments have shown significant impacts of prenatal temperature on learning in ectotherms (</w:t>
      </w:r>
      <w:hyperlink w:anchor="ref-amiel_hotter_2012">
        <w:r w:rsidRPr="007A78D4">
          <w:rPr>
            <w:rStyle w:val="Hyperlink"/>
            <w:rFonts w:cs="Times New Roman"/>
          </w:rPr>
          <w:t>Amiel and Shine 2012</w:t>
        </w:r>
      </w:hyperlink>
      <w:r w:rsidRPr="007A78D4">
        <w:rPr>
          <w:rFonts w:cs="Times New Roman"/>
        </w:rPr>
        <w:t xml:space="preserve">; </w:t>
      </w:r>
      <w:hyperlink w:anchor="ref-amiel_egg_2014">
        <w:r w:rsidRPr="007A78D4">
          <w:rPr>
            <w:rStyle w:val="Hyperlink"/>
            <w:rFonts w:cs="Times New Roman"/>
          </w:rPr>
          <w:t>Amiel et al. 2014</w:t>
        </w:r>
      </w:hyperlink>
      <w:r w:rsidRPr="007A78D4">
        <w:rPr>
          <w:rFonts w:cs="Times New Roman"/>
        </w:rPr>
        <w:t xml:space="preserve">; </w:t>
      </w:r>
      <w:hyperlink w:anchor="ref-dayananda_incubation_2017">
        <w:r w:rsidRPr="007A78D4">
          <w:rPr>
            <w:rStyle w:val="Hyperlink"/>
            <w:rFonts w:cs="Times New Roman"/>
          </w:rPr>
          <w:t>Dayananda and Webb 2017</w:t>
        </w:r>
      </w:hyperlink>
      <w:r w:rsidRPr="007A78D4">
        <w:rPr>
          <w:rFonts w:cs="Times New Roman"/>
        </w:rPr>
        <w:t xml:space="preserve">; </w:t>
      </w:r>
      <w:hyperlink w:anchor="ref-abayarathna_effects_2020">
        <w:r w:rsidRPr="007A78D4">
          <w:rPr>
            <w:rStyle w:val="Hyperlink"/>
            <w:rFonts w:cs="Times New Roman"/>
          </w:rPr>
          <w:t>Abayarathna and Webb 2020</w:t>
        </w:r>
      </w:hyperlink>
      <w:r w:rsidRPr="007A78D4">
        <w:rPr>
          <w:rFonts w:cs="Times New Roman"/>
        </w:rPr>
        <w:t>). For instance, high incubation temperatures have been linked with faster learning rates in skinks (</w:t>
      </w:r>
      <w:hyperlink w:anchor="ref-amiel_hotter_2012">
        <w:r w:rsidRPr="007A78D4">
          <w:rPr>
            <w:rStyle w:val="Hyperlink"/>
            <w:rFonts w:cs="Times New Roman"/>
          </w:rPr>
          <w:t>Amiel and Shine 2012</w:t>
        </w:r>
      </w:hyperlink>
      <w:r w:rsidRPr="007A78D4">
        <w:rPr>
          <w:rFonts w:cs="Times New Roman"/>
        </w:rPr>
        <w:t xml:space="preserve">; </w:t>
      </w:r>
      <w:hyperlink w:anchor="ref-amiel_egg_2014">
        <w:r w:rsidRPr="007A78D4">
          <w:rPr>
            <w:rStyle w:val="Hyperlink"/>
            <w:rFonts w:cs="Times New Roman"/>
          </w:rPr>
          <w:t>Amiel et al. 2014</w:t>
        </w:r>
      </w:hyperlink>
      <w:r w:rsidRPr="007A78D4">
        <w:rPr>
          <w:rFonts w:cs="Times New Roman"/>
        </w:rPr>
        <w:t>), while velvet geckos incubated at temperatures over their natural range learn slower than those incubated within the natural thermal limits (</w:t>
      </w:r>
      <w:hyperlink w:anchor="ref-abayarathna_effects_2020">
        <w:r w:rsidRPr="007A78D4">
          <w:rPr>
            <w:rStyle w:val="Hyperlink"/>
            <w:rFonts w:cs="Times New Roman"/>
          </w:rPr>
          <w:t>Abayarathna and Webb 2020</w:t>
        </w:r>
      </w:hyperlink>
      <w:r w:rsidRPr="007A78D4">
        <w:rPr>
          <w:rFonts w:cs="Times New Roman"/>
        </w:rPr>
        <w:t>). In this vein, the effect of prenatal temperature appears to be linked to alterations in neural structure and metabolic activity (</w:t>
      </w:r>
      <w:hyperlink w:anchor="ref-coomber_independent_1997">
        <w:r w:rsidRPr="007A78D4">
          <w:rPr>
            <w:rStyle w:val="Hyperlink"/>
            <w:rFonts w:cs="Times New Roman"/>
          </w:rPr>
          <w:t>Coomber et al. 1997</w:t>
        </w:r>
      </w:hyperlink>
      <w:r w:rsidRPr="007A78D4">
        <w:rPr>
          <w:rFonts w:cs="Times New Roman"/>
        </w:rPr>
        <w:t xml:space="preserve">; </w:t>
      </w:r>
      <w:hyperlink w:anchor="ref-sakata_neural_2000">
        <w:r w:rsidRPr="007A78D4">
          <w:rPr>
            <w:rStyle w:val="Hyperlink"/>
            <w:rFonts w:cs="Times New Roman"/>
          </w:rPr>
          <w:t>Sakata et al. 2000</w:t>
        </w:r>
      </w:hyperlink>
      <w:r w:rsidRPr="007A78D4">
        <w:rPr>
          <w:rFonts w:cs="Times New Roman"/>
        </w:rPr>
        <w:t xml:space="preserve">; </w:t>
      </w:r>
      <w:hyperlink w:anchor="ref-amiel_effects_2017">
        <w:r w:rsidRPr="007A78D4">
          <w:rPr>
            <w:rStyle w:val="Hyperlink"/>
            <w:rFonts w:cs="Times New Roman"/>
          </w:rPr>
          <w:t>Amiel et al. 2017</w:t>
        </w:r>
      </w:hyperlink>
      <w:r w:rsidRPr="007A78D4">
        <w:rPr>
          <w:rFonts w:cs="Times New Roman"/>
        </w:rPr>
        <w:t xml:space="preserve">; </w:t>
      </w:r>
      <w:hyperlink w:anchor="ref-beltran_are_2021">
        <w:r w:rsidRPr="007A78D4">
          <w:rPr>
            <w:rStyle w:val="Hyperlink"/>
            <w:rFonts w:cs="Times New Roman"/>
          </w:rPr>
          <w:t>Beltrán et al. 2021</w:t>
        </w:r>
      </w:hyperlink>
      <w:r w:rsidRPr="007A78D4">
        <w:rPr>
          <w:rFonts w:cs="Times New Roman"/>
        </w:rPr>
        <w:t>) that share some similarities with those resulting from prenatal increased stress or GC levels (</w:t>
      </w:r>
      <w:hyperlink w:anchor="ref-lemaire_prenatal_2000">
        <w:r w:rsidRPr="007A78D4">
          <w:rPr>
            <w:rStyle w:val="Hyperlink"/>
            <w:rFonts w:cs="Times New Roman"/>
          </w:rPr>
          <w:t>Lemaire et al. 2000</w:t>
        </w:r>
      </w:hyperlink>
      <w:r w:rsidRPr="007A78D4">
        <w:rPr>
          <w:rFonts w:cs="Times New Roman"/>
        </w:rPr>
        <w:t xml:space="preserve">; </w:t>
      </w:r>
      <w:hyperlink w:anchor="ref-zhu_prenatal_2004">
        <w:r w:rsidRPr="007A78D4">
          <w:rPr>
            <w:rStyle w:val="Hyperlink"/>
            <w:rFonts w:cs="Times New Roman"/>
          </w:rPr>
          <w:t>Zhu et al. 2004</w:t>
        </w:r>
      </w:hyperlink>
      <w:r w:rsidRPr="007A78D4">
        <w:rPr>
          <w:rFonts w:cs="Times New Roman"/>
        </w:rPr>
        <w:t xml:space="preserve">; </w:t>
      </w:r>
      <w:hyperlink w:anchor="ref-du_dynamic_2009">
        <w:r w:rsidRPr="007A78D4">
          <w:rPr>
            <w:rStyle w:val="Hyperlink"/>
            <w:rFonts w:cs="Times New Roman"/>
          </w:rPr>
          <w:t>Du et al. 2009</w:t>
        </w:r>
      </w:hyperlink>
      <w:r w:rsidRPr="007A78D4">
        <w:rPr>
          <w:rFonts w:cs="Times New Roman"/>
        </w:rPr>
        <w:t>). This suggests that prenatal GCs and temperature can act on the same physiological mechanisms and, thus, both could interact to shape individual variation in learning skills (</w:t>
      </w:r>
      <w:hyperlink w:anchor="ref-noble_developmental_2018">
        <w:r w:rsidRPr="007A78D4">
          <w:rPr>
            <w:rStyle w:val="Hyperlink"/>
            <w:rFonts w:cs="Times New Roman"/>
          </w:rPr>
          <w:t>Noble et al. 2018</w:t>
        </w:r>
      </w:hyperlink>
      <w:r w:rsidRPr="007A78D4">
        <w:rPr>
          <w:rFonts w:cs="Times New Roman"/>
        </w:rPr>
        <w:t>). Furthermore, GCs can play an pivotal role in determining vertebrate responses to elevated temperatures (</w:t>
      </w:r>
      <w:hyperlink w:anchor="ref-Crino_2023">
        <w:r w:rsidRPr="007A78D4">
          <w:rPr>
            <w:rStyle w:val="Hyperlink"/>
            <w:rFonts w:cs="Times New Roman"/>
          </w:rPr>
          <w:t>Crino et al. 2023</w:t>
        </w:r>
      </w:hyperlink>
      <w:r w:rsidRPr="007A78D4">
        <w:rPr>
          <w:rFonts w:cs="Times New Roman"/>
        </w:rPr>
        <w:t>) potentially fostering natural interactions between temperature and GCs. Despite the proximate similarities of prenatal GCs and temperature effects and the potential role of GCs in vertebrates response to elevated temperatures, our understanding of how these two factors interact remains incomplete.</w:t>
      </w:r>
      <w:r w:rsidRPr="007A78D4">
        <w:rPr>
          <w:rFonts w:cs="Times New Roman"/>
        </w:rPr>
        <w:br/>
        <w:t>In this study, our objective is to explore the interactive effects between prenatal Glucocorticoids (GCs) and the prenatal thermal environment on learning. We utilized two species of skinks, the delicate skink (</w:t>
      </w:r>
      <w:r w:rsidRPr="007A78D4">
        <w:rPr>
          <w:rFonts w:cs="Times New Roman"/>
          <w:i/>
          <w:iCs/>
        </w:rPr>
        <w:t>Lampropholis delicata</w:t>
      </w:r>
      <w:r w:rsidRPr="007A78D4">
        <w:rPr>
          <w:rFonts w:cs="Times New Roman"/>
        </w:rPr>
        <w:t>) and the common garden skink (</w:t>
      </w:r>
      <w:r w:rsidRPr="007A78D4">
        <w:rPr>
          <w:rFonts w:cs="Times New Roman"/>
          <w:i/>
          <w:iCs/>
        </w:rPr>
        <w:t>L. guichenoti</w:t>
      </w:r>
      <w:r w:rsidRPr="007A78D4">
        <w:rPr>
          <w:rFonts w:cs="Times New Roman"/>
        </w:rPr>
        <w:t xml:space="preserve">), as model </w:t>
      </w:r>
      <w:r w:rsidRPr="007A78D4">
        <w:rPr>
          <w:rFonts w:cs="Times New Roman"/>
        </w:rPr>
        <w:lastRenderedPageBreak/>
        <w:t>species. We experimentally increased Corticosterone (CORT) - the main GC in birds, reptiles, amphibians, and rodents (</w:t>
      </w:r>
      <w:hyperlink w:anchor="ref-Crino_2023">
        <w:r w:rsidRPr="007A78D4">
          <w:rPr>
            <w:rStyle w:val="Hyperlink"/>
            <w:rFonts w:cs="Times New Roman"/>
          </w:rPr>
          <w:t>Crino et al. 2023</w:t>
        </w:r>
      </w:hyperlink>
      <w:r w:rsidRPr="007A78D4">
        <w:rPr>
          <w:rFonts w:cs="Times New Roman"/>
        </w:rPr>
        <w:t>) - levels in the eggs of these two species of skinks and then incubated them at two different temperatures in a 2X2 factorial design. Post-incubation, the juveniles were subjectd to a colour-associative and a reversal task to comprehensively assess their learning abilities. Our hypothesis posits that changes in CORT levels and temperature during early development will induce sustained effects on brain’s morphology and physiology that will ultimately impact learning skills. We predict that individuals exposed to high levels of CORT and/or low temperatures will perform less proficiently in the learning tasks compared to control individuals or those exposed to high temperatures. Additionally, we anticipate that incubation at high temperatures will mitigate the impact of CORT on skink performance, while cold incubation temperatures are expected to enhance the detrimental effects of CORT on learning. We also expect the treatments to affect both tasks equally, with those individuals exposed to high levels of CORT and/or low temperatures performing less proficiently in both tasks compared to control individuals or those exposed to high temperatures. Finally, we expect that the effects of the treatments will be similar in both species, as both species share similar life history traits and are closely related (</w:t>
      </w:r>
      <w:hyperlink w:anchor="ref-chapple_know_2011">
        <w:r w:rsidRPr="007A78D4">
          <w:rPr>
            <w:rStyle w:val="Hyperlink"/>
            <w:rFonts w:cs="Times New Roman"/>
          </w:rPr>
          <w:t>Chapple et al. 2011</w:t>
        </w:r>
      </w:hyperlink>
      <w:r w:rsidRPr="007A78D4">
        <w:rPr>
          <w:rFonts w:cs="Times New Roman"/>
        </w:rPr>
        <w:t xml:space="preserve">, </w:t>
      </w:r>
      <w:hyperlink w:anchor="ref-chapple_biology_2014">
        <w:r w:rsidRPr="007A78D4">
          <w:rPr>
            <w:rStyle w:val="Hyperlink"/>
            <w:rFonts w:cs="Times New Roman"/>
          </w:rPr>
          <w:t>2014</w:t>
        </w:r>
      </w:hyperlink>
      <w:r w:rsidRPr="007A78D4">
        <w:rPr>
          <w:rFonts w:cs="Times New Roman"/>
        </w:rPr>
        <w:t>), and other cognitive studies have not found any difference between species in learning (</w:t>
      </w:r>
      <w:hyperlink w:anchor="ref-bezzina2014does">
        <w:r w:rsidRPr="007A78D4">
          <w:rPr>
            <w:rStyle w:val="Hyperlink"/>
            <w:rFonts w:cs="Times New Roman"/>
          </w:rPr>
          <w:t>Bezzina et al. 2014</w:t>
        </w:r>
      </w:hyperlink>
      <w:r w:rsidRPr="007A78D4">
        <w:rPr>
          <w:rFonts w:cs="Times New Roman"/>
        </w:rPr>
        <w:t>).</w:t>
      </w:r>
    </w:p>
    <w:p w14:paraId="09962976" w14:textId="77777777" w:rsidR="00410006" w:rsidRPr="007A78D4" w:rsidRDefault="00410006" w:rsidP="005F2992">
      <w:pPr>
        <w:pStyle w:val="Heading2"/>
        <w:spacing w:line="480" w:lineRule="auto"/>
        <w:rPr>
          <w:rFonts w:cs="Times New Roman"/>
          <w:sz w:val="24"/>
          <w:szCs w:val="24"/>
        </w:rPr>
      </w:pPr>
      <w:bookmarkStart w:id="1" w:name="methods"/>
      <w:bookmarkEnd w:id="0"/>
      <w:r w:rsidRPr="007A78D4">
        <w:rPr>
          <w:rFonts w:cs="Times New Roman"/>
          <w:sz w:val="24"/>
          <w:szCs w:val="24"/>
        </w:rPr>
        <w:t>Methods</w:t>
      </w:r>
    </w:p>
    <w:p w14:paraId="60C15BF2" w14:textId="77777777" w:rsidR="00410006" w:rsidRPr="007A78D4" w:rsidRDefault="00410006" w:rsidP="005F2992">
      <w:pPr>
        <w:pStyle w:val="Heading4"/>
        <w:spacing w:line="480" w:lineRule="auto"/>
        <w:rPr>
          <w:rFonts w:ascii="Times New Roman" w:hAnsi="Times New Roman" w:cs="Times New Roman"/>
        </w:rPr>
      </w:pPr>
      <w:bookmarkStart w:id="2" w:name="subjects"/>
      <w:r w:rsidRPr="007A78D4">
        <w:rPr>
          <w:rFonts w:ascii="Times New Roman" w:hAnsi="Times New Roman" w:cs="Times New Roman"/>
        </w:rPr>
        <w:t>Subjects</w:t>
      </w:r>
    </w:p>
    <w:p w14:paraId="74F14913" w14:textId="77777777" w:rsidR="00410006" w:rsidRPr="007A78D4" w:rsidRDefault="00410006" w:rsidP="005F2992">
      <w:pPr>
        <w:pStyle w:val="FirstParagraph"/>
        <w:spacing w:line="480" w:lineRule="auto"/>
        <w:rPr>
          <w:rFonts w:cs="Times New Roman"/>
        </w:rPr>
      </w:pPr>
      <w:r w:rsidRPr="007A78D4">
        <w:rPr>
          <w:rFonts w:cs="Times New Roman"/>
          <w:i/>
          <w:iCs/>
        </w:rPr>
        <w:t>L. guichenoti</w:t>
      </w:r>
      <w:r w:rsidRPr="007A78D4">
        <w:rPr>
          <w:rFonts w:cs="Times New Roman"/>
        </w:rPr>
        <w:t xml:space="preserve"> and </w:t>
      </w:r>
      <w:r w:rsidRPr="007A78D4">
        <w:rPr>
          <w:rFonts w:cs="Times New Roman"/>
          <w:i/>
          <w:iCs/>
        </w:rPr>
        <w:t>L. delicata</w:t>
      </w:r>
      <w:r w:rsidRPr="007A78D4">
        <w:rPr>
          <w:rFonts w:cs="Times New Roman"/>
        </w:rPr>
        <w:t xml:space="preserve"> are small (</w:t>
      </w:r>
      <w:r w:rsidRPr="007A78D4">
        <w:rPr>
          <w:rFonts w:ascii="Cambria Math" w:hAnsi="Cambria Math" w:cs="Cambria Math"/>
        </w:rPr>
        <w:t>∼</w:t>
      </w:r>
      <w:r w:rsidRPr="007A78D4">
        <w:rPr>
          <w:rFonts w:cs="Times New Roman"/>
        </w:rPr>
        <w:t>35–55 mm snout-vent length (SVL)), oviparous, and generalist skinks that usually share the same habitat in suburban areas throughout south-eastern Australia (</w:t>
      </w:r>
      <w:hyperlink w:anchor="ref-chapple_know_2011">
        <w:r w:rsidRPr="007A78D4">
          <w:rPr>
            <w:rStyle w:val="Hyperlink"/>
            <w:rFonts w:cs="Times New Roman"/>
          </w:rPr>
          <w:t>Chapple et al. 2011</w:t>
        </w:r>
      </w:hyperlink>
      <w:r w:rsidRPr="007A78D4">
        <w:rPr>
          <w:rFonts w:cs="Times New Roman"/>
        </w:rPr>
        <w:t xml:space="preserve">). Both species have similar breeding periods, but with some </w:t>
      </w:r>
      <w:r w:rsidRPr="007A78D4">
        <w:rPr>
          <w:rFonts w:cs="Times New Roman"/>
        </w:rPr>
        <w:lastRenderedPageBreak/>
        <w:t xml:space="preserve">differences in reproductive output: while </w:t>
      </w:r>
      <w:r w:rsidRPr="007A78D4">
        <w:rPr>
          <w:rFonts w:cs="Times New Roman"/>
          <w:i/>
          <w:iCs/>
        </w:rPr>
        <w:t>L. delicata</w:t>
      </w:r>
      <w:r w:rsidRPr="007A78D4">
        <w:rPr>
          <w:rFonts w:cs="Times New Roman"/>
        </w:rPr>
        <w:t xml:space="preserve"> lays 1 to 6 eggs in only one clutch per season, </w:t>
      </w:r>
      <w:r w:rsidRPr="007A78D4">
        <w:rPr>
          <w:rFonts w:cs="Times New Roman"/>
          <w:i/>
          <w:iCs/>
        </w:rPr>
        <w:t>L. guichenoti</w:t>
      </w:r>
      <w:r w:rsidRPr="007A78D4">
        <w:rPr>
          <w:rFonts w:cs="Times New Roman"/>
        </w:rPr>
        <w:t xml:space="preserve"> clutches are smaller (1-5 eggs per clutch) but they usually lay two clutches per season (</w:t>
      </w:r>
      <w:hyperlink w:anchor="ref-chapple_know_2011">
        <w:r w:rsidRPr="007A78D4">
          <w:rPr>
            <w:rStyle w:val="Hyperlink"/>
            <w:rFonts w:cs="Times New Roman"/>
          </w:rPr>
          <w:t>Chapple et al. 2011</w:t>
        </w:r>
      </w:hyperlink>
      <w:r w:rsidRPr="007A78D4">
        <w:rPr>
          <w:rFonts w:cs="Times New Roman"/>
        </w:rPr>
        <w:t xml:space="preserve">, </w:t>
      </w:r>
      <w:hyperlink w:anchor="ref-chapple_biology_2014">
        <w:r w:rsidRPr="007A78D4">
          <w:rPr>
            <w:rStyle w:val="Hyperlink"/>
            <w:rFonts w:cs="Times New Roman"/>
          </w:rPr>
          <w:t>2014</w:t>
        </w:r>
      </w:hyperlink>
      <w:r w:rsidRPr="007A78D4">
        <w:rPr>
          <w:rFonts w:cs="Times New Roman"/>
        </w:rPr>
        <w:t>). Also, some sudies have found some behavioural divergence between the two skinks (</w:t>
      </w:r>
      <w:hyperlink w:anchor="ref-chapple_know_2011">
        <w:r w:rsidRPr="007A78D4">
          <w:rPr>
            <w:rStyle w:val="Hyperlink"/>
            <w:rFonts w:cs="Times New Roman"/>
          </w:rPr>
          <w:t>Chapple et al. 2011</w:t>
        </w:r>
      </w:hyperlink>
      <w:r w:rsidRPr="007A78D4">
        <w:rPr>
          <w:rFonts w:cs="Times New Roman"/>
        </w:rPr>
        <w:t xml:space="preserve">). </w:t>
      </w:r>
      <w:r w:rsidRPr="007A78D4">
        <w:rPr>
          <w:rFonts w:cs="Times New Roman"/>
          <w:i/>
          <w:iCs/>
        </w:rPr>
        <w:t>L. delicata</w:t>
      </w:r>
      <w:r w:rsidRPr="007A78D4">
        <w:rPr>
          <w:rFonts w:cs="Times New Roman"/>
        </w:rPr>
        <w:t xml:space="preserve"> is more exploratory and bolder than </w:t>
      </w:r>
      <w:r w:rsidRPr="007A78D4">
        <w:rPr>
          <w:rFonts w:cs="Times New Roman"/>
          <w:i/>
          <w:iCs/>
        </w:rPr>
        <w:t>L. guichenoti</w:t>
      </w:r>
      <w:r w:rsidRPr="007A78D4">
        <w:rPr>
          <w:rFonts w:cs="Times New Roman"/>
        </w:rPr>
        <w:t xml:space="preserve"> (</w:t>
      </w:r>
      <w:hyperlink w:anchor="ref-chapple_know_2011">
        <w:r w:rsidRPr="007A78D4">
          <w:rPr>
            <w:rStyle w:val="Hyperlink"/>
            <w:rFonts w:cs="Times New Roman"/>
          </w:rPr>
          <w:t>Chapple et al. 2011</w:t>
        </w:r>
      </w:hyperlink>
      <w:r w:rsidRPr="007A78D4">
        <w:rPr>
          <w:rFonts w:cs="Times New Roman"/>
        </w:rPr>
        <w:t>) which was related to the former’s success as an invassive species (</w:t>
      </w:r>
      <w:hyperlink w:anchor="ref-chapple_know_2011">
        <w:r w:rsidRPr="007A78D4">
          <w:rPr>
            <w:rStyle w:val="Hyperlink"/>
            <w:rFonts w:cs="Times New Roman"/>
          </w:rPr>
          <w:t>Chapple et al. 2011</w:t>
        </w:r>
      </w:hyperlink>
      <w:r w:rsidRPr="007A78D4">
        <w:rPr>
          <w:rFonts w:cs="Times New Roman"/>
        </w:rPr>
        <w:t xml:space="preserve">; </w:t>
      </w:r>
      <w:hyperlink w:anchor="ref-bezzina2014does">
        <w:r w:rsidRPr="007A78D4">
          <w:rPr>
            <w:rStyle w:val="Hyperlink"/>
            <w:rFonts w:cs="Times New Roman"/>
          </w:rPr>
          <w:t>Bezzina et al. 2014</w:t>
        </w:r>
      </w:hyperlink>
      <w:r w:rsidRPr="007A78D4">
        <w:rPr>
          <w:rFonts w:cs="Times New Roman"/>
        </w:rPr>
        <w:t>), but not with their ability to learn in an associatve learning task (</w:t>
      </w:r>
      <w:hyperlink w:anchor="ref-bezzina2014does">
        <w:r w:rsidRPr="007A78D4">
          <w:rPr>
            <w:rStyle w:val="Hyperlink"/>
            <w:rFonts w:cs="Times New Roman"/>
          </w:rPr>
          <w:t>Bezzina et al. 2014</w:t>
        </w:r>
      </w:hyperlink>
      <w:r w:rsidRPr="007A78D4">
        <w:rPr>
          <w:rFonts w:cs="Times New Roman"/>
        </w:rPr>
        <w:t>).</w:t>
      </w:r>
    </w:p>
    <w:p w14:paraId="7C224CB1" w14:textId="5DC2866B" w:rsidR="00410006" w:rsidRPr="007A78D4" w:rsidRDefault="00410006" w:rsidP="005F2992">
      <w:pPr>
        <w:pStyle w:val="Heading2"/>
        <w:spacing w:line="480" w:lineRule="auto"/>
        <w:rPr>
          <w:rFonts w:cs="Times New Roman"/>
          <w:sz w:val="24"/>
          <w:szCs w:val="24"/>
        </w:rPr>
      </w:pPr>
      <w:bookmarkStart w:id="3" w:name="references"/>
      <w:bookmarkEnd w:id="1"/>
      <w:bookmarkEnd w:id="2"/>
      <w:r w:rsidRPr="007A78D4">
        <w:rPr>
          <w:rFonts w:cs="Times New Roman"/>
          <w:sz w:val="24"/>
          <w:szCs w:val="24"/>
        </w:rPr>
        <w:t>References</w:t>
      </w:r>
    </w:p>
    <w:p w14:paraId="20175269" w14:textId="77777777" w:rsidR="00410006" w:rsidRPr="007A78D4" w:rsidRDefault="00410006" w:rsidP="005F2992">
      <w:pPr>
        <w:pStyle w:val="Bibliography"/>
        <w:spacing w:line="480" w:lineRule="auto"/>
        <w:rPr>
          <w:rFonts w:ascii="Times New Roman" w:hAnsi="Times New Roman" w:cs="Times New Roman"/>
        </w:rPr>
      </w:pPr>
      <w:bookmarkStart w:id="4" w:name="ref-abayarathna_effects_2020"/>
      <w:bookmarkStart w:id="5" w:name="refs"/>
      <w:r w:rsidRPr="007A78D4">
        <w:rPr>
          <w:rFonts w:ascii="Times New Roman" w:hAnsi="Times New Roman" w:cs="Times New Roman"/>
        </w:rPr>
        <w:t xml:space="preserve">Abayarathna T, Webb JK (2020) Effects of incubation temperatures on learning abilities of hatchling velvet geckos. Animal Cognition 23:613–620. </w:t>
      </w:r>
      <w:hyperlink r:id="rId8">
        <w:r w:rsidRPr="007A78D4">
          <w:rPr>
            <w:rStyle w:val="Hyperlink"/>
            <w:rFonts w:ascii="Times New Roman" w:hAnsi="Times New Roman" w:cs="Times New Roman"/>
          </w:rPr>
          <w:t>https://doi.org/10.1007/s10071-020-01365-4</w:t>
        </w:r>
      </w:hyperlink>
    </w:p>
    <w:p w14:paraId="39C14768" w14:textId="77777777" w:rsidR="00410006" w:rsidRPr="007A78D4" w:rsidRDefault="00410006" w:rsidP="005F2992">
      <w:pPr>
        <w:pStyle w:val="Bibliography"/>
        <w:spacing w:line="480" w:lineRule="auto"/>
        <w:rPr>
          <w:rFonts w:ascii="Times New Roman" w:hAnsi="Times New Roman" w:cs="Times New Roman"/>
        </w:rPr>
      </w:pPr>
      <w:bookmarkStart w:id="6" w:name="ref-alemohammad_2022_microbiota_learning"/>
      <w:bookmarkEnd w:id="4"/>
      <w:r w:rsidRPr="007A78D4">
        <w:rPr>
          <w:rFonts w:ascii="Times New Roman" w:hAnsi="Times New Roman" w:cs="Times New Roman"/>
        </w:rPr>
        <w:t>Alemohammad SMA, Noori SMR, Samarbafzadeh E, A. NSM (2022) The role of the gut microbiota and nutrition on spatial learning and spatial memory: A mini review based on animal studies. Molecular Biology Reports 1551–1563</w:t>
      </w:r>
    </w:p>
    <w:p w14:paraId="46DD42A3" w14:textId="77777777" w:rsidR="00410006" w:rsidRPr="007A78D4" w:rsidRDefault="00410006" w:rsidP="005F2992">
      <w:pPr>
        <w:pStyle w:val="Bibliography"/>
        <w:spacing w:line="480" w:lineRule="auto"/>
        <w:rPr>
          <w:rFonts w:ascii="Times New Roman" w:hAnsi="Times New Roman" w:cs="Times New Roman"/>
        </w:rPr>
      </w:pPr>
      <w:bookmarkStart w:id="7" w:name="ref-amiel_effects_2017"/>
      <w:bookmarkEnd w:id="6"/>
      <w:r w:rsidRPr="007A78D4">
        <w:rPr>
          <w:rFonts w:ascii="Times New Roman" w:hAnsi="Times New Roman" w:cs="Times New Roman"/>
        </w:rPr>
        <w:t xml:space="preserve">Amiel JJ, Bao S, Shine R (2017) The effects of incubation temperature on the development of the cortical forebrain in a lizard. Animal Cognition 20:117–125. </w:t>
      </w:r>
      <w:hyperlink r:id="rId9">
        <w:r w:rsidRPr="007A78D4">
          <w:rPr>
            <w:rStyle w:val="Hyperlink"/>
            <w:rFonts w:ascii="Times New Roman" w:hAnsi="Times New Roman" w:cs="Times New Roman"/>
          </w:rPr>
          <w:t>https://doi.org/10.1007/s10071-016-0993-2</w:t>
        </w:r>
      </w:hyperlink>
    </w:p>
    <w:p w14:paraId="31524999" w14:textId="77777777" w:rsidR="00410006" w:rsidRPr="007A78D4" w:rsidRDefault="00410006" w:rsidP="005F2992">
      <w:pPr>
        <w:pStyle w:val="Bibliography"/>
        <w:spacing w:line="480" w:lineRule="auto"/>
        <w:rPr>
          <w:rFonts w:ascii="Times New Roman" w:hAnsi="Times New Roman" w:cs="Times New Roman"/>
        </w:rPr>
      </w:pPr>
      <w:bookmarkStart w:id="8" w:name="ref-amiel_egg_2014"/>
      <w:bookmarkEnd w:id="7"/>
      <w:r w:rsidRPr="007A78D4">
        <w:rPr>
          <w:rFonts w:ascii="Times New Roman" w:hAnsi="Times New Roman" w:cs="Times New Roman"/>
        </w:rPr>
        <w:t xml:space="preserve">Amiel JJ, Lindström T, Shine R (2014) Egg incubation effects generate positive correlations between size, speed and learning ability in young lizards. Animal Cognition 17:337–347. </w:t>
      </w:r>
      <w:hyperlink r:id="rId10">
        <w:r w:rsidRPr="007A78D4">
          <w:rPr>
            <w:rStyle w:val="Hyperlink"/>
            <w:rFonts w:ascii="Times New Roman" w:hAnsi="Times New Roman" w:cs="Times New Roman"/>
          </w:rPr>
          <w:t>https://doi.org/10.1007/s10071-013-0665-4</w:t>
        </w:r>
      </w:hyperlink>
    </w:p>
    <w:p w14:paraId="3CDE3904" w14:textId="77777777" w:rsidR="00410006" w:rsidRPr="007A78D4" w:rsidRDefault="00410006" w:rsidP="005F2992">
      <w:pPr>
        <w:pStyle w:val="Bibliography"/>
        <w:spacing w:line="480" w:lineRule="auto"/>
        <w:rPr>
          <w:rFonts w:ascii="Times New Roman" w:hAnsi="Times New Roman" w:cs="Times New Roman"/>
        </w:rPr>
      </w:pPr>
      <w:bookmarkStart w:id="9" w:name="ref-amiel_hotter_2012"/>
      <w:bookmarkEnd w:id="8"/>
      <w:r w:rsidRPr="007A78D4">
        <w:rPr>
          <w:rFonts w:ascii="Times New Roman" w:hAnsi="Times New Roman" w:cs="Times New Roman"/>
        </w:rPr>
        <w:t xml:space="preserve">Amiel JJ, Shine R (2012) Hotter nests produce smarter young lizards. Biology Letters 8:372–374. </w:t>
      </w:r>
      <w:hyperlink r:id="rId11">
        <w:r w:rsidRPr="007A78D4">
          <w:rPr>
            <w:rStyle w:val="Hyperlink"/>
            <w:rFonts w:ascii="Times New Roman" w:hAnsi="Times New Roman" w:cs="Times New Roman"/>
          </w:rPr>
          <w:t>https://doi.org/10.1098/rsbl.2011.1161</w:t>
        </w:r>
      </w:hyperlink>
    </w:p>
    <w:p w14:paraId="343E1E67" w14:textId="77777777" w:rsidR="00410006" w:rsidRPr="007A78D4" w:rsidRDefault="00410006" w:rsidP="005F2992">
      <w:pPr>
        <w:pStyle w:val="Bibliography"/>
        <w:spacing w:line="480" w:lineRule="auto"/>
        <w:rPr>
          <w:rFonts w:ascii="Times New Roman" w:hAnsi="Times New Roman" w:cs="Times New Roman"/>
        </w:rPr>
      </w:pPr>
      <w:bookmarkStart w:id="10" w:name="ref-Baden_Osorio_2019_Vert_vision"/>
      <w:bookmarkEnd w:id="9"/>
      <w:r w:rsidRPr="007A78D4">
        <w:rPr>
          <w:rFonts w:ascii="Times New Roman" w:hAnsi="Times New Roman" w:cs="Times New Roman"/>
        </w:rPr>
        <w:lastRenderedPageBreak/>
        <w:t>Baden T, Osorio D (2019) The retinal basis of vertebrate color vision. Annual Review of Vision Science 177–200</w:t>
      </w:r>
    </w:p>
    <w:p w14:paraId="4E2127FD" w14:textId="77777777" w:rsidR="00410006" w:rsidRPr="007A78D4" w:rsidRDefault="00410006" w:rsidP="005F2992">
      <w:pPr>
        <w:pStyle w:val="Bibliography"/>
        <w:spacing w:line="480" w:lineRule="auto"/>
        <w:rPr>
          <w:rFonts w:ascii="Times New Roman" w:hAnsi="Times New Roman" w:cs="Times New Roman"/>
        </w:rPr>
      </w:pPr>
      <w:bookmarkStart w:id="11" w:name="ref-bebus_associative_2016"/>
      <w:bookmarkEnd w:id="10"/>
      <w:r w:rsidRPr="007A78D4">
        <w:rPr>
          <w:rFonts w:ascii="Times New Roman" w:hAnsi="Times New Roman" w:cs="Times New Roman"/>
        </w:rPr>
        <w:t xml:space="preserve">Bebus SE, Small TW, Jones BC, et al (2016) Associative learning is inversely related to reversal learning and varies with nestling corticosterone exposure. Animal Behaviour 111:251–260. </w:t>
      </w:r>
      <w:hyperlink r:id="rId12">
        <w:r w:rsidRPr="007A78D4">
          <w:rPr>
            <w:rStyle w:val="Hyperlink"/>
            <w:rFonts w:ascii="Times New Roman" w:hAnsi="Times New Roman" w:cs="Times New Roman"/>
          </w:rPr>
          <w:t>https://doi.org/10.1016/j.anbehav.2015.10.027</w:t>
        </w:r>
      </w:hyperlink>
    </w:p>
    <w:p w14:paraId="6907F531" w14:textId="77777777" w:rsidR="00410006" w:rsidRPr="007A78D4" w:rsidRDefault="00410006" w:rsidP="005F2992">
      <w:pPr>
        <w:pStyle w:val="Bibliography"/>
        <w:spacing w:line="480" w:lineRule="auto"/>
        <w:rPr>
          <w:rFonts w:ascii="Times New Roman" w:hAnsi="Times New Roman" w:cs="Times New Roman"/>
        </w:rPr>
      </w:pPr>
      <w:bookmarkStart w:id="12" w:name="ref-beltran_are_2021"/>
      <w:bookmarkEnd w:id="11"/>
      <w:r w:rsidRPr="007A78D4">
        <w:rPr>
          <w:rFonts w:ascii="Times New Roman" w:hAnsi="Times New Roman" w:cs="Times New Roman"/>
        </w:rPr>
        <w:t xml:space="preserve">Beltrán I, Herculano-Houzel S, Sinervo B, Whiting MJ (2021) Are ectotherm brains vulnerable to global warming? Trends in Ecology &amp; Evolution 36:691–699. </w:t>
      </w:r>
      <w:hyperlink r:id="rId13">
        <w:r w:rsidRPr="007A78D4">
          <w:rPr>
            <w:rStyle w:val="Hyperlink"/>
            <w:rFonts w:ascii="Times New Roman" w:hAnsi="Times New Roman" w:cs="Times New Roman"/>
          </w:rPr>
          <w:t>https://doi.org/10.1016/j.tree.2021.04.009</w:t>
        </w:r>
      </w:hyperlink>
    </w:p>
    <w:p w14:paraId="7156424C" w14:textId="77777777" w:rsidR="00410006" w:rsidRPr="007A78D4" w:rsidRDefault="00410006" w:rsidP="005F2992">
      <w:pPr>
        <w:pStyle w:val="Bibliography"/>
        <w:spacing w:line="480" w:lineRule="auto"/>
        <w:rPr>
          <w:rFonts w:ascii="Times New Roman" w:hAnsi="Times New Roman" w:cs="Times New Roman"/>
        </w:rPr>
      </w:pPr>
      <w:bookmarkStart w:id="13" w:name="ref-bezzina2014does"/>
      <w:bookmarkEnd w:id="12"/>
      <w:r w:rsidRPr="007A78D4">
        <w:rPr>
          <w:rFonts w:ascii="Times New Roman" w:hAnsi="Times New Roman" w:cs="Times New Roman"/>
        </w:rPr>
        <w:t>Bezzina CN, Amiel JJ, Shine R (2014) Does invasion success reflect superior cognitive ability? A case study of two congeneric lizard species (lampropholis, scincidae). PLoS One 9:e86271</w:t>
      </w:r>
    </w:p>
    <w:p w14:paraId="153A5439" w14:textId="77777777" w:rsidR="00410006" w:rsidRPr="007A78D4" w:rsidRDefault="00410006" w:rsidP="005F2992">
      <w:pPr>
        <w:pStyle w:val="Bibliography"/>
        <w:spacing w:line="480" w:lineRule="auto"/>
        <w:rPr>
          <w:rFonts w:ascii="Times New Roman" w:hAnsi="Times New Roman" w:cs="Times New Roman"/>
        </w:rPr>
      </w:pPr>
      <w:bookmarkStart w:id="14" w:name="ref-buchanan_condition_2013"/>
      <w:bookmarkEnd w:id="13"/>
      <w:r w:rsidRPr="007A78D4">
        <w:rPr>
          <w:rFonts w:ascii="Times New Roman" w:hAnsi="Times New Roman" w:cs="Times New Roman"/>
        </w:rPr>
        <w:t xml:space="preserve">Buchanan KL, Grindstaff JL, Pravosudov VV (2013) Condition dependence, developmental plasticity, and cognition: Implications for ecology and evolution. Trends in Ecology &amp; Evolution 28:290–296. </w:t>
      </w:r>
      <w:hyperlink r:id="rId14">
        <w:r w:rsidRPr="007A78D4">
          <w:rPr>
            <w:rStyle w:val="Hyperlink"/>
            <w:rFonts w:ascii="Times New Roman" w:hAnsi="Times New Roman" w:cs="Times New Roman"/>
          </w:rPr>
          <w:t>https://doi.org/10.1016/j.tree.2013.02.004</w:t>
        </w:r>
      </w:hyperlink>
    </w:p>
    <w:p w14:paraId="79BDD6DC" w14:textId="77777777" w:rsidR="00410006" w:rsidRPr="007A78D4" w:rsidRDefault="00410006" w:rsidP="005F2992">
      <w:pPr>
        <w:pStyle w:val="Bibliography"/>
        <w:spacing w:line="480" w:lineRule="auto"/>
        <w:rPr>
          <w:rFonts w:ascii="Times New Roman" w:hAnsi="Times New Roman" w:cs="Times New Roman"/>
        </w:rPr>
      </w:pPr>
      <w:bookmarkStart w:id="15" w:name="ref-carazo_sex_2014"/>
      <w:bookmarkEnd w:id="14"/>
      <w:r w:rsidRPr="007A78D4">
        <w:rPr>
          <w:rFonts w:ascii="Times New Roman" w:hAnsi="Times New Roman" w:cs="Times New Roman"/>
        </w:rPr>
        <w:t xml:space="preserve">Carazo P, Noble DWA, Chandrasoma D, Whiting MJ (2014) Sex and boldness explain individual differences in spatial learning in a lizard. Proceedings of the Royal Society B: Biological Sciences 281:20133275. </w:t>
      </w:r>
      <w:hyperlink r:id="rId15">
        <w:r w:rsidRPr="007A78D4">
          <w:rPr>
            <w:rStyle w:val="Hyperlink"/>
            <w:rFonts w:ascii="Times New Roman" w:hAnsi="Times New Roman" w:cs="Times New Roman"/>
          </w:rPr>
          <w:t>https://doi.org/10.1098/rspb.2013.3275</w:t>
        </w:r>
      </w:hyperlink>
    </w:p>
    <w:p w14:paraId="02E8B30E" w14:textId="77777777" w:rsidR="00410006" w:rsidRPr="007A78D4" w:rsidRDefault="00410006" w:rsidP="005F2992">
      <w:pPr>
        <w:pStyle w:val="Bibliography"/>
        <w:spacing w:line="480" w:lineRule="auto"/>
        <w:rPr>
          <w:rFonts w:ascii="Times New Roman" w:hAnsi="Times New Roman" w:cs="Times New Roman"/>
        </w:rPr>
      </w:pPr>
      <w:bookmarkStart w:id="16" w:name="ref-chapple_biology_2014"/>
      <w:bookmarkEnd w:id="15"/>
      <w:r w:rsidRPr="007A78D4">
        <w:rPr>
          <w:rFonts w:ascii="Times New Roman" w:hAnsi="Times New Roman" w:cs="Times New Roman"/>
        </w:rPr>
        <w:t xml:space="preserve">Chapple DG, Miller KA, Chaplin K, et al (2014) Biology of the invasive delicate skink (Lampropholis delicata) on Lord Howe Island. Australian Journal of Zoology 62:498. </w:t>
      </w:r>
      <w:hyperlink r:id="rId16">
        <w:r w:rsidRPr="007A78D4">
          <w:rPr>
            <w:rStyle w:val="Hyperlink"/>
            <w:rFonts w:ascii="Times New Roman" w:hAnsi="Times New Roman" w:cs="Times New Roman"/>
          </w:rPr>
          <w:t>https://doi.org/10.1071/ZO14098</w:t>
        </w:r>
      </w:hyperlink>
    </w:p>
    <w:p w14:paraId="3429E09A" w14:textId="77777777" w:rsidR="00410006" w:rsidRPr="007A78D4" w:rsidRDefault="00410006" w:rsidP="005F2992">
      <w:pPr>
        <w:pStyle w:val="Bibliography"/>
        <w:spacing w:line="480" w:lineRule="auto"/>
        <w:rPr>
          <w:rFonts w:ascii="Times New Roman" w:hAnsi="Times New Roman" w:cs="Times New Roman"/>
        </w:rPr>
      </w:pPr>
      <w:bookmarkStart w:id="17" w:name="ref-chapple_know_2011"/>
      <w:bookmarkEnd w:id="16"/>
      <w:r w:rsidRPr="007A78D4">
        <w:rPr>
          <w:rFonts w:ascii="Times New Roman" w:hAnsi="Times New Roman" w:cs="Times New Roman"/>
        </w:rPr>
        <w:t xml:space="preserve">Chapple DG, Simmonds SM, Wong BBM (2011) Know when to run, know when to hide: Can behavioral differences explain the divergent invasion success of two sympatric lizards?: Invasion </w:t>
      </w:r>
      <w:r w:rsidRPr="007A78D4">
        <w:rPr>
          <w:rFonts w:ascii="Times New Roman" w:hAnsi="Times New Roman" w:cs="Times New Roman"/>
        </w:rPr>
        <w:lastRenderedPageBreak/>
        <w:t xml:space="preserve">Success of Two Sympatric Lizards. Ecology and Evolution 1:278–289. </w:t>
      </w:r>
      <w:hyperlink r:id="rId17">
        <w:r w:rsidRPr="007A78D4">
          <w:rPr>
            <w:rStyle w:val="Hyperlink"/>
            <w:rFonts w:ascii="Times New Roman" w:hAnsi="Times New Roman" w:cs="Times New Roman"/>
          </w:rPr>
          <w:t>https://doi.org/10.1002/ece3.22</w:t>
        </w:r>
      </w:hyperlink>
    </w:p>
    <w:p w14:paraId="459A367C" w14:textId="77777777" w:rsidR="00410006" w:rsidRPr="007A78D4" w:rsidRDefault="00410006" w:rsidP="005F2992">
      <w:pPr>
        <w:pStyle w:val="Bibliography"/>
        <w:spacing w:line="480" w:lineRule="auto"/>
        <w:rPr>
          <w:rFonts w:ascii="Times New Roman" w:hAnsi="Times New Roman" w:cs="Times New Roman"/>
        </w:rPr>
      </w:pPr>
      <w:bookmarkStart w:id="18" w:name="ref-clark_colour_2014"/>
      <w:bookmarkEnd w:id="17"/>
      <w:r w:rsidRPr="007A78D4">
        <w:rPr>
          <w:rFonts w:ascii="Times New Roman" w:hAnsi="Times New Roman" w:cs="Times New Roman"/>
        </w:rPr>
        <w:t xml:space="preserve">Clark BF, Amiel JJ, Shine R, et al (2014) Colour discrimination and associative learning in hatchling lizards incubated at “hot” and “cold” temperatures. Behavioral Ecology and Sociobiology 68:239–247. </w:t>
      </w:r>
      <w:hyperlink r:id="rId18">
        <w:r w:rsidRPr="007A78D4">
          <w:rPr>
            <w:rStyle w:val="Hyperlink"/>
            <w:rFonts w:ascii="Times New Roman" w:hAnsi="Times New Roman" w:cs="Times New Roman"/>
          </w:rPr>
          <w:t>https://doi.org/10.1007/s00265-013-1639-x</w:t>
        </w:r>
      </w:hyperlink>
    </w:p>
    <w:p w14:paraId="482908EA" w14:textId="77777777" w:rsidR="00410006" w:rsidRPr="007A78D4" w:rsidRDefault="00410006" w:rsidP="005F2992">
      <w:pPr>
        <w:pStyle w:val="Bibliography"/>
        <w:spacing w:line="480" w:lineRule="auto"/>
        <w:rPr>
          <w:rFonts w:ascii="Times New Roman" w:hAnsi="Times New Roman" w:cs="Times New Roman"/>
        </w:rPr>
      </w:pPr>
      <w:bookmarkStart w:id="19" w:name="ref-coomber_independent_1997"/>
      <w:bookmarkEnd w:id="18"/>
      <w:r w:rsidRPr="007A78D4">
        <w:rPr>
          <w:rFonts w:ascii="Times New Roman" w:hAnsi="Times New Roman" w:cs="Times New Roman"/>
        </w:rPr>
        <w:t xml:space="preserve">Coomber P, Crews D, Gonzalez-Lima F (1997) Independent effects of incubation temperature and gonadal sex on the volume and metabolic capacity of brain nuclei in the leopard gecko (Eublepharis macularius), a lizard with temperature-dependent sex determination. The Journal of Comparative Neurology 380:409–421. </w:t>
      </w:r>
      <w:hyperlink r:id="rId19">
        <w:r w:rsidRPr="007A78D4">
          <w:rPr>
            <w:rStyle w:val="Hyperlink"/>
            <w:rFonts w:ascii="Times New Roman" w:hAnsi="Times New Roman" w:cs="Times New Roman"/>
          </w:rPr>
          <w:t>https://doi.org/10.1002/(SICI)1096-9861(19970414)380:3&lt;409::AID-CNE9&gt;3.0.CO;2-6</w:t>
        </w:r>
      </w:hyperlink>
    </w:p>
    <w:p w14:paraId="6947D8FD" w14:textId="77777777" w:rsidR="00410006" w:rsidRPr="007A78D4" w:rsidRDefault="00410006" w:rsidP="005F2992">
      <w:pPr>
        <w:pStyle w:val="Bibliography"/>
        <w:spacing w:line="480" w:lineRule="auto"/>
        <w:rPr>
          <w:rFonts w:ascii="Times New Roman" w:hAnsi="Times New Roman" w:cs="Times New Roman"/>
        </w:rPr>
      </w:pPr>
      <w:bookmarkStart w:id="20" w:name="ref-Crino_2023"/>
      <w:bookmarkEnd w:id="19"/>
      <w:r w:rsidRPr="007A78D4">
        <w:rPr>
          <w:rFonts w:ascii="Times New Roman" w:hAnsi="Times New Roman" w:cs="Times New Roman"/>
        </w:rPr>
        <w:t>Crino OL, Bonduriansky R, Martin LB, Noble DWA (2023) A conceptual framework for understanding stressinduced physiological and transgenerational effects on population responses to climate change. Evolution Letters</w:t>
      </w:r>
    </w:p>
    <w:p w14:paraId="045C55E7" w14:textId="77777777" w:rsidR="00410006" w:rsidRPr="007A78D4" w:rsidRDefault="00410006" w:rsidP="005F2992">
      <w:pPr>
        <w:pStyle w:val="Bibliography"/>
        <w:spacing w:line="480" w:lineRule="auto"/>
        <w:rPr>
          <w:rFonts w:ascii="Times New Roman" w:hAnsi="Times New Roman" w:cs="Times New Roman"/>
        </w:rPr>
      </w:pPr>
      <w:bookmarkStart w:id="21" w:name="ref-crino_corticosterone_2014"/>
      <w:bookmarkEnd w:id="20"/>
      <w:r w:rsidRPr="007A78D4">
        <w:rPr>
          <w:rFonts w:ascii="Times New Roman" w:hAnsi="Times New Roman" w:cs="Times New Roman"/>
        </w:rPr>
        <w:t xml:space="preserve">Crino OL, Driscoll SC, Breuner CW (2014a) Corticosterone exposure during development has sustained but not lifelong effects on body size and total and free corticosterone responses in the zebra finch. General and Comparative Endocrinology 196:123–129. </w:t>
      </w:r>
      <w:hyperlink r:id="rId20">
        <w:r w:rsidRPr="007A78D4">
          <w:rPr>
            <w:rStyle w:val="Hyperlink"/>
            <w:rFonts w:ascii="Times New Roman" w:hAnsi="Times New Roman" w:cs="Times New Roman"/>
          </w:rPr>
          <w:t>https://doi.org/10.1016/j.ygcen.2013.10.006</w:t>
        </w:r>
      </w:hyperlink>
    </w:p>
    <w:p w14:paraId="65583949" w14:textId="77777777" w:rsidR="00410006" w:rsidRPr="007A78D4" w:rsidRDefault="00410006" w:rsidP="005F2992">
      <w:pPr>
        <w:pStyle w:val="Bibliography"/>
        <w:spacing w:line="480" w:lineRule="auto"/>
        <w:rPr>
          <w:rFonts w:ascii="Times New Roman" w:hAnsi="Times New Roman" w:cs="Times New Roman"/>
        </w:rPr>
      </w:pPr>
      <w:bookmarkStart w:id="22" w:name="ref-crino_corticosterone_2014-learn"/>
      <w:bookmarkEnd w:id="21"/>
      <w:r w:rsidRPr="007A78D4">
        <w:rPr>
          <w:rFonts w:ascii="Times New Roman" w:hAnsi="Times New Roman" w:cs="Times New Roman"/>
        </w:rPr>
        <w:t xml:space="preserve">Crino OL, Driscoll SC, Ton R, Breuner CW (2014b) Corticosterone exposure during development improves performance on a novel foraging task in zebra finches. Animal Behaviour 91:27–32. </w:t>
      </w:r>
      <w:hyperlink r:id="rId21">
        <w:r w:rsidRPr="007A78D4">
          <w:rPr>
            <w:rStyle w:val="Hyperlink"/>
            <w:rFonts w:ascii="Times New Roman" w:hAnsi="Times New Roman" w:cs="Times New Roman"/>
          </w:rPr>
          <w:t>https://doi.org/10.1016/j.anbehav.2014.02.017</w:t>
        </w:r>
      </w:hyperlink>
    </w:p>
    <w:p w14:paraId="049A9278" w14:textId="77777777" w:rsidR="00410006" w:rsidRPr="007A78D4" w:rsidRDefault="00410006" w:rsidP="005F2992">
      <w:pPr>
        <w:pStyle w:val="Bibliography"/>
        <w:spacing w:line="480" w:lineRule="auto"/>
        <w:rPr>
          <w:rFonts w:ascii="Times New Roman" w:hAnsi="Times New Roman" w:cs="Times New Roman"/>
        </w:rPr>
      </w:pPr>
      <w:bookmarkStart w:id="23" w:name="ref-dayananda_incubation_2017"/>
      <w:bookmarkEnd w:id="22"/>
      <w:r w:rsidRPr="007A78D4">
        <w:rPr>
          <w:rFonts w:ascii="Times New Roman" w:hAnsi="Times New Roman" w:cs="Times New Roman"/>
        </w:rPr>
        <w:lastRenderedPageBreak/>
        <w:t xml:space="preserve">Dayananda B, Webb JK (2017) Incubation under climate warming affects learning ability and survival in hatchling lizards. Biology Letters 13:20170002. </w:t>
      </w:r>
      <w:hyperlink r:id="rId22">
        <w:r w:rsidRPr="007A78D4">
          <w:rPr>
            <w:rStyle w:val="Hyperlink"/>
            <w:rFonts w:ascii="Times New Roman" w:hAnsi="Times New Roman" w:cs="Times New Roman"/>
          </w:rPr>
          <w:t>https://doi.org/10.1098/rsbl.2017.0002</w:t>
        </w:r>
      </w:hyperlink>
    </w:p>
    <w:p w14:paraId="38F1BD1E" w14:textId="77777777" w:rsidR="00410006" w:rsidRPr="007A78D4" w:rsidRDefault="00410006" w:rsidP="005F2992">
      <w:pPr>
        <w:pStyle w:val="Bibliography"/>
        <w:spacing w:line="480" w:lineRule="auto"/>
        <w:rPr>
          <w:rFonts w:ascii="Times New Roman" w:hAnsi="Times New Roman" w:cs="Times New Roman"/>
        </w:rPr>
      </w:pPr>
      <w:bookmarkStart w:id="24" w:name="ref-du_dynamic_2009"/>
      <w:bookmarkEnd w:id="23"/>
      <w:r w:rsidRPr="007A78D4">
        <w:rPr>
          <w:rFonts w:ascii="Times New Roman" w:hAnsi="Times New Roman" w:cs="Times New Roman"/>
        </w:rPr>
        <w:t xml:space="preserve">Du J, Wang Y, Hunter R, et al (2009) Dynamic regulation of mitochondrial function by glucocorticoids. Proceedings of the National Academy of Sciences 106:3543–3548. </w:t>
      </w:r>
      <w:hyperlink r:id="rId23">
        <w:r w:rsidRPr="007A78D4">
          <w:rPr>
            <w:rStyle w:val="Hyperlink"/>
            <w:rFonts w:ascii="Times New Roman" w:hAnsi="Times New Roman" w:cs="Times New Roman"/>
          </w:rPr>
          <w:t>https://doi.org/10.1073/pnas.0812671106</w:t>
        </w:r>
      </w:hyperlink>
    </w:p>
    <w:p w14:paraId="2CF0F23B" w14:textId="77777777" w:rsidR="00410006" w:rsidRPr="007A78D4" w:rsidRDefault="00410006" w:rsidP="005F2992">
      <w:pPr>
        <w:pStyle w:val="Bibliography"/>
        <w:spacing w:line="480" w:lineRule="auto"/>
        <w:rPr>
          <w:rFonts w:ascii="Times New Roman" w:hAnsi="Times New Roman" w:cs="Times New Roman"/>
        </w:rPr>
      </w:pPr>
      <w:bookmarkStart w:id="25" w:name="ref-dukas_evolutionary_2004"/>
      <w:bookmarkEnd w:id="24"/>
      <w:r w:rsidRPr="007A78D4">
        <w:rPr>
          <w:rFonts w:ascii="Times New Roman" w:hAnsi="Times New Roman" w:cs="Times New Roman"/>
        </w:rPr>
        <w:t xml:space="preserve">Dukas R (2004) Evolutionary Biology of Animal Cognition. Annual Review of Ecology, Evolution, and Systematics 35:347–374. </w:t>
      </w:r>
      <w:hyperlink r:id="rId24">
        <w:r w:rsidRPr="007A78D4">
          <w:rPr>
            <w:rStyle w:val="Hyperlink"/>
            <w:rFonts w:ascii="Times New Roman" w:hAnsi="Times New Roman" w:cs="Times New Roman"/>
          </w:rPr>
          <w:t>https://doi.org/10.1146/annurev.ecolsys.35.112202.130152</w:t>
        </w:r>
      </w:hyperlink>
    </w:p>
    <w:p w14:paraId="32897C1B" w14:textId="77777777" w:rsidR="00410006" w:rsidRPr="007A78D4" w:rsidRDefault="00410006" w:rsidP="005F2992">
      <w:pPr>
        <w:pStyle w:val="Bibliography"/>
        <w:spacing w:line="480" w:lineRule="auto"/>
        <w:rPr>
          <w:rFonts w:ascii="Times New Roman" w:hAnsi="Times New Roman" w:cs="Times New Roman"/>
        </w:rPr>
      </w:pPr>
      <w:bookmarkStart w:id="26" w:name="ref-farrell_developmental_2015-learn"/>
      <w:bookmarkEnd w:id="25"/>
      <w:r w:rsidRPr="007A78D4">
        <w:rPr>
          <w:rFonts w:ascii="Times New Roman" w:hAnsi="Times New Roman" w:cs="Times New Roman"/>
        </w:rPr>
        <w:t xml:space="preserve">Farrell TM, Neuert MAC, Cui A, MacDougall-Shackleton SA (2015) Developmental stress impairs a female songbird’s behavioural and neural response to a sexually selected signal. Animal Behaviour 102:157–167. </w:t>
      </w:r>
      <w:hyperlink r:id="rId25">
        <w:r w:rsidRPr="007A78D4">
          <w:rPr>
            <w:rStyle w:val="Hyperlink"/>
            <w:rFonts w:ascii="Times New Roman" w:hAnsi="Times New Roman" w:cs="Times New Roman"/>
          </w:rPr>
          <w:t>https://doi.org/10.1016/j.anbehav.2015.01.018</w:t>
        </w:r>
      </w:hyperlink>
    </w:p>
    <w:p w14:paraId="5F6AD3E6" w14:textId="77777777" w:rsidR="00410006" w:rsidRPr="007A78D4" w:rsidRDefault="00410006" w:rsidP="005F2992">
      <w:pPr>
        <w:pStyle w:val="Bibliography"/>
        <w:spacing w:line="480" w:lineRule="auto"/>
        <w:rPr>
          <w:rFonts w:ascii="Times New Roman" w:hAnsi="Times New Roman" w:cs="Times New Roman"/>
        </w:rPr>
      </w:pPr>
      <w:bookmarkStart w:id="27" w:name="ref-leal_behavioural_2012"/>
      <w:bookmarkEnd w:id="26"/>
      <w:r w:rsidRPr="007A78D4">
        <w:rPr>
          <w:rFonts w:ascii="Times New Roman" w:hAnsi="Times New Roman" w:cs="Times New Roman"/>
        </w:rPr>
        <w:t xml:space="preserve">Leal M, Powell BJ (2012) Behavioural flexibility and problem-solving in a tropical lizard. Biology Letters 8:28–30. </w:t>
      </w:r>
      <w:hyperlink r:id="rId26">
        <w:r w:rsidRPr="007A78D4">
          <w:rPr>
            <w:rStyle w:val="Hyperlink"/>
            <w:rFonts w:ascii="Times New Roman" w:hAnsi="Times New Roman" w:cs="Times New Roman"/>
          </w:rPr>
          <w:t>https://doi.org/10.1098/rsbl.2011.0480</w:t>
        </w:r>
      </w:hyperlink>
    </w:p>
    <w:p w14:paraId="20501252" w14:textId="77777777" w:rsidR="00410006" w:rsidRPr="007A78D4" w:rsidRDefault="00410006" w:rsidP="005F2992">
      <w:pPr>
        <w:pStyle w:val="Bibliography"/>
        <w:spacing w:line="480" w:lineRule="auto"/>
        <w:rPr>
          <w:rFonts w:ascii="Times New Roman" w:hAnsi="Times New Roman" w:cs="Times New Roman"/>
        </w:rPr>
      </w:pPr>
      <w:bookmarkStart w:id="28" w:name="ref-lemaire_prenatal_2000"/>
      <w:bookmarkEnd w:id="27"/>
      <w:r w:rsidRPr="007A78D4">
        <w:rPr>
          <w:rFonts w:ascii="Times New Roman" w:hAnsi="Times New Roman" w:cs="Times New Roman"/>
        </w:rPr>
        <w:t xml:space="preserve">Lemaire V, Koehl M, Le Moal M, Abrous DN (2000) Prenatal stress produces learning deficits associated with an inhibition of neurogenesis in the hippocampus. Proceedings of the National Academy of Sciences 97:11032–11037. </w:t>
      </w:r>
      <w:hyperlink r:id="rId27">
        <w:r w:rsidRPr="007A78D4">
          <w:rPr>
            <w:rStyle w:val="Hyperlink"/>
            <w:rFonts w:ascii="Times New Roman" w:hAnsi="Times New Roman" w:cs="Times New Roman"/>
          </w:rPr>
          <w:t>https://doi.org/10.1073/pnas.97.20.11032</w:t>
        </w:r>
      </w:hyperlink>
    </w:p>
    <w:p w14:paraId="3ADB9F9E" w14:textId="77777777" w:rsidR="00410006" w:rsidRPr="007A78D4" w:rsidRDefault="00410006" w:rsidP="005F2992">
      <w:pPr>
        <w:pStyle w:val="Bibliography"/>
        <w:spacing w:line="480" w:lineRule="auto"/>
        <w:rPr>
          <w:rFonts w:ascii="Times New Roman" w:hAnsi="Times New Roman" w:cs="Times New Roman"/>
        </w:rPr>
      </w:pPr>
      <w:bookmarkStart w:id="29" w:name="ref-noble_age-dependent_2014"/>
      <w:bookmarkEnd w:id="28"/>
      <w:r w:rsidRPr="007A78D4">
        <w:rPr>
          <w:rFonts w:ascii="Times New Roman" w:hAnsi="Times New Roman" w:cs="Times New Roman"/>
        </w:rPr>
        <w:t xml:space="preserve">Noble DWA, Byrne RW, Whiting MJ (2014) Age-dependent social learning in a lizard. Biology Letters 10:20140430. </w:t>
      </w:r>
      <w:hyperlink r:id="rId28">
        <w:r w:rsidRPr="007A78D4">
          <w:rPr>
            <w:rStyle w:val="Hyperlink"/>
            <w:rFonts w:ascii="Times New Roman" w:hAnsi="Times New Roman" w:cs="Times New Roman"/>
          </w:rPr>
          <w:t>https://doi.org/10.1098/rsbl.2014.0430</w:t>
        </w:r>
      </w:hyperlink>
    </w:p>
    <w:p w14:paraId="16874359" w14:textId="77777777" w:rsidR="00410006" w:rsidRPr="007A78D4" w:rsidRDefault="00410006" w:rsidP="005F2992">
      <w:pPr>
        <w:pStyle w:val="Bibliography"/>
        <w:spacing w:line="480" w:lineRule="auto"/>
        <w:rPr>
          <w:rFonts w:ascii="Times New Roman" w:hAnsi="Times New Roman" w:cs="Times New Roman"/>
        </w:rPr>
      </w:pPr>
      <w:bookmarkStart w:id="30" w:name="ref-noble_developmental_2018"/>
      <w:bookmarkEnd w:id="29"/>
      <w:r w:rsidRPr="007A78D4">
        <w:rPr>
          <w:rFonts w:ascii="Times New Roman" w:hAnsi="Times New Roman" w:cs="Times New Roman"/>
        </w:rPr>
        <w:lastRenderedPageBreak/>
        <w:t xml:space="preserve">Noble DWA, Stenhouse V, Schwanz LE (2018) Developmental temperatures and phenotypic plasticity in reptiles: A systematic review and meta-analysis: Incubation temperature and plasticity. Biological Reviews 93:72–97. </w:t>
      </w:r>
      <w:hyperlink r:id="rId29">
        <w:r w:rsidRPr="007A78D4">
          <w:rPr>
            <w:rStyle w:val="Hyperlink"/>
            <w:rFonts w:ascii="Times New Roman" w:hAnsi="Times New Roman" w:cs="Times New Roman"/>
          </w:rPr>
          <w:t>https://doi.org/10.1111/brv.12333</w:t>
        </w:r>
      </w:hyperlink>
    </w:p>
    <w:p w14:paraId="5E2F63BA" w14:textId="77777777" w:rsidR="00410006" w:rsidRPr="007A78D4" w:rsidRDefault="00410006" w:rsidP="005F2992">
      <w:pPr>
        <w:pStyle w:val="Bibliography"/>
        <w:spacing w:line="480" w:lineRule="auto"/>
        <w:rPr>
          <w:rFonts w:ascii="Times New Roman" w:hAnsi="Times New Roman" w:cs="Times New Roman"/>
        </w:rPr>
      </w:pPr>
      <w:bookmarkStart w:id="31" w:name="ref-sakata_neural_2000"/>
      <w:bookmarkEnd w:id="30"/>
      <w:r w:rsidRPr="007A78D4">
        <w:rPr>
          <w:rFonts w:ascii="Times New Roman" w:hAnsi="Times New Roman" w:cs="Times New Roman"/>
        </w:rPr>
        <w:t>Sakata JT, Coomber P, Gonzalez-Lima F, Crews D (2000) Functional connectivity among limbic brain areas: Differential effects of incubation temperature and gonadal sex in the leopard gecko, eublepharis macularius. Brain, Behavior and Evolution 139–151</w:t>
      </w:r>
    </w:p>
    <w:p w14:paraId="5B11D1D3" w14:textId="77777777" w:rsidR="00410006" w:rsidRPr="007A78D4" w:rsidRDefault="00410006" w:rsidP="005F2992">
      <w:pPr>
        <w:pStyle w:val="Bibliography"/>
        <w:spacing w:line="480" w:lineRule="auto"/>
        <w:rPr>
          <w:rFonts w:ascii="Times New Roman" w:hAnsi="Times New Roman" w:cs="Times New Roman"/>
        </w:rPr>
      </w:pPr>
      <w:bookmarkStart w:id="32" w:name="ref-sapolsky_how_2000"/>
      <w:bookmarkEnd w:id="31"/>
      <w:r w:rsidRPr="007A78D4">
        <w:rPr>
          <w:rFonts w:ascii="Times New Roman" w:hAnsi="Times New Roman" w:cs="Times New Roman"/>
        </w:rPr>
        <w:t>Sapolsky RM, Romero LM, Munck AU (2000) How Do Glucocorticoids Influence Stress Responses? Integrating Permissive, Suppressive, Stimulatory, and Preparative Actions. 21:</w:t>
      </w:r>
    </w:p>
    <w:p w14:paraId="55AB8423" w14:textId="77777777" w:rsidR="00410006" w:rsidRPr="007A78D4" w:rsidRDefault="00410006" w:rsidP="005F2992">
      <w:pPr>
        <w:pStyle w:val="Bibliography"/>
        <w:spacing w:line="480" w:lineRule="auto"/>
        <w:rPr>
          <w:rFonts w:ascii="Times New Roman" w:hAnsi="Times New Roman" w:cs="Times New Roman"/>
        </w:rPr>
      </w:pPr>
      <w:bookmarkStart w:id="33" w:name="ref-shettleworth"/>
      <w:bookmarkEnd w:id="32"/>
      <w:r w:rsidRPr="007A78D4">
        <w:rPr>
          <w:rFonts w:ascii="Times New Roman" w:hAnsi="Times New Roman" w:cs="Times New Roman"/>
        </w:rPr>
        <w:t>Shettleworth SJ (2010) Cognition, evolution, and behaviour, 2nd edn. Oxford University Press</w:t>
      </w:r>
    </w:p>
    <w:p w14:paraId="2FF90F8D" w14:textId="77777777" w:rsidR="00410006" w:rsidRPr="007A78D4" w:rsidRDefault="00410006" w:rsidP="005F2992">
      <w:pPr>
        <w:pStyle w:val="Bibliography"/>
        <w:spacing w:line="480" w:lineRule="auto"/>
        <w:rPr>
          <w:rFonts w:ascii="Times New Roman" w:hAnsi="Times New Roman" w:cs="Times New Roman"/>
        </w:rPr>
      </w:pPr>
      <w:bookmarkStart w:id="34" w:name="ref-szuran_water_1994"/>
      <w:bookmarkEnd w:id="33"/>
      <w:r w:rsidRPr="007A78D4">
        <w:rPr>
          <w:rFonts w:ascii="Times New Roman" w:hAnsi="Times New Roman" w:cs="Times New Roman"/>
        </w:rPr>
        <w:t xml:space="preserve">Szuran T, Zimmermann E, Welzl H (1994) Water maze performance and hippocampal weight of prenatally stressed rats. Behavioural Brain Research 65:153–155. </w:t>
      </w:r>
      <w:hyperlink r:id="rId30">
        <w:r w:rsidRPr="007A78D4">
          <w:rPr>
            <w:rStyle w:val="Hyperlink"/>
            <w:rFonts w:ascii="Times New Roman" w:hAnsi="Times New Roman" w:cs="Times New Roman"/>
          </w:rPr>
          <w:t>https://doi.org/10.1016/0166-4328(94)90100-7</w:t>
        </w:r>
      </w:hyperlink>
    </w:p>
    <w:p w14:paraId="00D67017" w14:textId="77777777" w:rsidR="00410006" w:rsidRPr="007A78D4" w:rsidRDefault="00410006" w:rsidP="005F2992">
      <w:pPr>
        <w:pStyle w:val="Bibliography"/>
        <w:spacing w:line="480" w:lineRule="auto"/>
        <w:rPr>
          <w:rFonts w:ascii="Times New Roman" w:hAnsi="Times New Roman" w:cs="Times New Roman"/>
        </w:rPr>
      </w:pPr>
      <w:bookmarkStart w:id="35" w:name="ref-zhu_prenatal_2004"/>
      <w:bookmarkEnd w:id="34"/>
      <w:r w:rsidRPr="007A78D4">
        <w:rPr>
          <w:rFonts w:ascii="Times New Roman" w:hAnsi="Times New Roman" w:cs="Times New Roman"/>
        </w:rPr>
        <w:t xml:space="preserve">Zhu Z, Li X, Chen W, et al (2004) Prenatal stress causes gender-dependent neuronal loss and oxidative stress in rat hippocampus. Journal of Neuroscience Research 78:837–844. </w:t>
      </w:r>
      <w:hyperlink r:id="rId31">
        <w:r w:rsidRPr="007A78D4">
          <w:rPr>
            <w:rStyle w:val="Hyperlink"/>
            <w:rFonts w:ascii="Times New Roman" w:hAnsi="Times New Roman" w:cs="Times New Roman"/>
          </w:rPr>
          <w:t>https://doi.org/10.1002/jnr.20338</w:t>
        </w:r>
      </w:hyperlink>
    </w:p>
    <w:bookmarkEnd w:id="3"/>
    <w:bookmarkEnd w:id="5"/>
    <w:bookmarkEnd w:id="35"/>
    <w:p w14:paraId="3F8576A1" w14:textId="77777777" w:rsidR="000B5F5E" w:rsidRPr="007A78D4" w:rsidRDefault="000B5F5E" w:rsidP="005F2992">
      <w:pPr>
        <w:spacing w:line="480" w:lineRule="auto"/>
        <w:rPr>
          <w:rFonts w:ascii="Times New Roman" w:hAnsi="Times New Roman" w:cs="Times New Roman"/>
        </w:rPr>
      </w:pPr>
    </w:p>
    <w:sectPr w:rsidR="000B5F5E" w:rsidRPr="007A78D4" w:rsidSect="00041485">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B0E649" w14:textId="77777777" w:rsidR="00AD40FF" w:rsidRDefault="00AD40FF">
      <w:pPr>
        <w:spacing w:after="0"/>
      </w:pPr>
      <w:r>
        <w:separator/>
      </w:r>
    </w:p>
  </w:endnote>
  <w:endnote w:type="continuationSeparator" w:id="0">
    <w:p w14:paraId="7BB2E702" w14:textId="77777777" w:rsidR="00AD40FF" w:rsidRDefault="00AD40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928A95" w14:textId="77777777" w:rsidR="00AD40FF" w:rsidRDefault="00AD40FF">
      <w:r>
        <w:separator/>
      </w:r>
    </w:p>
  </w:footnote>
  <w:footnote w:type="continuationSeparator" w:id="0">
    <w:p w14:paraId="79131DB1" w14:textId="77777777" w:rsidR="00AD40FF" w:rsidRDefault="00AD40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094C1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2C83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F67B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1F6996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7F4522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C406E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EC7D8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B824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8806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E02E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166ED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CAFE060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4B52536B"/>
    <w:multiLevelType w:val="hybridMultilevel"/>
    <w:tmpl w:val="C928A9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21780048">
    <w:abstractNumId w:val="10"/>
  </w:num>
  <w:num w:numId="2" w16cid:durableId="143091172">
    <w:abstractNumId w:val="0"/>
  </w:num>
  <w:num w:numId="3" w16cid:durableId="632712907">
    <w:abstractNumId w:val="1"/>
  </w:num>
  <w:num w:numId="4" w16cid:durableId="1455713332">
    <w:abstractNumId w:val="2"/>
  </w:num>
  <w:num w:numId="5" w16cid:durableId="639461341">
    <w:abstractNumId w:val="3"/>
  </w:num>
  <w:num w:numId="6" w16cid:durableId="1623883182">
    <w:abstractNumId w:val="8"/>
  </w:num>
  <w:num w:numId="7" w16cid:durableId="1164008430">
    <w:abstractNumId w:val="4"/>
  </w:num>
  <w:num w:numId="8" w16cid:durableId="374501612">
    <w:abstractNumId w:val="5"/>
  </w:num>
  <w:num w:numId="9" w16cid:durableId="106241459">
    <w:abstractNumId w:val="6"/>
  </w:num>
  <w:num w:numId="10" w16cid:durableId="614408241">
    <w:abstractNumId w:val="7"/>
  </w:num>
  <w:num w:numId="11" w16cid:durableId="2008972897">
    <w:abstractNumId w:val="9"/>
  </w:num>
  <w:num w:numId="12" w16cid:durableId="3826347">
    <w:abstractNumId w:val="0"/>
  </w:num>
  <w:num w:numId="13" w16cid:durableId="1304585251">
    <w:abstractNumId w:val="1"/>
  </w:num>
  <w:num w:numId="14" w16cid:durableId="295186827">
    <w:abstractNumId w:val="2"/>
  </w:num>
  <w:num w:numId="15" w16cid:durableId="1165897800">
    <w:abstractNumId w:val="3"/>
  </w:num>
  <w:num w:numId="16" w16cid:durableId="805124763">
    <w:abstractNumId w:val="8"/>
  </w:num>
  <w:num w:numId="17" w16cid:durableId="688724301">
    <w:abstractNumId w:val="4"/>
  </w:num>
  <w:num w:numId="18" w16cid:durableId="1968778924">
    <w:abstractNumId w:val="5"/>
  </w:num>
  <w:num w:numId="19" w16cid:durableId="1863932392">
    <w:abstractNumId w:val="6"/>
  </w:num>
  <w:num w:numId="20" w16cid:durableId="505823955">
    <w:abstractNumId w:val="7"/>
  </w:num>
  <w:num w:numId="21" w16cid:durableId="44455075">
    <w:abstractNumId w:val="9"/>
  </w:num>
  <w:num w:numId="22" w16cid:durableId="974406508">
    <w:abstractNumId w:val="0"/>
  </w:num>
  <w:num w:numId="23" w16cid:durableId="653416115">
    <w:abstractNumId w:val="1"/>
  </w:num>
  <w:num w:numId="24" w16cid:durableId="1127118836">
    <w:abstractNumId w:val="2"/>
  </w:num>
  <w:num w:numId="25" w16cid:durableId="76484940">
    <w:abstractNumId w:val="3"/>
  </w:num>
  <w:num w:numId="26" w16cid:durableId="758409120">
    <w:abstractNumId w:val="8"/>
  </w:num>
  <w:num w:numId="27" w16cid:durableId="404030365">
    <w:abstractNumId w:val="4"/>
  </w:num>
  <w:num w:numId="28" w16cid:durableId="983193140">
    <w:abstractNumId w:val="5"/>
  </w:num>
  <w:num w:numId="29" w16cid:durableId="834413867">
    <w:abstractNumId w:val="6"/>
  </w:num>
  <w:num w:numId="30" w16cid:durableId="403795792">
    <w:abstractNumId w:val="7"/>
  </w:num>
  <w:num w:numId="31" w16cid:durableId="2104912296">
    <w:abstractNumId w:val="9"/>
  </w:num>
  <w:num w:numId="32" w16cid:durableId="609241903">
    <w:abstractNumId w:val="0"/>
  </w:num>
  <w:num w:numId="33" w16cid:durableId="212274816">
    <w:abstractNumId w:val="1"/>
  </w:num>
  <w:num w:numId="34" w16cid:durableId="1718434514">
    <w:abstractNumId w:val="2"/>
  </w:num>
  <w:num w:numId="35" w16cid:durableId="836964110">
    <w:abstractNumId w:val="3"/>
  </w:num>
  <w:num w:numId="36" w16cid:durableId="32265831">
    <w:abstractNumId w:val="8"/>
  </w:num>
  <w:num w:numId="37" w16cid:durableId="875771006">
    <w:abstractNumId w:val="4"/>
  </w:num>
  <w:num w:numId="38" w16cid:durableId="571812965">
    <w:abstractNumId w:val="5"/>
  </w:num>
  <w:num w:numId="39" w16cid:durableId="2029672449">
    <w:abstractNumId w:val="6"/>
  </w:num>
  <w:num w:numId="40" w16cid:durableId="1941140807">
    <w:abstractNumId w:val="7"/>
  </w:num>
  <w:num w:numId="41" w16cid:durableId="1235436268">
    <w:abstractNumId w:val="9"/>
  </w:num>
  <w:num w:numId="42" w16cid:durableId="1431664836">
    <w:abstractNumId w:val="0"/>
  </w:num>
  <w:num w:numId="43" w16cid:durableId="1521820671">
    <w:abstractNumId w:val="1"/>
  </w:num>
  <w:num w:numId="44" w16cid:durableId="1694112480">
    <w:abstractNumId w:val="2"/>
  </w:num>
  <w:num w:numId="45" w16cid:durableId="477235170">
    <w:abstractNumId w:val="3"/>
  </w:num>
  <w:num w:numId="46" w16cid:durableId="1597709075">
    <w:abstractNumId w:val="8"/>
  </w:num>
  <w:num w:numId="47" w16cid:durableId="409546055">
    <w:abstractNumId w:val="4"/>
  </w:num>
  <w:num w:numId="48" w16cid:durableId="470681698">
    <w:abstractNumId w:val="5"/>
  </w:num>
  <w:num w:numId="49" w16cid:durableId="773599548">
    <w:abstractNumId w:val="6"/>
  </w:num>
  <w:num w:numId="50" w16cid:durableId="573590450">
    <w:abstractNumId w:val="7"/>
  </w:num>
  <w:num w:numId="51" w16cid:durableId="1026638835">
    <w:abstractNumId w:val="9"/>
  </w:num>
  <w:num w:numId="52" w16cid:durableId="1084838228">
    <w:abstractNumId w:val="0"/>
  </w:num>
  <w:num w:numId="53" w16cid:durableId="1226337426">
    <w:abstractNumId w:val="1"/>
  </w:num>
  <w:num w:numId="54" w16cid:durableId="709258677">
    <w:abstractNumId w:val="2"/>
  </w:num>
  <w:num w:numId="55" w16cid:durableId="2007629934">
    <w:abstractNumId w:val="3"/>
  </w:num>
  <w:num w:numId="56" w16cid:durableId="1775713565">
    <w:abstractNumId w:val="8"/>
  </w:num>
  <w:num w:numId="57" w16cid:durableId="1121418020">
    <w:abstractNumId w:val="4"/>
  </w:num>
  <w:num w:numId="58" w16cid:durableId="1178542782">
    <w:abstractNumId w:val="5"/>
  </w:num>
  <w:num w:numId="59" w16cid:durableId="748498300">
    <w:abstractNumId w:val="6"/>
  </w:num>
  <w:num w:numId="60" w16cid:durableId="906111083">
    <w:abstractNumId w:val="7"/>
  </w:num>
  <w:num w:numId="61" w16cid:durableId="277880610">
    <w:abstractNumId w:val="9"/>
  </w:num>
  <w:num w:numId="62" w16cid:durableId="1932666826">
    <w:abstractNumId w:val="0"/>
  </w:num>
  <w:num w:numId="63" w16cid:durableId="1278217058">
    <w:abstractNumId w:val="1"/>
  </w:num>
  <w:num w:numId="64" w16cid:durableId="37093813">
    <w:abstractNumId w:val="2"/>
  </w:num>
  <w:num w:numId="65" w16cid:durableId="1390301843">
    <w:abstractNumId w:val="3"/>
  </w:num>
  <w:num w:numId="66" w16cid:durableId="2096852569">
    <w:abstractNumId w:val="8"/>
  </w:num>
  <w:num w:numId="67" w16cid:durableId="666519776">
    <w:abstractNumId w:val="4"/>
  </w:num>
  <w:num w:numId="68" w16cid:durableId="1193111241">
    <w:abstractNumId w:val="5"/>
  </w:num>
  <w:num w:numId="69" w16cid:durableId="389378212">
    <w:abstractNumId w:val="6"/>
  </w:num>
  <w:num w:numId="70" w16cid:durableId="1937666174">
    <w:abstractNumId w:val="7"/>
  </w:num>
  <w:num w:numId="71" w16cid:durableId="233514915">
    <w:abstractNumId w:val="9"/>
  </w:num>
  <w:num w:numId="72" w16cid:durableId="1061291012">
    <w:abstractNumId w:val="11"/>
  </w:num>
  <w:num w:numId="73" w16cid:durableId="17604480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2D0"/>
    <w:rsid w:val="00041485"/>
    <w:rsid w:val="000B5F5E"/>
    <w:rsid w:val="001B23CF"/>
    <w:rsid w:val="00410006"/>
    <w:rsid w:val="004A62D0"/>
    <w:rsid w:val="005F2992"/>
    <w:rsid w:val="005F40FF"/>
    <w:rsid w:val="007A78D4"/>
    <w:rsid w:val="00956185"/>
    <w:rsid w:val="00A36221"/>
    <w:rsid w:val="00AD40FF"/>
    <w:rsid w:val="00E9576F"/>
    <w:rsid w:val="00FB4AC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EBC9A"/>
  <w15:docId w15:val="{FF737888-56A3-D942-B189-BFBB0FA4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956185"/>
    <w:pPr>
      <w:keepNext/>
      <w:keepLines/>
      <w:spacing w:before="200" w:after="0"/>
      <w:outlineLvl w:val="1"/>
    </w:pPr>
    <w:rPr>
      <w:rFonts w:ascii="Times New Roman" w:eastAsiaTheme="majorEastAsia" w:hAnsi="Times New Roman" w:cstheme="majorBidi"/>
      <w:b/>
      <w:bCs/>
      <w:color w:val="000000" w:themeColor="tex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956185"/>
    <w:rPr>
      <w:rFonts w:ascii="Times New Roman" w:hAnsi="Times New Roman"/>
    </w:rPr>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956185"/>
    <w:rPr>
      <w:rFonts w:ascii="Times New Roman" w:hAnsi="Times New Roman"/>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semiHidden/>
    <w:unhideWhenUsed/>
    <w:rsid w:val="00956185"/>
    <w:rPr>
      <w:color w:val="800080" w:themeColor="followedHyperlink"/>
      <w:u w:val="single"/>
    </w:rPr>
  </w:style>
  <w:style w:type="character" w:customStyle="1" w:styleId="BodyTextChar">
    <w:name w:val="Body Text Char"/>
    <w:basedOn w:val="DefaultParagraphFont"/>
    <w:link w:val="BodyText"/>
    <w:rsid w:val="00956185"/>
  </w:style>
  <w:style w:type="paragraph" w:styleId="ListParagraph">
    <w:name w:val="List Paragraph"/>
    <w:basedOn w:val="Normal"/>
    <w:rsid w:val="005F40FF"/>
    <w:pPr>
      <w:ind w:left="720"/>
      <w:contextualSpacing/>
    </w:pPr>
  </w:style>
  <w:style w:type="character" w:styleId="LineNumber">
    <w:name w:val="line number"/>
    <w:basedOn w:val="DefaultParagraphFont"/>
    <w:semiHidden/>
    <w:unhideWhenUsed/>
    <w:rsid w:val="005F4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tree.2021.04.009" TargetMode="External"/><Relationship Id="rId18" Type="http://schemas.openxmlformats.org/officeDocument/2006/relationships/hyperlink" Target="https://doi.org/10.1007/s00265-013-1639-x" TargetMode="External"/><Relationship Id="rId26" Type="http://schemas.openxmlformats.org/officeDocument/2006/relationships/hyperlink" Target="https://doi.org/10.1098/rsbl.2011.0480" TargetMode="External"/><Relationship Id="rId3" Type="http://schemas.openxmlformats.org/officeDocument/2006/relationships/styles" Target="styles.xml"/><Relationship Id="rId21" Type="http://schemas.openxmlformats.org/officeDocument/2006/relationships/hyperlink" Target="https://doi.org/10.1016/j.anbehav.2014.02.017" TargetMode="External"/><Relationship Id="rId7" Type="http://schemas.openxmlformats.org/officeDocument/2006/relationships/endnotes" Target="endnotes.xml"/><Relationship Id="rId12" Type="http://schemas.openxmlformats.org/officeDocument/2006/relationships/hyperlink" Target="https://doi.org/10.1016/j.anbehav.2015.10.027" TargetMode="External"/><Relationship Id="rId17" Type="http://schemas.openxmlformats.org/officeDocument/2006/relationships/hyperlink" Target="https://doi.org/10.1002/ece3.22" TargetMode="External"/><Relationship Id="rId25" Type="http://schemas.openxmlformats.org/officeDocument/2006/relationships/hyperlink" Target="https://doi.org/10.1016/j.anbehav.2015.01.018"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71/ZO14098" TargetMode="External"/><Relationship Id="rId20" Type="http://schemas.openxmlformats.org/officeDocument/2006/relationships/hyperlink" Target="https://doi.org/10.1016/j.ygcen.2013.10.006" TargetMode="External"/><Relationship Id="rId29" Type="http://schemas.openxmlformats.org/officeDocument/2006/relationships/hyperlink" Target="https://doi.org/10.1111/brv.1233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8/rsbl.2011.1161" TargetMode="External"/><Relationship Id="rId24" Type="http://schemas.openxmlformats.org/officeDocument/2006/relationships/hyperlink" Target="https://doi.org/10.1146/annurev.ecolsys.35.112202.130152"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98/rspb.2013.3275" TargetMode="External"/><Relationship Id="rId23" Type="http://schemas.openxmlformats.org/officeDocument/2006/relationships/hyperlink" Target="https://doi.org/10.1073/pnas.0812671106" TargetMode="External"/><Relationship Id="rId28" Type="http://schemas.openxmlformats.org/officeDocument/2006/relationships/hyperlink" Target="https://doi.org/10.1098/rsbl.2014.0430" TargetMode="External"/><Relationship Id="rId10" Type="http://schemas.openxmlformats.org/officeDocument/2006/relationships/hyperlink" Target="https://doi.org/10.1007/s10071-013-0665-4" TargetMode="External"/><Relationship Id="rId19" Type="http://schemas.openxmlformats.org/officeDocument/2006/relationships/hyperlink" Target="https://doi.org/10.1002/(SICI)1096-9861(19970414)380:3%3c409::AID-CNE9%3e3.0.CO;2-6" TargetMode="External"/><Relationship Id="rId31" Type="http://schemas.openxmlformats.org/officeDocument/2006/relationships/hyperlink" Target="https://doi.org/10.1002/jnr.20338" TargetMode="External"/><Relationship Id="rId4" Type="http://schemas.openxmlformats.org/officeDocument/2006/relationships/settings" Target="settings.xml"/><Relationship Id="rId9" Type="http://schemas.openxmlformats.org/officeDocument/2006/relationships/hyperlink" Target="https://doi.org/10.1007/s10071-016-0993-2" TargetMode="External"/><Relationship Id="rId14" Type="http://schemas.openxmlformats.org/officeDocument/2006/relationships/hyperlink" Target="https://doi.org/10.1016/j.tree.2013.02.004" TargetMode="External"/><Relationship Id="rId22" Type="http://schemas.openxmlformats.org/officeDocument/2006/relationships/hyperlink" Target="https://doi.org/10.1098/rsbl.2017.0002" TargetMode="External"/><Relationship Id="rId27" Type="http://schemas.openxmlformats.org/officeDocument/2006/relationships/hyperlink" Target="https://doi.org/10.1073/pnas.97.20.11032" TargetMode="External"/><Relationship Id="rId30" Type="http://schemas.openxmlformats.org/officeDocument/2006/relationships/hyperlink" Target="https://doi.org/10.1016/0166-4328(94)90100-7" TargetMode="External"/><Relationship Id="rId8" Type="http://schemas.openxmlformats.org/officeDocument/2006/relationships/hyperlink" Target="https://doi.org/10.1007/s10071-020-0136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CCA0C-6D38-0940-B8C3-9CE111E13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2625</Words>
  <Characters>14967</Characters>
  <Application>Microsoft Office Word</Application>
  <DocSecurity>0</DocSecurity>
  <Lines>124</Lines>
  <Paragraphs>35</Paragraphs>
  <ScaleCrop>false</ScaleCrop>
  <Company/>
  <LinksUpToDate>false</LinksUpToDate>
  <CharactersWithSpaces>17557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Noble</dc:creator>
  <cp:keywords/>
  <cp:lastModifiedBy>Pablo Recio Santiago</cp:lastModifiedBy>
  <cp:revision>6</cp:revision>
  <dcterms:created xsi:type="dcterms:W3CDTF">2023-05-10T03:53:00Z</dcterms:created>
  <dcterms:modified xsi:type="dcterms:W3CDTF">2024-09-16T23:43:00Z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