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1.png" ContentType="image/png"/>
  <Override PartName="/word/media/rId55.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image26.png" ContentType="image/png"/>
  <Override PartName="/word/media/image15.png" ContentType="image/png"/>
  <Override PartName="/word/media/image1.png" ContentType="image/png"/>
  <Override PartName="/word/media/image2.svgz" ContentType="image/svg+xml"/>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25.png" ContentType="image/png"/>
  <Override PartName="/word/media/image14.png" ContentType="image/png"/>
  <Override PartName="/word/media/image13.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2"/>
      </w:pPr>
      <w:r>
        <w:t xml:space="preserve">Introduction</w:t>
      </w:r>
    </w:p>
    <w:p>
      <w:pPr>
        <w:numPr>
          <w:ilvl w:val="0"/>
          <w:numId w:val="1001"/>
        </w:numPr>
      </w:pPr>
      <w:r>
        <w:t xml:space="preserve">Quantitative abilities and its importance</w:t>
      </w:r>
      <w:r>
        <w:t xml:space="preserve"> </w:t>
      </w:r>
      <w:r>
        <w:t xml:space="preserve">The knowledge of quantities and the relation among them is one of the highest properties of cognition (Reznikova 2018). Among those numerical competences, the simplest ability is to make judgments and comparisons between</w:t>
      </w:r>
      <w:r>
        <w:t xml:space="preserve"> </w:t>
      </w:r>
      <w:r>
        <w:t xml:space="preserve">“</w:t>
      </w:r>
      <w:r>
        <w:t xml:space="preserve">more</w:t>
      </w:r>
      <w:r>
        <w:t xml:space="preserve">”</w:t>
      </w:r>
      <w:r>
        <w:t xml:space="preserve"> </w:t>
      </w:r>
      <w:r>
        <w:t xml:space="preserve">versus</w:t>
      </w:r>
      <w:r>
        <w:t xml:space="preserve"> </w:t>
      </w:r>
      <w:r>
        <w:t xml:space="preserve">“</w:t>
      </w:r>
      <w:r>
        <w:t xml:space="preserve">less</w:t>
      </w:r>
      <w:r>
        <w:t xml:space="preserve">”</w:t>
      </w:r>
      <w:r>
        <w:t xml:space="preserve"> </w:t>
      </w:r>
      <w:r>
        <w:t xml:space="preserve">(Reznikova 2007; Stancher et al. 2015), which is widespread in the animal kingdom (Vonk and Beran 2012; Beran et al. 2014). Sensitivity to relative differences in quantity might be adaptive in several situations (Nieder 2017, 2018). For instance, female lions (Panthera leo) seem to use numerical assessment of possible rivals to cope with or avoid social contests (McComb et al. 1994). Moreover, the ability to correctly estimate quantities is also associated with, for example, navigation (Chitka and Geiger 1995), choosing larger groups of potential mates (Carazo et al. 2009) and/or social companions (Bisazza et al. 2010), or increasing foraging efficiency (Uller et al. 2003).</w:t>
      </w:r>
      <w:r>
        <w:t xml:space="preserve"> </w:t>
      </w:r>
      <w:r>
        <w:t xml:space="preserve">In this sense, the literature is plenty of studies employing the spontaneous choice approach in many animals (e.g., see Carazo et al. 2009; Pahl et al. 2013 for invertebrates; Bisazza et al. 2010; Gómez-Laplaza and Gerlai 2013; Mehlis et al. 2015 for fishes; Uller et al. 2003; Krusche et al. 2010; Stancher et al. 2015 for amphibians; Garland et al. 2012 for birds; Ferkin et al. 2005; Abramson et al. 2011; Mahamane et al. 2014; Cox and Montrose 2016; Plotnik et al. 2019 for mammals) and also of research that explores numerical abilities with training procedures (e.g., see Gross et al. 2009; Pahl et al. 2013; Howard et al. 2018, 2019, for invertebrates; Bisazza et al. 2014 for fishes; Nieder 2017 for birds; Kilian et al. 2003; Addessi et al. 2008; Vonk and Beran 2012; Vonk 2014; Beran and Parrish 2016; Nieder 2017 for mammals).</w:t>
      </w:r>
    </w:p>
    <w:p>
      <w:pPr>
        <w:numPr>
          <w:ilvl w:val="0"/>
          <w:numId w:val="1001"/>
        </w:numPr>
      </w:pPr>
      <w:r>
        <w:t xml:space="preserve">Different ways to test numerical abilities</w:t>
      </w:r>
      <w:r>
        <w:t xml:space="preserve"> </w:t>
      </w:r>
      <w:r>
        <w:t xml:space="preserve">There are two main approaches to study numerical abilities: spontaneous choice tests and training procedures. In spontaneous choice tests, experimenters present to subjects two groups of biologically relevant stimuli that differ in numerosity, under the assumption that animals should select the most appropriate quantity (e.g. the larger amount of food) (Agrillo and Bisazza 2014; Cox and Montrose 2016). In training</w:t>
      </w:r>
      <w:r>
        <w:t xml:space="preserve"> </w:t>
      </w:r>
      <w:r>
        <w:t xml:space="preserve">procedures, animals must learn a numerical rule to receive a reward (Agrillo and Bisazza 2014; Miletto-Petrazzini et al. 2018). Both experimental approaches have some advantages and disadvantages (reviewed in Agrillo and Bisazza 2014). In spontaneous choice tests, animals exhibit their natural behavior, enabling interspecific comparisons and the acquirement of ecological issues related to numerousness (Krusche et al. 2010; Abramson et al. 2011). However, motivation plays a key-role in spontaneous choice tests (Agrillo and Bisazza 2014), which implies that the absence of results might not be due to the lack of skills to solve the numerical task. Also, individual preferences may arise in this kind of procedures and, hence, a large sample of subjects is needed to consider inter-individual variability. Finally, it could be difficult, but necessary, to control for continuous variables such as area, density or movement (Agrillo and Bisazza 2014; Mehlis et al. 2015). Regardless, both methods are considered complementary and necessary to draw a firm picture of the numerical abilities of a species (Miletto-</w:t>
      </w:r>
      <w:r>
        <w:t xml:space="preserve"> </w:t>
      </w:r>
      <w:r>
        <w:t xml:space="preserve">Petrazzini et al. 2018).</w:t>
      </w:r>
    </w:p>
    <w:p>
      <w:pPr>
        <w:numPr>
          <w:ilvl w:val="0"/>
          <w:numId w:val="1001"/>
        </w:numPr>
      </w:pPr>
      <w:r>
        <w:t xml:space="preserve">The role of early environment on the development of cogition</w:t>
      </w:r>
      <w:r>
        <w:t xml:space="preserve"> </w:t>
      </w:r>
      <w:r>
        <w:t xml:space="preserve">The conditions in which organisms develop can be altered by the circumstances faced by their parents. For instance, exposing threespine sticklebacks females to a model predator during ovulation, affected their offspring’s tedency to use social cues (Feng et al., 2015). Under stressful situations, animal’s sensory systems detect and transmit environmental signals to instigate adaptive physiological and behavioural adjustments – responses that are mediated by glucocorticoids (GCs) (Sapolsky et al., 2000). Glucocorticoids can be transmitted to offspring</w:t>
      </w:r>
      <w:r>
        <w:t xml:space="preserve"> </w:t>
      </w:r>
      <w:r>
        <w:t xml:space="preserve">and influence their phenotype and development t 46 hrough transgenerational effects (Crino et al., 2023). In addition to the environments experienced by parents, offspring also experience potentially stressful environmental conditions that can interact with or amplify parental effects. For example, human disturbance alters snapping turtles’ nest-site choice, ultimately impacting the temperature at which eggs are incubated (Kolbe &amp; Janzen, 2002). Because animals’ responses to abrupt changes in temperature are mediated by GCs (Crino et al., 2023), and this response can affect animals’ decision-making while nesting, GCs transmission and early thermal environment are predicted to interact to shape offspring phenotype. Both GCs and temperature are known to exert potent effects on brain development (Amiel et al., 2017; Coomber et al., 1997; Jonson et al., 1976; Zhu et al., 2004) and cognition (Clark et al., 2014; Lui et al., 2017).</w:t>
      </w:r>
    </w:p>
    <w:p>
      <w:pPr>
        <w:numPr>
          <w:ilvl w:val="1"/>
          <w:numId w:val="1002"/>
        </w:numPr>
        <w:pStyle w:val="Compact"/>
      </w:pPr>
      <w:r>
        <w:t xml:space="preserve">The role of stress hormones on the development of numerical abilities</w:t>
      </w:r>
      <w:r>
        <w:t xml:space="preserve"> </w:t>
      </w:r>
      <w:r>
        <w:t xml:space="preserve">NOTHING DONE?</w:t>
      </w:r>
    </w:p>
    <w:p>
      <w:pPr>
        <w:numPr>
          <w:ilvl w:val="1"/>
          <w:numId w:val="1002"/>
        </w:numPr>
        <w:pStyle w:val="Compact"/>
      </w:pPr>
      <w:r>
        <w:t xml:space="preserve">The role of temperature on the development of numerical abilities</w:t>
      </w:r>
      <w:r>
        <w:t xml:space="preserve"> </w:t>
      </w:r>
      <w:r>
        <w:t xml:space="preserve">Port Jackson shark eggs were incubated and reared at current and projected end-of-century temperatures (+ 3 °C). We tested juvenile’s learning ability with a quantity discrimination task. The mortality rate of sharks reared in warm water was 41.7% compared with no mortality in the present-day sharks. Contrary to expectations, our results suggest that surviving hatchlings from the elevated-temperature group took fewer days to reach learning criterion and had a higher proportion of correct choice compared with hatchlings reared under present conditions. Additionally, this is the first data suggesting that sharks can discriminate different quantities (Vila-Pouca et al., 2019).</w:t>
      </w:r>
    </w:p>
    <w:p>
      <w:pPr>
        <w:numPr>
          <w:ilvl w:val="0"/>
          <w:numId w:val="1001"/>
        </w:numPr>
      </w:pPr>
      <w:r>
        <w:t xml:space="preserve">Numerical abilities in reptiles</w:t>
      </w:r>
    </w:p>
    <w:p>
      <w:pPr>
        <w:numPr>
          <w:ilvl w:val="1"/>
          <w:numId w:val="1003"/>
        </w:numPr>
        <w:pStyle w:val="Compact"/>
      </w:pPr>
      <w:r>
        <w:t xml:space="preserve">Learned num abilities</w:t>
      </w:r>
    </w:p>
    <w:p>
      <w:pPr>
        <w:numPr>
          <w:ilvl w:val="1"/>
          <w:numId w:val="1003"/>
        </w:numPr>
        <w:pStyle w:val="Compact"/>
      </w:pPr>
      <w:r>
        <w:t xml:space="preserve">Spontaneous discrimination</w:t>
      </w:r>
      <w:r>
        <w:t xml:space="preserve"> </w:t>
      </w:r>
      <w:r>
        <w:t xml:space="preserve">In contrast, in reptiles, research of quantity discrimination is scarce and contradictory. Soldati et al. (2017) taught red-footed tortoises (Chelonoidis carbonaria) to associate cards of two colors to different volumes of reward and tested their choices afterward. In that succeeding experiment, tortoises showed a clear preference for the color card associated with a greater amount of food, thus concluding that discrimination between quantities is present in this species. Similarly, Hermann’s tortoises (Testudo hermanni) also proved to discriminate food by numerosity or size in spontaneous choice tests rating from 0.25 to 0.75 (Gazzola et al. 2018). In contrast, other studies suggest different results; in the Italian wall-lizard (Podarcis siculus), spontaneous choice tests showed no numerical discrimination abilities by this lizard (Miletto-Petrazzini et al. 2017), although learning procedures demonstrated an ability to discern between small close numbers (2 versus 4) (Miletto-Petrazzini et al. 2018).</w:t>
      </w:r>
      <w:r>
        <w:t xml:space="preserve"> </w:t>
      </w:r>
      <w:r>
        <w:rPr>
          <w:bCs/>
          <w:b/>
        </w:rPr>
        <w:t xml:space="preserve">Check new papers: Lin in turtles, Szabo in lizards, etc.</w:t>
      </w:r>
    </w:p>
    <w:p>
      <w:pPr>
        <w:numPr>
          <w:ilvl w:val="0"/>
          <w:numId w:val="1001"/>
        </w:numPr>
      </w:pPr>
      <w:r>
        <w:t xml:space="preserve">The role of early environment on reptiles cognition</w:t>
      </w:r>
      <w:r>
        <w:t xml:space="preserve"> </w:t>
      </w:r>
      <w:r>
        <w:t xml:space="preserve">Both GCs and temperature are known to exert potent effects on brain development (Amiel et al., 2017; Coomber et al., 1997) and cognition (Clark et al., 2014), but little is known about how they affect numerical discrimination. Most studies have reported better performance in different associative learning and motor tasks when incubated at higher temperatures (Amiel et al., 2014; Amiel &amp; Shine, 2012; Clark et al., 2014). Studies that have reported cold-incubated lizards to learning faster (Abayarathna &amp; Webb, 2020; Dayananda &amp; Webb, 2017) used incubation temperatures far beyond the natural range in their hot treatments and it is unclear how such conditions relate to wild environments. Furthermore, sensorial capacities:</w:t>
      </w:r>
      <w:r>
        <w:t xml:space="preserve"> </w:t>
      </w:r>
      <w:r>
        <w:rPr>
          <w:bCs/>
          <w:b/>
        </w:rPr>
        <w:t xml:space="preserve">Studies from Burger</w:t>
      </w:r>
      <w:r>
        <w:t xml:space="preserve"> </w:t>
      </w:r>
      <w:r>
        <w:t xml:space="preserve">|</w:t>
      </w:r>
      <w:r>
        <w:t xml:space="preserve"> </w:t>
      </w:r>
      <w:r>
        <w:rPr>
          <w:bCs/>
          <w:b/>
        </w:rPr>
        <w:t xml:space="preserve">CORT and cognition in reptiles</w:t>
      </w:r>
      <w:r>
        <w:t xml:space="preserve"> </w:t>
      </w:r>
      <w:r>
        <w:t xml:space="preserve">|</w:t>
      </w:r>
      <w:r>
        <w:t xml:space="preserve"> </w:t>
      </w:r>
      <w:r>
        <w:rPr>
          <w:bCs/>
          <w:b/>
        </w:rPr>
        <w:t xml:space="preserve">CORT and brain in reptiles</w:t>
      </w:r>
    </w:p>
    <w:p>
      <w:pPr>
        <w:numPr>
          <w:ilvl w:val="0"/>
          <w:numId w:val="1001"/>
        </w:numPr>
      </w:pPr>
      <w:r>
        <w:t xml:space="preserve">Hypotheses</w:t>
      </w:r>
    </w:p>
    <w:p>
      <w:pPr>
        <w:numPr>
          <w:ilvl w:val="1"/>
          <w:numId w:val="1004"/>
        </w:numPr>
        <w:pStyle w:val="Compact"/>
      </w:pPr>
      <w:r>
        <w:t xml:space="preserve">We expect that lizards incubated at high temperatures will have a better performance in the numerical discrimination task than those incubated at low temperatures.</w:t>
      </w:r>
    </w:p>
    <w:p>
      <w:pPr>
        <w:numPr>
          <w:ilvl w:val="1"/>
          <w:numId w:val="1004"/>
        </w:numPr>
        <w:pStyle w:val="Compact"/>
      </w:pPr>
      <w:r>
        <w:t xml:space="preserve">We expect that lizards incubated with CORT will have a worse performance in the numerical discrimination task than those incubated with the vehicle.</w:t>
      </w:r>
    </w:p>
    <w:p>
      <w:pPr>
        <w:numPr>
          <w:ilvl w:val="1"/>
          <w:numId w:val="1004"/>
        </w:numPr>
        <w:pStyle w:val="Compact"/>
      </w:pPr>
      <w:r>
        <w:t xml:space="preserve">We expect that the effect of CORT on the performance of the numerical discrimination task will be more pronounced in lizards incubated at low temperatures than in those incubated at high temperatures.</w:t>
      </w:r>
    </w:p>
    <w:p>
      <w:pPr>
        <w:numPr>
          <w:ilvl w:val="0"/>
          <w:numId w:val="1001"/>
        </w:numPr>
      </w:pPr>
      <w:r>
        <w:t xml:space="preserve">Predictions:</w:t>
      </w:r>
    </w:p>
    <w:p>
      <w:pPr>
        <w:numPr>
          <w:ilvl w:val="1"/>
          <w:numId w:val="1005"/>
        </w:numPr>
        <w:pStyle w:val="Compact"/>
      </w:pPr>
      <w:r>
        <w:t xml:space="preserve">Lizards incubated at high temperatures will discriminate better quantities even with low ratios (lower latencies, choose large amount more often, more interested in larger amounts - i.e. </w:t>
      </w:r>
      <w:r>
        <w:t xml:space="preserve">“</w:t>
      </w:r>
      <w:r>
        <w:t xml:space="preserve">fail</w:t>
      </w:r>
      <w:r>
        <w:t xml:space="preserve">”</w:t>
      </w:r>
      <w:r>
        <w:t xml:space="preserve"> </w:t>
      </w:r>
      <w:r>
        <w:t xml:space="preserve">less tests).</w:t>
      </w:r>
    </w:p>
    <w:p>
      <w:pPr>
        <w:numPr>
          <w:ilvl w:val="1"/>
          <w:numId w:val="1005"/>
        </w:numPr>
        <w:pStyle w:val="Compact"/>
      </w:pPr>
      <w:r>
        <w:t xml:space="preserve">Lizards incubated with CORT will discriminate worse quantities even with high ratios (higher latencies, choices not different from chance, equally interested in both amounts of food - i.e. </w:t>
      </w:r>
      <w:r>
        <w:t xml:space="preserve">“</w:t>
      </w:r>
      <w:r>
        <w:t xml:space="preserve">fail</w:t>
      </w:r>
      <w:r>
        <w:t xml:space="preserve">”</w:t>
      </w:r>
      <w:r>
        <w:t xml:space="preserve"> </w:t>
      </w:r>
      <w:r>
        <w:t xml:space="preserve">more tests).</w:t>
      </w:r>
    </w:p>
    <w:p>
      <w:pPr>
        <w:numPr>
          <w:ilvl w:val="1"/>
          <w:numId w:val="1005"/>
        </w:numPr>
        <w:pStyle w:val="Compact"/>
      </w:pPr>
      <w:r>
        <w:t xml:space="preserve">The effect of CORT on the performance of the numerical discrimination task will be more pronounced in lizards incubated at low temperatures than in those incubated at high temperatures (i.e. CORT-Cold will</w:t>
      </w:r>
      <w:r>
        <w:t xml:space="preserve"> </w:t>
      </w:r>
      <w:r>
        <w:t xml:space="preserve">“</w:t>
      </w:r>
      <w:r>
        <w:t xml:space="preserve">fail</w:t>
      </w:r>
      <w:r>
        <w:t xml:space="preserve">”</w:t>
      </w:r>
      <w:r>
        <w:t xml:space="preserve"> </w:t>
      </w:r>
      <w:r>
        <w:t xml:space="preserve">more tests than anyone else).</w:t>
      </w:r>
    </w:p>
    <w:bookmarkEnd w:id="20"/>
    <w:bookmarkStart w:id="30" w:name="methods"/>
    <w:p>
      <w:pPr>
        <w:pStyle w:val="Heading2"/>
      </w:pPr>
      <w:r>
        <w:t xml:space="preserve">Methods</w:t>
      </w:r>
    </w:p>
    <w:bookmarkStart w:id="21" w:name="husbandry"/>
    <w:p>
      <w:pPr>
        <w:pStyle w:val="Heading4"/>
      </w:pPr>
      <w:r>
        <w:t xml:space="preserve">Husbandry</w:t>
      </w:r>
    </w:p>
    <w:p>
      <w:pPr>
        <w:pStyle w:val="FirstParagraph"/>
      </w:pPr>
      <w:r>
        <w:rPr>
          <w:iCs/>
          <w:i/>
        </w:rPr>
        <w:t xml:space="preserve">Breeding colony</w:t>
      </w:r>
      <w:r>
        <w:t xml:space="preserve"> </w:t>
      </w:r>
      <w:r>
        <w:t xml:space="preserve">– Lizards tested in out experiment came from a breeding colony established in the lab since 2019. The colony consists of approx. 180 adults of and</w:t>
      </w:r>
      <w:r>
        <w:t xml:space="preserve"> </w:t>
      </w:r>
      <w:r>
        <w:rPr>
          <w:iCs/>
          <w:i/>
        </w:rPr>
        <w:t xml:space="preserve">L. guichenoti</w:t>
      </w:r>
      <w:r>
        <w:t xml:space="preserve"> </w:t>
      </w:r>
      <w:r>
        <w:t xml:space="preserve">housed in commonal containers (41.5 L x 30.5 W x 21 H cm) with six lizards (2 males and 4 females) per enclosure. Enclosures are provided with non-stick matting, shelter, and several small water dishes filled daily; and lizards are fed mid-size crickets (</w:t>
      </w:r>
      <w:r>
        <w:rPr>
          <w:iCs/>
          <w:i/>
        </w:rPr>
        <w:t xml:space="preserve">Acheta domestica</w:t>
      </w:r>
      <w:r>
        <w:t xml:space="preserve">) three days a week. Crickets are dusted with calcium weekly and multivitamin and calcium biweekly. Room temperatures are set to 22-24ºC, but to ensure a temperature gradient, we employ a heat chord and a heat lamp following a 12 h light:12 h dark cycle, keeping the warm side of enclosures at 32ºC.</w:t>
      </w:r>
    </w:p>
    <w:p>
      <w:pPr>
        <w:pStyle w:val="BodyText"/>
      </w:pPr>
      <w:r>
        <w:rPr>
          <w:iCs/>
          <w:i/>
        </w:rPr>
        <w:t xml:space="preserve">Eggs collection and incubation</w:t>
      </w:r>
      <w:r>
        <w:t xml:space="preserve"> </w:t>
      </w:r>
      <w:r>
        <w:t xml:space="preserve">– Between mid-October 2023 to the end of February 2024, we placed small boxes (12.5 L x 8.3 W x 5 H cm) with moist vermiculite inside in one extreme of the communal enclosures (see above) to provided females with a place to lay the eggs. We checked for the presence of eggs in the boxes three days a week. Eggs’ length and width were measured with a digital caliper to the nearest 0.1 mm, while mass was recorded with a (OHAUS, Model spx123) digital scale ± 0.001g error. Eggs were assigned a clutch number and a individual identity. Then we treated eggs with CORT or vehicle (see CORT and Temperature manipulation below) and placed them in individual cups (80 mL) with moist vermiculite (12 parts water to 4 parts vermiculite). We covered the cups with cling wrap to retain moisture and then left the eggs in LATWIT 2X5D-R1160 incubators at two different temperatures (see CORT and Temperature manipulation below) until hatching.</w:t>
      </w:r>
    </w:p>
    <w:p>
      <w:pPr>
        <w:pStyle w:val="BodyText"/>
      </w:pPr>
      <w:r>
        <w:rPr>
          <w:iCs/>
          <w:i/>
        </w:rPr>
        <w:t xml:space="preserve">Hatchlings</w:t>
      </w:r>
      <w:r>
        <w:t xml:space="preserve"> </w:t>
      </w:r>
      <w:r>
        <w:t xml:space="preserve">– Incubators were checked three times a week for the presence of hatchlings. Once hatchlings were collected, we measured SVL and Tail Length (TL) with a ruler to the nearest mm, and weighed them with a (OHAUS, Model spx123) digital scale ± 0.001g error. Hatchlings were then placed in individual enclosures (18.7L x 13.2W x 6.3H cm) provided with non-stick matting and a small water dish. During this period, they were sprayed water every day and received 3-6 small</w:t>
      </w:r>
      <w:r>
        <w:t xml:space="preserve"> </w:t>
      </w:r>
      <w:r>
        <w:rPr>
          <w:iCs/>
          <w:i/>
        </w:rPr>
        <w:t xml:space="preserve">A. domestica</w:t>
      </w:r>
      <w:r>
        <w:t xml:space="preserve"> </w:t>
      </w:r>
      <w:r>
        <w:t xml:space="preserve">crickets three times a week. All care otherwise follows similar protocols to adults (see above).</w:t>
      </w:r>
    </w:p>
    <w:bookmarkEnd w:id="21"/>
    <w:bookmarkStart w:id="22" w:name="X5a274fa4cacecb585d7c5e60344fa6f16959ba1"/>
    <w:p>
      <w:pPr>
        <w:pStyle w:val="Heading4"/>
      </w:pPr>
      <w:r>
        <w:t xml:space="preserve">Manipulating Early Thermal and CORT Environments</w:t>
      </w:r>
    </w:p>
    <w:p>
      <w:pPr>
        <w:pStyle w:val="FirstParagraph"/>
      </w:pPr>
      <w:r>
        <w:t xml:space="preserve">We manipulated CORT concentration in eggs and incubated them under one of two temperature regimes (Cold – 23ºC ± 3ºC or Hot – 30ºC ± 3ºC) in a 2x2 factorial design (</w:t>
      </w:r>
      <w:hyperlink w:anchor="fig-Methods">
        <w:r>
          <w:rPr>
            <w:rStyle w:val="Hyperlink"/>
          </w:rPr>
          <w:t xml:space="preserve">Fig. 1</w:t>
        </w:r>
      </w:hyperlink>
      <w:r>
        <w:t xml:space="preserve"> </w:t>
      </w:r>
      <w:r>
        <w:t xml:space="preserve">A). We first allocated eggs onto one of two different treatments: in the CORT treatment, eggs were topically supplied with 5µL of CORT dissolved in 100% Ethanol (vehicle) at a final (10 pg CORT/mL) concentration; in the Control treatment eggs received an equal volume of the vehicle. CORT concentration employed in the CORT treatment represents 2 standard deviations above the mean natural concentration obtained in eggs from both species (non-published data). Then, eggs were incubated in one of the two previously mentioned temperature regimes (Cold or Hot) until hatching. This temperatures represent the upper and lower limit of the natural incubation temperatures</w:t>
      </w:r>
      <w:r>
        <w:t xml:space="preserve"> </w:t>
      </w:r>
      <w:r>
        <w:t xml:space="preserve">(</w:t>
      </w:r>
      <w:hyperlink w:anchor="ref-qualls2000post">
        <w:r>
          <w:rPr>
            <w:rStyle w:val="Hyperlink"/>
          </w:rPr>
          <w:t xml:space="preserve">Qualls and Shine 2000</w:t>
        </w:r>
      </w:hyperlink>
      <w:r>
        <w:t xml:space="preserve">)</w:t>
      </w:r>
      <w:r>
        <w:t xml:space="preserve">. The number of eggs per clutch assigned to each hormone and temperature treatment were counterbalanced in both species.</w:t>
      </w:r>
    </w:p>
    <w:bookmarkEnd w:id="22"/>
    <w:bookmarkStart w:id="27" w:name="numerical-discrimination-task"/>
    <w:p>
      <w:pPr>
        <w:pStyle w:val="Heading4"/>
      </w:pPr>
      <w:r>
        <w:t xml:space="preserve">Numerical discrimination task</w:t>
      </w:r>
    </w:p>
    <w:p>
      <w:pPr>
        <w:pStyle w:val="FirstParagraph"/>
      </w:pPr>
      <w:r>
        <w:t xml:space="preserve">Two weeks before starting the experimen phase (see below), lizards were moved to the experimental arena for acclimatation. The arenas were individual medium size (41 L x 29.7 W x 22 H cm) plastic containers provided with a shelter (9 L x 6 W x 1.5 H cm) on one of the extremes and a water dish on the center (</w:t>
      </w:r>
      <w:hyperlink w:anchor="fig-Methods">
        <w:r>
          <w:rPr>
            <w:rStyle w:val="Hyperlink"/>
          </w:rPr>
          <w:t xml:space="preserve">Fig. 1</w:t>
        </w:r>
      </w:hyperlink>
      <w:r>
        <w:t xml:space="preserve"> </w:t>
      </w:r>
      <w:r>
        <w:t xml:space="preserve">B). The new enclosures were placed in 7 different racks located in two different rooms. Each rack was associated to its own CCTV systems (device model DVR-HP210475) allowing us to record lizards’ behaviour during the experiment. The number of lizards per species and treatment in each rack was counterbalanced to control for any effect of the room or the position of the lizard in the rack. During acclimatation and throughout the experiment, lizards were fed with only one cricket per day dusted with calcium and multivitamin (see protocol below), and water was supplied</w:t>
      </w:r>
      <w:r>
        <w:t xml:space="preserve"> </w:t>
      </w:r>
      <w:r>
        <w:rPr>
          <w:iCs/>
          <w:i/>
        </w:rPr>
        <w:t xml:space="preserve">ad libitum</w:t>
      </w:r>
      <w:r>
        <w:t xml:space="preserve">. The temperature of both rooms was set to between 22-24ºC, but we also provided a temperature gradient by means of a heat cord along the center of the arena, and heat lamps in a 12 h light: 12 h dark cycle.</w:t>
      </w:r>
    </w:p>
    <w:p>
      <w:pPr>
        <w:pStyle w:val="BodyText"/>
      </w:pPr>
      <w:r>
        <w:t xml:space="preserve">The numerical discrimination test consisted in a series of two-choice trials where lizards where presented with different number of food items. Each choice was placed in one of two sides of a white 3D printed platform (see</w:t>
      </w:r>
      <w:r>
        <w:t xml:space="preserve"> </w:t>
      </w:r>
      <w:hyperlink w:anchor="fig-Methods">
        <w:r>
          <w:rPr>
            <w:rStyle w:val="Hyperlink"/>
          </w:rPr>
          <w:t xml:space="preserve">Fig. 1</w:t>
        </w:r>
      </w:hyperlink>
      <w:r>
        <w:t xml:space="preserve"> </w:t>
      </w:r>
      <w:r>
        <w:t xml:space="preserve">B, C) and then covered with a transparent Petri dish to prevent the lizard from obtaining the food. We performed five tests that differed in the ratio between both choices: 1 VS 4, 1 VS 3, 2 VS 4, 2 VS 3, 3 VS 4. We never used more than four items because higher numbers are considered to be encoded by different regions of the brain [</w:t>
      </w:r>
      <w:r>
        <w:rPr>
          <w:bCs/>
          <w:b/>
        </w:rPr>
        <w:t xml:space="preserve">REFs</w:t>
      </w:r>
      <w:r>
        <w:t xml:space="preserve">]. The food consisted in frozen small crickets (</w:t>
      </w:r>
      <w:r>
        <w:rPr>
          <w:iCs/>
          <w:i/>
        </w:rPr>
        <w:t xml:space="preserve">A. domestica</w:t>
      </w:r>
      <w:r>
        <w:t xml:space="preserve">) that were thawed and dusted with calcium and multivitamin. We decided to use frozen crickets to avoid movement to affect lizards’ behaviour. Lizards were fed frozen crickets during one month before the beginning of the experiments for habituation to frozen prey. Two weeks before the experiments, to habituate lizards to the platform and the Petri dish, the frozen cricket that was placed on top of the Petri dish in one of the sides of the platform, simulating the conditions of the experiment (see</w:t>
      </w:r>
      <w:r>
        <w:t xml:space="preserve"> </w:t>
      </w:r>
      <w:hyperlink w:anchor="fig-Methods">
        <w:r>
          <w:rPr>
            <w:rStyle w:val="Hyperlink"/>
          </w:rPr>
          <w:t xml:space="preserve">Fig. 1</w:t>
        </w:r>
      </w:hyperlink>
      <w:r>
        <w:t xml:space="preserve"> </w:t>
      </w:r>
      <w:r>
        <w:t xml:space="preserve">B). The side where the food was placed was changed every day to avoid any side bias during the trials. However, to further control for that, the side where we placed the higher number of crickets was randomised between trials and individuals. We also counterbalanced the amount of individuals per treatment tested in the same type of trial each day. The crickets used during the experiment were all the same size, but to control for other quantitative traits</w:t>
      </w:r>
      <w:r>
        <w:t xml:space="preserve"> </w:t>
      </w:r>
      <w:r>
        <w:t xml:space="preserve">[</w:t>
      </w:r>
      <w:r>
        <w:rPr>
          <w:bCs/>
          <w:b/>
        </w:rPr>
        <w:t xml:space="preserve">REFs In this regard, we must remark that, in our design, we did not control for other quantity-related continuous cues such as area, volume, density, weight, movement, or contour length that could be used for quantitative judgments (Uller et al. 2003; Krusche et al. 2010; Abramson et al. 2011; Garland et al. 2012; Vonk and Beran 2012; Gómez-Laplaza and Gerlai 2013; Mehlis et al. 2015), neither for olfactory cues (Plotnik et al. 2019). These continuous variables usually covariate with quantity, but discrimination among them does not necessarily imply processment of numerical information (Agrillo and Bissaza 2014).</w:t>
      </w:r>
      <w:r>
        <w:t xml:space="preserve">]</w:t>
      </w:r>
      <w:r>
        <w:t xml:space="preserve"> </w:t>
      </w:r>
      <w:r>
        <w:t xml:space="preserve">, we changed the orientation of the crickets as shown in</w:t>
      </w:r>
      <w:r>
        <w:t xml:space="preserve"> </w:t>
      </w:r>
      <w:hyperlink w:anchor="fig-Methods">
        <w:r>
          <w:rPr>
            <w:rStyle w:val="Hyperlink"/>
          </w:rPr>
          <w:t xml:space="preserve">Fig. 1</w:t>
        </w:r>
      </w:hyperlink>
      <w:r>
        <w:t xml:space="preserve"> </w:t>
      </w:r>
      <w:r>
        <w:t xml:space="preserve">D. In addition, after the experiments, we made another set of trials to test whether the orientation of the crickets could affect lizards’ choice, but we found no effect of orientation (see Supplementary Material - Prey orientation test).</w:t>
      </w:r>
    </w:p>
    <w:p>
      <w:pPr>
        <w:pStyle w:val="BodyText"/>
      </w:pPr>
      <w:r>
        <w:t xml:space="preserve">All tests were done between 10 and 12 in the morning when the lizards were most active. Each trial was performed daily for five days, between the 17</w:t>
      </w:r>
      <w:r>
        <w:rPr>
          <w:vertAlign w:val="superscript"/>
        </w:rPr>
        <w:t xml:space="preserve">th</w:t>
      </w:r>
      <w:r>
        <w:t xml:space="preserve"> </w:t>
      </w:r>
      <w:r>
        <w:t xml:space="preserve">to the 22</w:t>
      </w:r>
      <w:r>
        <w:rPr>
          <w:vertAlign w:val="superscript"/>
        </w:rPr>
        <w:t xml:space="preserve">nd</w:t>
      </w:r>
      <w:r>
        <w:t xml:space="preserve"> </w:t>
      </w:r>
      <w:r>
        <w:t xml:space="preserve">of May 2024. We recorded three main variables: i) Latency, defined as the time between the start of the test - when the platform was left in the enclosure - until the first interaction with one of the options; ii) First choice of the lizard, recorded as 1 if the lizard interacted first with the larger amount or 0 if not; and iii) Interest shown for the higher amount of food (detailed below). We considered that the lizard was interacting with the food when it touched the Petri dish with its snout or when the front half of the body was on top of the platform. For five minutes after the first interaction with one of the options, we recorded the time spent interacting with that option for a maximum of five minutes; we did this for both amounts of food independently of what was the first choice. We measured the interest shown for the higher amount of food by substracting the time interacting with the option with less crickets to the time spent interacting with the larger amount of food. If there was no interaction with one of the options during the test, we considered the time spent as 0 for that option. When there was no interaction with any of the choices, both Latency, First choice, and Interest were noted as NA. We also considered Interest as NA in some few cases where the animals managed to lift the dish and eat the prey; Latency and First choice were recorded and employed in the analyses. We excluded from the analyses all the individuals that did not make any choice in three or more tests.</w:t>
      </w:r>
    </w:p>
    <w:tbl>
      <w:tblPr>
        <w:tblStyle w:val="Table"/>
        <w:tblW w:type="pct" w:w="5000"/>
        <w:tblLook w:firstRow="0" w:lastRow="0" w:firstColumn="0" w:lastColumn="0" w:noHBand="0" w:noVBand="0" w:val="0000"/>
        <w:jc w:val="start"/>
      </w:tblPr>
      <w:tblGrid>
        <w:gridCol w:w="7920"/>
      </w:tblGrid>
      <w:tr>
        <w:tc>
          <w:tcPr/>
          <w:bookmarkStart w:id="26" w:name="fig-Methods"/>
          <w:p>
            <w:pPr>
              <w:jc w:val="center"/>
            </w:pPr>
            <w:r>
              <w:drawing>
                <wp:inline>
                  <wp:extent cx="5943600" cy="6194738"/>
                  <wp:effectExtent b="0" l="0" r="0" t="0"/>
                  <wp:docPr descr="" title="" id="24" name="Picture"/>
                  <a:graphic>
                    <a:graphicData uri="http://schemas.openxmlformats.org/drawingml/2006/picture">
                      <pic:pic>
                        <pic:nvPicPr>
                          <pic:cNvPr descr="./Others/NUMDIS_FIG_1.png" id="25" name="Picture"/>
                          <pic:cNvPicPr>
                            <a:picLocks noChangeArrowheads="1" noChangeAspect="1"/>
                          </pic:cNvPicPr>
                        </pic:nvPicPr>
                        <pic:blipFill>
                          <a:blip r:embed="rId23"/>
                          <a:stretch>
                            <a:fillRect/>
                          </a:stretch>
                        </pic:blipFill>
                        <pic:spPr bwMode="auto">
                          <a:xfrm>
                            <a:off x="0" y="0"/>
                            <a:ext cx="5943600" cy="6194738"/>
                          </a:xfrm>
                          <a:prstGeom prst="rect">
                            <a:avLst/>
                          </a:prstGeom>
                          <a:noFill/>
                          <a:ln w="9525">
                            <a:noFill/>
                            <a:headEnd/>
                            <a:tailEnd/>
                          </a:ln>
                        </pic:spPr>
                      </pic:pic>
                    </a:graphicData>
                  </a:graphic>
                </wp:inline>
              </w:drawing>
            </w:r>
          </w:p>
          <w:p>
            <w:pPr>
              <w:jc w:val="center"/>
            </w:pPr>
            <w:pPr>
              <w:jc w:val="start"/>
              <w:spacing w:before="200"/>
              <w:pStyle w:val="ImageCaption"/>
            </w:pPr>
            <w:r>
              <w:t xml:space="preserve">Fig 1— Experimental design of early environment manipulation (</w:t>
            </w:r>
            <w:r>
              <w:rPr>
                <w:bCs/>
                <w:b/>
              </w:rPr>
              <w:t xml:space="preserve">A</w:t>
            </w:r>
            <w:r>
              <w:t xml:space="preserve">), numerical discrimination arena an measures(</w:t>
            </w:r>
            <w:r>
              <w:rPr>
                <w:bCs/>
                <w:b/>
              </w:rPr>
              <w:t xml:space="preserve">B</w:t>
            </w:r>
            <w:r>
              <w:t xml:space="preserve">), measures of the platform used for the experiments (</w:t>
            </w:r>
            <w:r>
              <w:rPr>
                <w:bCs/>
                <w:b/>
              </w:rPr>
              <w:t xml:space="preserve">C</w:t>
            </w:r>
            <w:r>
              <w:t xml:space="preserve">), and types of numerical trial (</w:t>
            </w:r>
            <w:r>
              <w:rPr>
                <w:bCs/>
                <w:b/>
              </w:rPr>
              <w:t xml:space="preserve">D</w:t>
            </w:r>
            <w:r>
              <w:t xml:space="preserve">), where each line indicates the position and orientation of the food items in each test.</w:t>
            </w:r>
          </w:p>
          <w:bookmarkEnd w:id="26"/>
        </w:tc>
      </w:tr>
    </w:tbl>
    <w:bookmarkEnd w:id="27"/>
    <w:bookmarkStart w:id="28" w:name="statistical-analyses"/>
    <w:p>
      <w:pPr>
        <w:pStyle w:val="Heading4"/>
      </w:pPr>
      <w:r>
        <w:t xml:space="preserve">Statistical analyses</w:t>
      </w:r>
    </w:p>
    <w:p>
      <w:pPr>
        <w:pStyle w:val="FirstParagraph"/>
      </w:pPr>
      <w:r>
        <w:t xml:space="preserve">In our analyses, we fitted a multivariate Bayesian multilevel model using the brm function from the</w:t>
      </w:r>
      <w:r>
        <w:t xml:space="preserve"> </w:t>
      </w:r>
      <w:r>
        <w:rPr>
          <w:iCs/>
          <w:i/>
        </w:rPr>
        <w:t xml:space="preserve">brms</w:t>
      </w:r>
      <w:r>
        <w:t xml:space="preserve"> </w:t>
      </w:r>
      <w:r>
        <w:t xml:space="preserve">package</w:t>
      </w:r>
      <w:r>
        <w:t xml:space="preserve"> </w:t>
      </w:r>
      <w:r>
        <w:t xml:space="preserve">(</w:t>
      </w:r>
      <w:hyperlink w:anchor="ref-burkner2017brms">
        <w:r>
          <w:rPr>
            <w:rStyle w:val="Hyperlink"/>
          </w:rPr>
          <w:t xml:space="preserve">Bürkner 2017</w:t>
        </w:r>
      </w:hyperlink>
      <w:r>
        <w:t xml:space="preserve">)</w:t>
      </w:r>
      <w:r>
        <w:t xml:space="preserve"> </w:t>
      </w:r>
      <w:r>
        <w:t xml:space="preserve">in R extension (version 2.8.2)</w:t>
      </w:r>
      <w:r>
        <w:t xml:space="preserve"> </w:t>
      </w:r>
      <w:r>
        <w:t xml:space="preserve">(</w:t>
      </w:r>
      <w:hyperlink w:anchor="ref-R">
        <w:r>
          <w:rPr>
            <w:rStyle w:val="Hyperlink"/>
          </w:rPr>
          <w:t xml:space="preserve">R Core Team 2021</w:t>
        </w:r>
      </w:hyperlink>
      <w:r>
        <w:t xml:space="preserve">)</w:t>
      </w:r>
      <w:r>
        <w:t xml:space="preserve">. We ran four parallel MCMC chains of 4000 iterations with a warmup period of 1000 iterations. We modelled the three main recorded behaviour: Latency (log-transformed), Choice, and Interest (see above) as the response variables, and test (1 VS 4, 1 VS 3, 2 VS 4, 2 VS 3, 3 VS 4), hormone (CORT versus Control), incubation temperature (Cold versus Hot) and their interaction as fixed factors. We also included in our predictors sex, and age (centered to 0). We included lizard indentity and clutch as random factors. We used the posterior distributions of parameters from these models to test for differences in the ability to discriminate between different number of crickets between treatments and species, for each of the numerical tests. We calculated the contrast between treatments for each test using p</w:t>
      </w:r>
      <w:r>
        <w:rPr>
          <w:vertAlign w:val="subscript"/>
        </w:rPr>
        <w:t xml:space="preserve">mcmc</w:t>
      </w:r>
      <w:r>
        <w:t xml:space="preserve"> </w:t>
      </w:r>
      <w:r>
        <w:t xml:space="preserve">values, and we also estimated whether predicted Choice and Interest differed from 0.5 or zero respectively using p</w:t>
      </w:r>
      <w:r>
        <w:rPr>
          <w:vertAlign w:val="subscript"/>
        </w:rPr>
        <w:t xml:space="preserve">mcmc</w:t>
      </w:r>
      <w:r>
        <w:t xml:space="preserve">. We considered statistical significance if p</w:t>
      </w:r>
      <w:r>
        <w:rPr>
          <w:vertAlign w:val="subscript"/>
        </w:rPr>
        <w:t xml:space="preserve">mcmc</w:t>
      </w:r>
      <w:r>
        <w:t xml:space="preserve"> </w:t>
      </w:r>
      <w:r>
        <w:t xml:space="preserve">&lt; 0.05.</w:t>
      </w:r>
    </w:p>
    <w:bookmarkEnd w:id="28"/>
    <w:bookmarkStart w:id="29" w:name="ethical-note"/>
    <w:p>
      <w:pPr>
        <w:pStyle w:val="Heading4"/>
      </w:pPr>
      <w:r>
        <w:t xml:space="preserve">Ethical note</w:t>
      </w:r>
    </w:p>
    <w:p>
      <w:pPr>
        <w:pStyle w:val="FirstParagraph"/>
      </w:pPr>
      <w:r>
        <w:t xml:space="preserve">Subjects were collected from a breeding colony kept in the lab since 2019. All animals used in this experiment were provided humane laboratory housing, with thermorregulation opportunity, light, and humidity conditions (see above for details). Lizards in the colony received five-seven crickets per individual three times a week while the subjects in the experiment were fed once per day. All lizards were handled minimally to avoid stress. Experimental procedures and laboratory housing complied with Australian law and were approved by the Australian National University Animal Experimentation Ethics Committee (A2022_33). Upon completion of experimental trials, lizards were kept in their enclosure until they were euthanized following standard humane procedures.</w:t>
      </w:r>
    </w:p>
    <w:bookmarkEnd w:id="29"/>
    <w:bookmarkEnd w:id="30"/>
    <w:bookmarkStart w:id="36" w:name="results"/>
    <w:p>
      <w:pPr>
        <w:pStyle w:val="Heading2"/>
      </w:pPr>
      <w:r>
        <w:t xml:space="preserve">Results</w:t>
      </w:r>
    </w:p>
    <w:p>
      <w:pPr>
        <w:pStyle w:val="FirstParagraph"/>
      </w:pPr>
      <w:r>
        <w:t xml:space="preserve">Our results showed an effect of sex and age on Latency (mean estimated effect of sex = -0.46, 95% CI = [-0.9, -0.02]; mean estimated effect of age = 0.06, 95% CI = [0.01, 0.11]; see Table S1 in Supplementary Material), where males and older individials made, overall, faster decisions. However, we did not see such effects on Choice or Interest (see Supplementary Material). Nevertheless, when we analyse the effect of treatment on performance, for every variable recorded, we control for sex by averaging the predicted values for males and females, and we control for age by including the centered age in the model. These results are summarized in</w:t>
      </w:r>
      <w:r>
        <w:t xml:space="preserve"> </w:t>
      </w:r>
      <w:hyperlink w:anchor="fig-results">
        <w:r>
          <w:rPr>
            <w:rStyle w:val="Hyperlink"/>
          </w:rPr>
          <w:t xml:space="preserve">Fig. 2</w:t>
        </w:r>
      </w:hyperlink>
      <w:r>
        <w:t xml:space="preserve"> </w:t>
      </w:r>
      <w:r>
        <w:t xml:space="preserve">and Table 1.</w:t>
      </w:r>
    </w:p>
    <w:tbl>
      <w:tblPr>
        <w:tblStyle w:val="Table"/>
        <w:tblW w:type="pct" w:w="5000"/>
        <w:tblLook w:firstRow="0" w:lastRow="0" w:firstColumn="0" w:lastColumn="0" w:noHBand="0" w:noVBand="0" w:val="0000"/>
        <w:jc w:val="start"/>
      </w:tblPr>
      <w:tblGrid>
        <w:gridCol w:w="7920"/>
      </w:tblGrid>
      <w:tr>
        <w:tc>
          <w:tcPr/>
          <w:bookmarkStart w:id="34" w:name="fig-results"/>
          <w:p>
            <w:pPr>
              <w:jc w:val="center"/>
            </w:pPr>
            <w:r>
              <w:drawing>
                <wp:inline>
                  <wp:extent cx="5943600" cy="5943600"/>
                  <wp:effectExtent b="0" l="0" r="0" t="0"/>
                  <wp:docPr descr="" title="" id="32" name="Picture"/>
                  <a:graphic>
                    <a:graphicData uri="http://schemas.openxmlformats.org/drawingml/2006/picture">
                      <pic:pic>
                        <pic:nvPicPr>
                          <pic:cNvPr descr="./output/figures/fig_results.png" id="33"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Mean estimates of loglatency (Latency), the probability of choosing first the larger number of crickets (Choice), and the mean estimated interest for the larger number of crickets (Interest) per each of the treatments for each of the numerical tests performed. The x-axis represents the estimate, and in the y-axis are the density of the estimates. The different colours indicate the different treatments. Points and bars represent the mean and standard deviation of the mean of the estimates, respectively. Vertical dashed lines in Choice and Interest graphs indicate p = 0.5 and int = 0, respectively.</w:t>
            </w:r>
          </w:p>
          <w:bookmarkEnd w:id="34"/>
        </w:tc>
      </w:tr>
    </w:tbl>
    <w:p>
      <w:pPr>
        <w:pStyle w:val="BodyText"/>
      </w:pPr>
      <w:r>
        <w:t xml:space="preserve">Temperature, CORT, or their interaction contrasts did not yield any significant result in any of the numerical tests (Table 1); and we did not observe any clear pattern indicating relevant effects of early environment on any of the tests (</w:t>
      </w:r>
      <w:hyperlink w:anchor="fig-results">
        <w:r>
          <w:rPr>
            <w:rStyle w:val="Hyperlink"/>
          </w:rPr>
          <w:t xml:space="preserve">Fig. 2</w:t>
        </w:r>
      </w:hyperlink>
      <w:r>
        <w:t xml:space="preserve">). Except for Hot-CORT lizards in 1 VS 3 tests or Cold-Control lizards in 2 VS 4 tests, the predicted probability of choosing the greater number of crickets first was not different from 0.5 (</w:t>
      </w:r>
      <w:hyperlink w:anchor="fig-results">
        <w:r>
          <w:rPr>
            <w:rStyle w:val="Hyperlink"/>
          </w:rPr>
          <w:t xml:space="preserve">Fig. 2</w:t>
        </w:r>
      </w:hyperlink>
      <w:r>
        <w:t xml:space="preserve">; but also see Table S2 in Supplementary Material). Similarly, the predicted interest for the larger number of crickets was not different from 0 in any of the tests (</w:t>
      </w:r>
      <w:hyperlink w:anchor="fig-results">
        <w:r>
          <w:rPr>
            <w:rStyle w:val="Hyperlink"/>
          </w:rPr>
          <w:t xml:space="preserve">Fig. 2</w:t>
        </w:r>
      </w:hyperlink>
      <w:r>
        <w:t xml:space="preserve">; but also see Table S2 in Supplementary Material).</w:t>
      </w:r>
    </w:p>
    <w:p>
      <w:pPr>
        <w:pStyle w:val="BodyText"/>
      </w:pPr>
      <w:r>
        <w:rPr>
          <w:iCs/>
          <w:i/>
        </w:rPr>
        <w:t xml:space="preserve">Table 1. Effects of temperature, CORT, and their interaction on latency, choice, and interest shown for the higher amount of food in each of the numerical discrimination tests. The table shows the comparissons for each predictor (Temperature = [meanHot - meanCold]; Hormone = [meanControl - meanCORT]; Interaction = [(meanHot-Control - meanHot-CORT) - (meanCold-Control - meanCold-CORT)]) and the p</w:t>
      </w:r>
      <w:r>
        <w:rPr>
          <w:vertAlign w:val="subscript"/>
          <w:iCs/>
          <w:i/>
        </w:rPr>
        <w:t xml:space="preserve">mcmcm</w:t>
      </w:r>
      <w:r>
        <w:rPr>
          <w:iCs/>
          <w:i/>
        </w:rPr>
        <w:t xml:space="preserve"> </w:t>
      </w:r>
      <w:r>
        <w:rPr>
          <w:iCs/>
          <w:i/>
        </w:rPr>
        <w:t xml:space="preserve">value of the comparisons. In bold, the effects where p</w:t>
      </w:r>
      <w:r>
        <w:rPr>
          <w:vertAlign w:val="subscript"/>
          <w:iCs/>
          <w:i/>
        </w:rPr>
        <w:t xml:space="preserve">mcmc</w:t>
      </w:r>
      <w:r>
        <w:rPr>
          <w:iCs/>
          <w:i/>
        </w:rPr>
        <w:t xml:space="preserve"> </w:t>
      </w:r>
      <w:r>
        <w:rPr>
          <w:iCs/>
          <w:i/>
        </w:rPr>
        <w:t xml:space="preserve">&lt; 0.05.</w:t>
      </w:r>
    </w:p>
    <w:bookmarkStart w:id="35"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Tests</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1VS4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1VS3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2VS4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2VS3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3VS4</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Latency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Temperature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 (p= 0.58)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 (p= 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 (p= 0.44)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 (p= 0.40)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 (p= 0.86)</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Hormone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 (p=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 (p= 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 (p= 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 (p=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 (p= 0.46)</w:t>
            </w:r>
          </w:p>
        </w:tc>
      </w:tr>
      <w:tr>
        <w:trPr>
          <w:trHeight w:val="360"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Interaction</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 (p= 0.21)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 (p= 0.38)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 (p= 0.42)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 (p= 0.50)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 (p= 0.95)</w:t>
            </w:r>
          </w:p>
        </w:tc>
      </w:tr>
      <w:tr>
        <w:trPr>
          <w:trHeight w:val="360"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Choice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Temperature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 (p= 0.69)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 (p= 0.53)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 (p= 0.95)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 (p= 0.24)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 (p= 0.38)</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Hormone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 (p= 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 (p= 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 (p=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 (p=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 (p= 0.56)</w:t>
            </w:r>
          </w:p>
        </w:tc>
      </w:tr>
      <w:tr>
        <w:trPr>
          <w:trHeight w:val="360" w:hRule="auto"/>
        </w:trPr>
        body6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Interaction</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 (p= 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 (p= 0.09)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 (p= 0.65)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 (p= 0.38)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 (p= 0.62)</w:t>
            </w:r>
          </w:p>
        </w:tc>
      </w:tr>
      <w:tr>
        <w:trPr>
          <w:trHeight w:val="360" w:hRule="auto"/>
        </w:trPr>
        body7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Interest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Temperature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-11.7 (p= 0.69)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22 (p= 0.62)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-5.7 (p= 0.87)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-22.1 (p= 0.69)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4.3 (p= 0.90)</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Hormone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 (p= 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-11.5 (p= 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 (p= 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 (p= 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40.2 (p= 0.19)</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Interaction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19.3 (p= 0.61)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-56.2 (p= 0.15)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34.8 (p= 0.37)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-69.7 (p= 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-24.1 (p= 0.55)</w:t>
            </w:r>
          </w:p>
        </w:tc>
      </w:tr>
    </w:tbl>
    <w:p>
      <w:pPr>
        <w:pStyle w:val="BodyText"/>
      </w:pPr>
      <w:r>
        <w:rPr>
          <w:bCs/>
          <w:b/>
        </w:rPr>
        <w:t xml:space="preserve">?(caption)</w:t>
      </w:r>
    </w:p>
    <w:bookmarkEnd w:id="35"/>
    <w:bookmarkEnd w:id="36"/>
    <w:bookmarkStart w:id="37" w:name="discussion"/>
    <w:p>
      <w:pPr>
        <w:pStyle w:val="Heading2"/>
      </w:pPr>
      <w:r>
        <w:t xml:space="preserve">Discussion</w:t>
      </w:r>
    </w:p>
    <w:p>
      <w:pPr>
        <w:numPr>
          <w:ilvl w:val="0"/>
          <w:numId w:val="1006"/>
        </w:numPr>
        <w:pStyle w:val="Compact"/>
      </w:pPr>
      <w:r>
        <w:t xml:space="preserve">Animals do not discriminate independently of the treatment or the ratio of the numerical task.</w:t>
      </w:r>
    </w:p>
    <w:p>
      <w:pPr>
        <w:numPr>
          <w:ilvl w:val="1"/>
          <w:numId w:val="1007"/>
        </w:numPr>
        <w:pStyle w:val="Compact"/>
      </w:pPr>
      <w:r>
        <w:t xml:space="preserve">Other studies about discrimination</w:t>
      </w:r>
    </w:p>
    <w:p>
      <w:pPr>
        <w:numPr>
          <w:ilvl w:val="1"/>
          <w:numId w:val="1007"/>
        </w:numPr>
        <w:pStyle w:val="Compact"/>
      </w:pPr>
      <w:r>
        <w:t xml:space="preserve">The importance of context</w:t>
      </w:r>
    </w:p>
    <w:p>
      <w:pPr>
        <w:numPr>
          <w:ilvl w:val="2"/>
          <w:numId w:val="1008"/>
        </w:numPr>
        <w:pStyle w:val="Compact"/>
      </w:pPr>
      <w:r>
        <w:t xml:space="preserve">Learned VS spontaneous discrimination</w:t>
      </w:r>
      <w:r>
        <w:t xml:space="preserve"> </w:t>
      </w:r>
      <w:r>
        <w:t xml:space="preserve">There are two main approaches to study numerical abilities: spontaneous choice tests and training procedures. In spontaneous choice tests, experimenters present to subjects two groups of biologically relevant stimuli that differ in numerosity, under the assumption that animals should select the most appropriate quantity (e.g. the larger amount of food) (Agrillo and Bisazza 2014; Cox and Montrose 2016). In training</w:t>
      </w:r>
      <w:r>
        <w:t xml:space="preserve"> </w:t>
      </w:r>
      <w:r>
        <w:t xml:space="preserve">procedures, animals must learn a numerical rule to receive a reward (Agrillo and Bisazza 2014; Miletto-Petrazzini et al. 2018). Both experimental approaches have some advantages and disadvantages (reviewed in Agrillo and Bisazza 2014). In spontaneous choice tests, animals exhibit their natural behavior, enabling interspecific comparisons and the acquirement of ecological issues related to numerousness (Krusche et al. 2010; Abramson et al. 2011). However, motivation plays a key-role in spontaneous choice tests (Agrillo and Bisazza 2014), which implies that the absence of results might not be due to the lack of skills to solve the numerical task. Also, individual preferences may arise in this kind of procedures and, hence, a large sample of subjects is needed to consider inter-individual variability. Finally, it could be difficult, but necessary, to control for continuous variables such as area, density or movement (Agrillo and Bisazza 2014; Mehlis et al. 2015). Regardless, both methods are considered complementary and necessary to draw a firm picture of the numerical abilities of a species (Miletto-</w:t>
      </w:r>
      <w:r>
        <w:t xml:space="preserve"> </w:t>
      </w:r>
      <w:r>
        <w:t xml:space="preserve">Petrazzini et al. 2018). the Italian wall-lizard (Podarcis siculus), spontaneous choice tests showed no numerical discrimination abilities by this lizard (Miletto-Petrazzini et al. 2017), although learning procedures demonstrated an ability to discern between small close numbers (2 versus 4) (Miletto-Petrazzini et al. 2018)</w:t>
      </w:r>
    </w:p>
    <w:p>
      <w:pPr>
        <w:numPr>
          <w:ilvl w:val="2"/>
          <w:numId w:val="1008"/>
        </w:numPr>
        <w:pStyle w:val="Compact"/>
      </w:pPr>
      <w:r>
        <w:t xml:space="preserve">Ecological context: food VS predators/conspecifics/etc</w:t>
      </w:r>
      <w:r>
        <w:t xml:space="preserve"> </w:t>
      </w:r>
      <w:r>
        <w:t xml:space="preserve">Something with fishes, food, and conspecifics (</w:t>
      </w:r>
      <w:r>
        <w:rPr>
          <w:bCs/>
          <w:b/>
        </w:rPr>
        <w:t xml:space="preserve">check our paper</w:t>
      </w:r>
      <w:r>
        <w:t xml:space="preserve">)</w:t>
      </w:r>
    </w:p>
    <w:p>
      <w:pPr>
        <w:numPr>
          <w:ilvl w:val="0"/>
          <w:numId w:val="1006"/>
        </w:numPr>
        <w:pStyle w:val="Compact"/>
      </w:pPr>
      <w:r>
        <w:t xml:space="preserve">Treatment did not affect the discrimination capacity or the decision making</w:t>
      </w:r>
    </w:p>
    <w:p>
      <w:pPr>
        <w:numPr>
          <w:ilvl w:val="1"/>
          <w:numId w:val="1009"/>
        </w:numPr>
        <w:pStyle w:val="Compact"/>
      </w:pPr>
      <w:r>
        <w:t xml:space="preserve">Other studies showing the effect of temperature on discrimination</w:t>
      </w:r>
    </w:p>
    <w:p>
      <w:pPr>
        <w:numPr>
          <w:ilvl w:val="1"/>
          <w:numId w:val="1009"/>
        </w:numPr>
        <w:pStyle w:val="Compact"/>
      </w:pPr>
      <w:r>
        <w:t xml:space="preserve">Other studies about the effects of hormones on discrimination</w:t>
      </w:r>
    </w:p>
    <w:p>
      <w:pPr>
        <w:numPr>
          <w:ilvl w:val="1"/>
          <w:numId w:val="1009"/>
        </w:numPr>
        <w:pStyle w:val="Compact"/>
      </w:pPr>
      <w:r>
        <w:t xml:space="preserve">Studies showing the effect of temperature and CORT on lizards’ cognition</w:t>
      </w:r>
    </w:p>
    <w:p>
      <w:pPr>
        <w:numPr>
          <w:ilvl w:val="1"/>
          <w:numId w:val="1009"/>
        </w:numPr>
        <w:pStyle w:val="Compact"/>
      </w:pPr>
      <w:r>
        <w:t xml:space="preserve">The</w:t>
      </w:r>
      <w:r>
        <w:t xml:space="preserve"> </w:t>
      </w:r>
      <w:r>
        <w:t xml:space="preserve">‘</w:t>
      </w:r>
      <w:r>
        <w:t xml:space="preserve">two systems</w:t>
      </w:r>
      <w:r>
        <w:t xml:space="preserve">’</w:t>
      </w:r>
      <w:r>
        <w:t xml:space="preserve"> </w:t>
      </w:r>
      <w:r>
        <w:t xml:space="preserve">Researchers have suggested that numerousness can be processed by two types of systems: one system for small sets (≤ 4) that works by tracking and encoding objects as individual entities; and an analogous system that operates with large numerosities by estimation processes (for a review see Cantlon et al. 2009; Hyde 2011).</w:t>
      </w:r>
      <w:r>
        <w:t xml:space="preserve"> </w:t>
      </w:r>
      <w:r>
        <w:rPr>
          <w:bCs/>
          <w:b/>
        </w:rPr>
        <w:t xml:space="preserve">Are they encoded in different regions? Brin-nuclei-dependent effects of CORT and temp</w:t>
      </w:r>
    </w:p>
    <w:p>
      <w:pPr>
        <w:numPr>
          <w:ilvl w:val="0"/>
          <w:numId w:val="1006"/>
        </w:numPr>
        <w:pStyle w:val="Compact"/>
      </w:pPr>
      <w:r>
        <w:t xml:space="preserve">Conclusions</w:t>
      </w:r>
    </w:p>
    <w:bookmarkEnd w:id="37"/>
    <w:bookmarkStart w:id="43" w:name="references"/>
    <w:p>
      <w:pPr>
        <w:pStyle w:val="Heading2"/>
      </w:pPr>
      <w:r>
        <w:t xml:space="preserve">References</w:t>
      </w:r>
    </w:p>
    <w:bookmarkStart w:id="42" w:name="refs"/>
    <w:bookmarkStart w:id="38" w:name="ref-burkner2017brms"/>
    <w:p>
      <w:pPr>
        <w:pStyle w:val="Bibliography"/>
      </w:pPr>
      <w:r>
        <w:t xml:space="preserve">Bürkner P-C (2017) Brms: An r package for bayesian multilevel models using stan. Journal of statistical software 80:1–28</w:t>
      </w:r>
    </w:p>
    <w:bookmarkEnd w:id="38"/>
    <w:bookmarkStart w:id="39" w:name="ref-qualls2000post"/>
    <w:p>
      <w:pPr>
        <w:pStyle w:val="Bibliography"/>
      </w:pPr>
      <w:r>
        <w:t xml:space="preserve">Qualls FJ, Shine R (2000) Post-hatching environment contributes greatly to phenotypic variation between two populations of the australian garden skink, lampropholis guichenoti. Biological Journal of the Linnean Society 71:315–341</w:t>
      </w:r>
    </w:p>
    <w:bookmarkEnd w:id="39"/>
    <w:bookmarkStart w:id="41" w:name="ref-R"/>
    <w:p>
      <w:pPr>
        <w:pStyle w:val="Bibliography"/>
      </w:pPr>
      <w:r>
        <w:t xml:space="preserve">R Core Team (2021)</w:t>
      </w:r>
      <w:r>
        <w:t xml:space="preserve"> </w:t>
      </w:r>
      <w:hyperlink r:id="rId40">
        <w:r>
          <w:rPr>
            <w:rStyle w:val="Hyperlink"/>
          </w:rPr>
          <w:t xml:space="preserve">R: A language and environment for statistical computing</w:t>
        </w:r>
      </w:hyperlink>
      <w:r>
        <w:t xml:space="preserve">. R Foundation for Statistical Computing, Vienna, Austria</w:t>
      </w:r>
    </w:p>
    <w:bookmarkEnd w:id="41"/>
    <w:bookmarkEnd w:id="42"/>
    <w:p>
      <w:r>
        <w:br w:type="page"/>
      </w:r>
    </w:p>
    <w:bookmarkEnd w:id="43"/>
    <w:bookmarkStart w:id="110" w:name="suplementary-material"/>
    <w:p>
      <w:pPr>
        <w:pStyle w:val="Heading1"/>
      </w:pPr>
      <w:r>
        <w:t xml:space="preserve">Suplementary Material</w:t>
      </w:r>
    </w:p>
    <w:bookmarkStart w:id="48" w:name="model-results"/>
    <w:p>
      <w:pPr>
        <w:pStyle w:val="Heading4"/>
      </w:pPr>
      <w:r>
        <w:t xml:space="preserve">Model results</w:t>
      </w:r>
    </w:p>
    <w:p>
      <w:pPr>
        <w:pStyle w:val="FirstParagraph"/>
      </w:pPr>
      <w:r>
        <w:rPr>
          <w:iCs/>
          <w:i/>
        </w:rPr>
        <w:t xml:space="preserve">Table S1.- Summary of the model fitted</w:t>
      </w:r>
    </w:p>
    <w:p>
      <w:pPr>
        <w:pStyle w:val="BodyText"/>
      </w:pPr>
      <w:r>
        <w:t xml:space="preserve">For loglatency</w:t>
      </w:r>
    </w:p>
    <w:bookmarkStart w:id="44" w:name="tbl-summary_lat"/>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4547.93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6871.87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b_loglatency_test_type1VS3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5851.20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8069.68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5607.53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8779.16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5792.88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8099.56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b_loglatency_test_type3VS4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5394.76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8113.94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4240.55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6468.22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3501.90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6160.76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b_loglatency_sexm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5456.02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7259.40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5242.87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6844.75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b_loglatency_test_type1VS3:tempHot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5246.33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7514.61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5432.60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8115.85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5517.51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7473.31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b_loglatency_test_type3VS4:tempHot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5247.17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7570.16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b_loglatency_test_type1VS3:cortControl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5376.57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7715.18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5492.31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8062.19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5459.05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7755.73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b_loglatency_test_type3VS4:cortControl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5264.74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8063.37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3491.24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5908.08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b_loglatency_test_type1VS3:tempHot:cortControl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5103.28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7366.37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b_loglatency_test_type2VS4:tempHot:cortControl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4860.78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7733.09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5243.01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8532.21</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b_loglatency_test_type3VS4:tempHot:cortControl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5119.54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7726.59</w:t>
            </w:r>
          </w:p>
        </w:tc>
      </w:tr>
    </w:tbl>
    <w:p>
      <w:pPr>
        <w:pStyle w:val="BodyText"/>
      </w:pPr>
      <w:r>
        <w:rPr>
          <w:bCs/>
          <w:b/>
        </w:rPr>
        <w:t xml:space="preserve">?(caption)</w:t>
      </w:r>
    </w:p>
    <w:bookmarkEnd w:id="44"/>
    <w:p>
      <w:pPr>
        <w:pStyle w:val="BodyText"/>
      </w:pPr>
      <w:r>
        <w:t xml:space="preserve">For choice</w:t>
      </w:r>
    </w:p>
    <w:bookmarkStart w:id="45" w:name="tbl-summary_choic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4717.07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6912.29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b_choice_test_type1VS3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5106.43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7093.98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4984.93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7514.81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4902.86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6926.45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b_choice_test_type3VS4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5219.20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7158.11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4283.18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6599.41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3922.51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6114.01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b_choice_sexm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14505.46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8697.98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12392.71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8820.47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b_choice_test_type1VS3:tempHot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4972.18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6745.87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4886.89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7191.48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6024.53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b_choice_test_type3VS4:tempHot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4538.82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7185.57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b_choice_test_type1VS3:cortControl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4938.94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7818.41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4749.40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7672.85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4980.80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8127.50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b_choice_test_type3VS4:cortControl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4881.82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7388.95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3598.45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6418.88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b_choice_test_type1VS3:tempHot:cortControl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4947.05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7258.07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b_choice_test_type2VS4:tempHot:cortControl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4832.87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7213.76</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4689.39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7011.19</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b_choice_test_type3VS4:tempHot:cortControl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4767.29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7038.46</w:t>
            </w:r>
          </w:p>
        </w:tc>
      </w:tr>
    </w:tbl>
    <w:p>
      <w:pPr>
        <w:pStyle w:val="BodyText"/>
      </w:pPr>
      <w:r>
        <w:rPr>
          <w:bCs/>
          <w:b/>
        </w:rPr>
        <w:t xml:space="preserve">?(caption)</w:t>
      </w:r>
    </w:p>
    <w:bookmarkEnd w:id="45"/>
    <w:p>
      <w:pPr>
        <w:pStyle w:val="BodyText"/>
      </w:pPr>
      <w:r>
        <w:t xml:space="preserve">For compared interest</w:t>
      </w:r>
    </w:p>
    <w:bookmarkStart w:id="46" w:name="tbl-summary_int"/>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-20.62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45.52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4226.87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6914.84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b_comparedinterest_test_type1VS3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5057.66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7251.20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4955.22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7144.03</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4608.81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7655.14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b_comparedinterest_test_type3VS4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4974.12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7540.36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3724.65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6038.13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3414.61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5708.73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b_comparedinterest_sexm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17607.01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8664.01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15664.51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9250.40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b_comparedinterest_test_type1VS3:tempHot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4600.90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6586.40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58.37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4594.12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6529.68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4206.05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6855.33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b_comparedinterest_test_type3VS4:tempHot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97.98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4702.14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7554.35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b_comparedinterest_test_type1VS3:cortControl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4866.97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7599.14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4362.77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6797.39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4047.11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6637.73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b_comparedinterest_test_type3VS4:cortControl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4618.01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7533.53</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3346.75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5960.45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b_comparedinterest_test_type1VS3:tempHot:cortControl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4608.18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7070.71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b_comparedinterest_test_type2VS4:tempHot:cortControl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4217.24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6394.78</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3896.04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6636.15</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b_comparedinterest_test_type3VS4:tempHot:cortControl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-43.38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-43.71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-127.24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41.39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4491.70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6562.71</w:t>
            </w:r>
          </w:p>
        </w:tc>
      </w:tr>
    </w:tbl>
    <w:p>
      <w:pPr>
        <w:pStyle w:val="BodyText"/>
      </w:pPr>
      <w:r>
        <w:rPr>
          <w:bCs/>
          <w:b/>
        </w:rPr>
        <w:t xml:space="preserve">?(caption)</w:t>
      </w:r>
    </w:p>
    <w:bookmarkEnd w:id="46"/>
    <w:p>
      <w:pPr>
        <w:pStyle w:val="BodyText"/>
      </w:pPr>
      <w:r>
        <w:t xml:space="preserve">Other effects</w:t>
      </w:r>
    </w:p>
    <w:bookmarkStart w:id="47" w:name="tbl-summary_othe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sd_clutch__loglatency_Intercept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716.16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2313.13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sd_lizard_id__loglatency_Intercept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1725.51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2777.99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sd_clutch__choice_Intercept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3913.70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5803.67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sd_lizard_id__choice_Intercept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2047.51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3110.77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sd_clutch__comparedinterest_Intercept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4065.36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6333.93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sd_lizard_id__comparedinterest_Intercept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3847.09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5748.30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sigma_loglatency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12611.43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8861.89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sigma_comparedinterest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15359.76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8383.11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lprior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-29.25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-29.13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8343.29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9738.65</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lp__</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-3440.63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-3440.02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-3472.06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-3410.58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2890.39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5974.94</w:t>
            </w:r>
          </w:p>
        </w:tc>
      </w:tr>
    </w:tbl>
    <w:p>
      <w:pPr>
        <w:pStyle w:val="BodyText"/>
      </w:pPr>
      <w:r>
        <w:rPr>
          <w:bCs/>
          <w:b/>
        </w:rPr>
        <w:t xml:space="preserve">?(caption)</w:t>
      </w:r>
    </w:p>
    <w:bookmarkEnd w:id="47"/>
    <w:p>
      <w:r>
        <w:br w:type="page"/>
      </w:r>
    </w:p>
    <w:bookmarkEnd w:id="48"/>
    <w:bookmarkStart w:id="50" w:name="treatments-effects"/>
    <w:p>
      <w:pPr>
        <w:pStyle w:val="Heading4"/>
      </w:pPr>
      <w:r>
        <w:t xml:space="preserve">Treatments effects</w:t>
      </w:r>
    </w:p>
    <w:p>
      <w:pPr>
        <w:pStyle w:val="FirstParagraph"/>
      </w:pPr>
      <w:r>
        <w:rPr>
          <w:iCs/>
          <w:i/>
        </w:rPr>
        <w:t xml:space="preserve">Table S2.- Estimated mean probability of choosing first the higher amount (Choice) and the mean interest for the higher amount of food (Interest) per treatment group for each of the numerical tests performed. p indicates the p</w:t>
      </w:r>
      <w:r>
        <w:rPr>
          <w:vertAlign w:val="subscript"/>
          <w:iCs/>
          <w:i/>
        </w:rPr>
        <w:t xml:space="preserve">mcmcm</w:t>
      </w:r>
      <w:r>
        <w:rPr>
          <w:iCs/>
          <w:i/>
        </w:rPr>
        <w:t xml:space="preserve"> </w:t>
      </w:r>
      <w:r>
        <w:rPr>
          <w:iCs/>
          <w:i/>
        </w:rPr>
        <w:t xml:space="preserve">value (p) of testing the hypothesis Choice ≠ 0.5, and Interest ≠ 0, which would indicate a preference towards one of choices (&gt; towards higher amounts, &lt; towards lower amounts) of the comparissons. In bold, the groups where p</w:t>
      </w:r>
      <w:r>
        <w:rPr>
          <w:vertAlign w:val="subscript"/>
          <w:iCs/>
          <w:i/>
        </w:rPr>
        <w:t xml:space="preserve">mcmcm</w:t>
      </w:r>
      <w:r>
        <w:rPr>
          <w:iCs/>
          <w:i/>
        </w:rPr>
        <w:t xml:space="preserve"> </w:t>
      </w:r>
      <w:r>
        <w:rPr>
          <w:iCs/>
          <w:i/>
        </w:rPr>
        <w:t xml:space="preserve">&lt; 0.05</w:t>
      </w:r>
    </w:p>
    <w:bookmarkStart w:id="49" w:name="tbl-disc"/>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Treatment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Est. mean</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p</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Est. 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p</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1VS4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0.34</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0.23</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0.51</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Hot-Control</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0.60</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-4.66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0.81</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1VS3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Cold-CORT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-19.06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8"/>
                <w:szCs w:val="18"/>
                <w:color w:val="000000"/>
              </w:rPr>
              <w:t xml:space="preserve">Hot-CORT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8"/>
                <w:szCs w:val="18"/>
                <w:color w:val="000000"/>
              </w:rPr>
              <w:t xml:space="preserve">0.79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8"/>
                <w:szCs w:val="18"/>
                <w:color w:val="000000"/>
              </w:rPr>
              <w:t xml:space="preserve">&lt; 0.05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0.11</w:t>
            </w:r>
          </w:p>
        </w:tc>
      </w:tr>
      <w:tr>
        <w:trPr>
          <w:trHeight w:val="360"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Hot-Control</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-8.53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0.68</w:t>
            </w:r>
          </w:p>
        </w:tc>
      </w:tr>
      <w:tr>
        <w:trPr>
          <w:trHeight w:val="360"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2VS4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Cold-CORT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0.98</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12.86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0.60</w:t>
            </w:r>
          </w:p>
        </w:tc>
      </w:tr>
      <w:tr>
        <w:trPr>
          <w:trHeight w:val="360" w:hRule="auto"/>
        </w:trPr>
        body12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Hot-Control</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8.40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0.67</w:t>
            </w:r>
          </w:p>
        </w:tc>
      </w:tr>
      <w:tr>
        <w:trPr>
          <w:trHeight w:val="360" w:hRule="auto"/>
        </w:trPr>
        body13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2VS3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Cold-CORT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-9.78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8"/>
                <w:szCs w:val="18"/>
                <w:color w:val="000000"/>
              </w:rPr>
              <w:t xml:space="preserve">Cold-Control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8"/>
                <w:szCs w:val="18"/>
                <w:color w:val="000000"/>
              </w:rPr>
              <w:t xml:space="preserve">0.75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8"/>
                <w:szCs w:val="18"/>
                <w:color w:val="000000"/>
              </w:rPr>
              <w:t xml:space="preserve">&lt; 0.05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0.88</w:t>
            </w:r>
          </w:p>
        </w:tc>
      </w:tr>
      <w:tr>
        <w:trPr>
          <w:trHeight w:val="360" w:hRule="auto"/>
        </w:trPr>
        body16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Hot-Control</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0.38</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0.36</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-29.13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0.14</w:t>
            </w:r>
          </w:p>
        </w:tc>
      </w:tr>
      <w:tr>
        <w:trPr>
          <w:trHeight w:val="360" w:hRule="auto"/>
        </w:trPr>
        body17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3VS4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Cold-CORT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0.41</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-30.21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0.52</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Hot-Control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0.69</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0.15</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0.48</w:t>
            </w:r>
          </w:p>
        </w:tc>
      </w:tr>
    </w:tbl>
    <w:p>
      <w:pPr>
        <w:pStyle w:val="BodyText"/>
      </w:pPr>
      <w:r>
        <w:rPr>
          <w:bCs/>
          <w:b/>
        </w:rPr>
        <w:t xml:space="preserve">?(caption)</w:t>
      </w:r>
    </w:p>
    <w:bookmarkEnd w:id="49"/>
    <w:p>
      <w:r>
        <w:br w:type="page"/>
      </w:r>
    </w:p>
    <w:bookmarkEnd w:id="50"/>
    <w:bookmarkStart w:id="52" w:name="testing-potential-side-biases"/>
    <w:p>
      <w:pPr>
        <w:pStyle w:val="Heading4"/>
      </w:pPr>
      <w:r>
        <w:t xml:space="preserve">Testing potential side biases</w:t>
      </w:r>
    </w:p>
    <w:p>
      <w:pPr>
        <w:pStyle w:val="FirstParagraph"/>
      </w:pPr>
      <w:r>
        <w:rPr>
          <w:iCs/>
          <w:i/>
        </w:rPr>
        <w:t xml:space="preserve">Table S3.- Number of individuals per treatment that chose the right (R) or left (L) side in each of the numerical tests. p-value indicates the result of the binomial test comparing the number of choices between sides. In bold, the groups where p-value &lt; 0.05</w:t>
      </w:r>
    </w:p>
    <w:bookmarkStart w:id="51" w:name="tbl-sid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5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 VS 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 VS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 VS 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 VS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 VS 4</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Control-Cold (n = 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12 | L = 8 , p = 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12 | L = 8 , p = 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9 | L = 11 , p = 0.82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12 | L = 8 , p = 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12 | L = 8 , p = 0.5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Control-Hot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12 | L = 8 , p =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5 | L = 15 , p =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9 | L = 11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10 | L = 10 , p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CORT-Cold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10 | L = 10 , p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CORT-Hot (n = 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9 | L = 11 , p = 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9 | L = 11 , p = 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10 | L = 10 , p = 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r>
    </w:tbl>
    <w:p>
      <w:pPr>
        <w:pStyle w:val="BodyText"/>
      </w:pPr>
      <w:r>
        <w:rPr>
          <w:bCs/>
          <w:b/>
        </w:rPr>
        <w:t xml:space="preserve">?(caption)</w:t>
      </w:r>
    </w:p>
    <w:bookmarkEnd w:id="51"/>
    <w:p>
      <w:r>
        <w:br w:type="page"/>
      </w:r>
    </w:p>
    <w:bookmarkEnd w:id="52"/>
    <w:bookmarkStart w:id="54" w:name="prey-orientation-test"/>
    <w:p>
      <w:pPr>
        <w:pStyle w:val="Heading4"/>
      </w:pPr>
      <w:r>
        <w:t xml:space="preserve">Prey orientation test</w:t>
      </w:r>
    </w:p>
    <w:p>
      <w:pPr>
        <w:pStyle w:val="FirstParagraph"/>
      </w:pPr>
      <w:r>
        <w:t xml:space="preserve">Because we were concerned that the orientation of the crickets could affect the lizards’ choice, we performed one simple choice test to investigate this. We used the same platform and Petri dish as in the numerical discrimination task, but we placed one cricket on each side of the platform, one oriented vertically in respect to the shelter position (see</w:t>
      </w:r>
      <w:r>
        <w:t xml:space="preserve"> </w:t>
      </w:r>
      <w:hyperlink w:anchor="fig-Methods">
        <w:r>
          <w:rPr>
            <w:rStyle w:val="Hyperlink"/>
          </w:rPr>
          <w:t xml:space="preserve">Fig. 1</w:t>
        </w:r>
      </w:hyperlink>
      <w:r>
        <w:t xml:space="preserve"> </w:t>
      </w:r>
      <w:r>
        <w:t xml:space="preserve">B) and the other one horizontal to the shelter. We perform a unique trial randomising the position of the orientation of the cricket. We recorded the amount of individuals that chose the cricket oriented vertically and horizontally. Results are shown in the table below.</w:t>
      </w:r>
    </w:p>
    <w:p>
      <w:pPr>
        <w:pStyle w:val="BodyText"/>
      </w:pPr>
      <w:r>
        <w:rPr>
          <w:iCs/>
          <w:i/>
        </w:rPr>
        <w:t xml:space="preserve">Table S4. Number of individuals per treatment that chose the cricket oriente horizontally (Horizontal) or vertically (Vertical) in our control tests. p-value indicates the result of the binomial test comparing the number of choices between both choices.</w:t>
      </w:r>
    </w:p>
    <w:bookmarkStart w:id="53" w:name="tbl-orientat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5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Horizontal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Vertical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Control-Cold (n = 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0.503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Control-Hot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0.263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CORT-Cold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0.503</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CORT-Hot (n = 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0.824</w:t>
            </w:r>
          </w:p>
        </w:tc>
      </w:tr>
    </w:tbl>
    <w:p>
      <w:pPr>
        <w:pStyle w:val="BodyText"/>
      </w:pPr>
      <w:r>
        <w:rPr>
          <w:bCs/>
          <w:b/>
        </w:rPr>
        <w:t xml:space="preserve">?(caption)</w:t>
      </w:r>
    </w:p>
    <w:bookmarkEnd w:id="53"/>
    <w:p>
      <w:r>
        <w:br w:type="page"/>
      </w:r>
    </w:p>
    <w:bookmarkEnd w:id="54"/>
    <w:bookmarkStart w:id="109" w:name="checking-the-models-plots"/>
    <w:p>
      <w:pPr>
        <w:pStyle w:val="Heading4"/>
      </w:pPr>
      <w:r>
        <w:t xml:space="preserve">Checking the models plots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56" name="Picture"/>
                  <a:graphic>
                    <a:graphicData uri="http://schemas.openxmlformats.org/drawingml/2006/picture">
                      <pic:pic>
                        <pic:nvPicPr>
                          <pic:cNvPr descr="ms_files/figure-docx/checking_model-1.png" id="57" name="Picture"/>
                          <pic:cNvPicPr>
                            <a:picLocks noChangeArrowheads="1" noChangeAspect="1"/>
                          </pic:cNvPicPr>
                        </pic:nvPicPr>
                        <pic:blipFill>
                          <a:blip r:embed="rId55"/>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59" name="Picture"/>
                  <a:graphic>
                    <a:graphicData uri="http://schemas.openxmlformats.org/drawingml/2006/picture">
                      <pic:pic>
                        <pic:nvPicPr>
                          <pic:cNvPr descr="ms_files/figure-docx/checking_model-2.png" id="60" name="Picture"/>
                          <pic:cNvPicPr>
                            <a:picLocks noChangeArrowheads="1" noChangeAspect="1"/>
                          </pic:cNvPicPr>
                        </pic:nvPicPr>
                        <pic:blipFill>
                          <a:blip r:embed="rId58"/>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62" name="Picture"/>
                  <a:graphic>
                    <a:graphicData uri="http://schemas.openxmlformats.org/drawingml/2006/picture">
                      <pic:pic>
                        <pic:nvPicPr>
                          <pic:cNvPr descr="ms_files/figure-docx/checking_model-3.png" id="63" name="Picture"/>
                          <pic:cNvPicPr>
                            <a:picLocks noChangeArrowheads="1" noChangeAspect="1"/>
                          </pic:cNvPicPr>
                        </pic:nvPicPr>
                        <pic:blipFill>
                          <a:blip r:embed="rId61"/>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65" name="Picture"/>
                  <a:graphic>
                    <a:graphicData uri="http://schemas.openxmlformats.org/drawingml/2006/picture">
                      <pic:pic>
                        <pic:nvPicPr>
                          <pic:cNvPr descr="ms_files/figure-docx/checking_model-4.png" id="66" name="Picture"/>
                          <pic:cNvPicPr>
                            <a:picLocks noChangeArrowheads="1" noChangeAspect="1"/>
                          </pic:cNvPicPr>
                        </pic:nvPicPr>
                        <pic:blipFill>
                          <a:blip r:embed="rId64"/>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68" name="Picture"/>
                  <a:graphic>
                    <a:graphicData uri="http://schemas.openxmlformats.org/drawingml/2006/picture">
                      <pic:pic>
                        <pic:nvPicPr>
                          <pic:cNvPr descr="ms_files/figure-docx/checking_model-5.png" id="69" name="Picture"/>
                          <pic:cNvPicPr>
                            <a:picLocks noChangeArrowheads="1" noChangeAspect="1"/>
                          </pic:cNvPicPr>
                        </pic:nvPicPr>
                        <pic:blipFill>
                          <a:blip r:embed="rId67"/>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71" name="Picture"/>
                  <a:graphic>
                    <a:graphicData uri="http://schemas.openxmlformats.org/drawingml/2006/picture">
                      <pic:pic>
                        <pic:nvPicPr>
                          <pic:cNvPr descr="ms_files/figure-docx/checking_model-6.png" id="72" name="Picture"/>
                          <pic:cNvPicPr>
                            <a:picLocks noChangeArrowheads="1" noChangeAspect="1"/>
                          </pic:cNvPicPr>
                        </pic:nvPicPr>
                        <pic:blipFill>
                          <a:blip r:embed="rId70"/>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74" name="Picture"/>
                  <a:graphic>
                    <a:graphicData uri="http://schemas.openxmlformats.org/drawingml/2006/picture">
                      <pic:pic>
                        <pic:nvPicPr>
                          <pic:cNvPr descr="ms_files/figure-docx/checking_model-7.png" id="75" name="Picture"/>
                          <pic:cNvPicPr>
                            <a:picLocks noChangeArrowheads="1" noChangeAspect="1"/>
                          </pic:cNvPicPr>
                        </pic:nvPicPr>
                        <pic:blipFill>
                          <a:blip r:embed="rId73"/>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77" name="Picture"/>
                  <a:graphic>
                    <a:graphicData uri="http://schemas.openxmlformats.org/drawingml/2006/picture">
                      <pic:pic>
                        <pic:nvPicPr>
                          <pic:cNvPr descr="ms_files/figure-docx/checking_model-8.png" id="78" name="Picture"/>
                          <pic:cNvPicPr>
                            <a:picLocks noChangeArrowheads="1" noChangeAspect="1"/>
                          </pic:cNvPicPr>
                        </pic:nvPicPr>
                        <pic:blipFill>
                          <a:blip r:embed="rId76"/>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80" name="Picture"/>
                  <a:graphic>
                    <a:graphicData uri="http://schemas.openxmlformats.org/drawingml/2006/picture">
                      <pic:pic>
                        <pic:nvPicPr>
                          <pic:cNvPr descr="ms_files/figure-docx/checking_model-9.png" id="81" name="Picture"/>
                          <pic:cNvPicPr>
                            <a:picLocks noChangeArrowheads="1" noChangeAspect="1"/>
                          </pic:cNvPicPr>
                        </pic:nvPicPr>
                        <pic:blipFill>
                          <a:blip r:embed="rId79"/>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83" name="Picture"/>
                  <a:graphic>
                    <a:graphicData uri="http://schemas.openxmlformats.org/drawingml/2006/picture">
                      <pic:pic>
                        <pic:nvPicPr>
                          <pic:cNvPr descr="ms_files/figure-docx/checking_model-10.png" id="84" name="Picture"/>
                          <pic:cNvPicPr>
                            <a:picLocks noChangeArrowheads="1" noChangeAspect="1"/>
                          </pic:cNvPicPr>
                        </pic:nvPicPr>
                        <pic:blipFill>
                          <a:blip r:embed="rId82"/>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86" name="Picture"/>
                  <a:graphic>
                    <a:graphicData uri="http://schemas.openxmlformats.org/drawingml/2006/picture">
                      <pic:pic>
                        <pic:nvPicPr>
                          <pic:cNvPr descr="ms_files/figure-docx/checking_model-11.png" id="87" name="Picture"/>
                          <pic:cNvPicPr>
                            <a:picLocks noChangeArrowheads="1" noChangeAspect="1"/>
                          </pic:cNvPicPr>
                        </pic:nvPicPr>
                        <pic:blipFill>
                          <a:blip r:embed="rId85"/>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89" name="Picture"/>
                  <a:graphic>
                    <a:graphicData uri="http://schemas.openxmlformats.org/drawingml/2006/picture">
                      <pic:pic>
                        <pic:nvPicPr>
                          <pic:cNvPr descr="ms_files/figure-docx/checking_model-12.png" id="90" name="Picture"/>
                          <pic:cNvPicPr>
                            <a:picLocks noChangeArrowheads="1" noChangeAspect="1"/>
                          </pic:cNvPicPr>
                        </pic:nvPicPr>
                        <pic:blipFill>
                          <a:blip r:embed="rId88"/>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92" name="Picture"/>
                  <a:graphic>
                    <a:graphicData uri="http://schemas.openxmlformats.org/drawingml/2006/picture">
                      <pic:pic>
                        <pic:nvPicPr>
                          <pic:cNvPr descr="ms_files/figure-docx/checking_model-13.png" id="93" name="Picture"/>
                          <pic:cNvPicPr>
                            <a:picLocks noChangeArrowheads="1" noChangeAspect="1"/>
                          </pic:cNvPicPr>
                        </pic:nvPicPr>
                        <pic:blipFill>
                          <a:blip r:embed="rId91"/>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95" name="Picture"/>
                  <a:graphic>
                    <a:graphicData uri="http://schemas.openxmlformats.org/drawingml/2006/picture">
                      <pic:pic>
                        <pic:nvPicPr>
                          <pic:cNvPr descr="ms_files/figure-docx/checking_model-14.png" id="96" name="Picture"/>
                          <pic:cNvPicPr>
                            <a:picLocks noChangeArrowheads="1" noChangeAspect="1"/>
                          </pic:cNvPicPr>
                        </pic:nvPicPr>
                        <pic:blipFill>
                          <a:blip r:embed="rId94"/>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98" name="Picture"/>
                  <a:graphic>
                    <a:graphicData uri="http://schemas.openxmlformats.org/drawingml/2006/picture">
                      <pic:pic>
                        <pic:nvPicPr>
                          <pic:cNvPr descr="ms_files/figure-docx/checking_model-15.png" id="99" name="Picture"/>
                          <pic:cNvPicPr>
                            <a:picLocks noChangeArrowheads="1" noChangeAspect="1"/>
                          </pic:cNvPicPr>
                        </pic:nvPicPr>
                        <pic:blipFill>
                          <a:blip r:embed="rId97"/>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01" name="Picture"/>
                  <a:graphic>
                    <a:graphicData uri="http://schemas.openxmlformats.org/drawingml/2006/picture">
                      <pic:pic>
                        <pic:nvPicPr>
                          <pic:cNvPr descr="ms_files/figure-docx/checking_model-16.png" id="102" name="Picture"/>
                          <pic:cNvPicPr>
                            <a:picLocks noChangeArrowheads="1" noChangeAspect="1"/>
                          </pic:cNvPicPr>
                        </pic:nvPicPr>
                        <pic:blipFill>
                          <a:blip r:embed="rId100"/>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04" name="Picture"/>
                  <a:graphic>
                    <a:graphicData uri="http://schemas.openxmlformats.org/drawingml/2006/picture">
                      <pic:pic>
                        <pic:nvPicPr>
                          <pic:cNvPr descr="ms_files/figure-docx/checking_model-17.png" id="105" name="Picture"/>
                          <pic:cNvPicPr>
                            <a:picLocks noChangeArrowheads="1" noChangeAspect="1"/>
                          </pic:cNvPicPr>
                        </pic:nvPicPr>
                        <pic:blipFill>
                          <a:blip r:embed="rId103"/>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07" name="Picture"/>
                  <a:graphic>
                    <a:graphicData uri="http://schemas.openxmlformats.org/drawingml/2006/picture">
                      <pic:pic>
                        <pic:nvPicPr>
                          <pic:cNvPr descr="ms_files/figure-docx/checking_model-18.png" id="108" name="Picture"/>
                          <pic:cNvPicPr>
                            <a:picLocks noChangeArrowheads="1" noChangeAspect="1"/>
                          </pic:cNvPicPr>
                        </pic:nvPicPr>
                        <pic:blipFill>
                          <a:blip r:embed="rId106"/>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109"/>
    <w:bookmarkEnd w:id="110"/>
    <w:sectPr w:rsidR="000B5F5E" w:rsidRPr="00410006" w:rsidSect="00041485">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094C1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12C837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48F67B4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F6996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7F4522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BC406E7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1EC7D8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0B82430"/>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588063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E02E3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166ED8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CAFE060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4B52536B"/>
    <w:multiLevelType w:val="hybridMultilevel"/>
    <w:tmpl w:val="C928A9AC"/>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721780048" w:numId="1">
    <w:abstractNumId w:val="10"/>
  </w:num>
  <w:num w16cid:durableId="143091172" w:numId="2">
    <w:abstractNumId w:val="0"/>
  </w:num>
  <w:num w16cid:durableId="632712907" w:numId="3">
    <w:abstractNumId w:val="1"/>
  </w:num>
  <w:num w16cid:durableId="1455713332" w:numId="4">
    <w:abstractNumId w:val="2"/>
  </w:num>
  <w:num w16cid:durableId="639461341" w:numId="5">
    <w:abstractNumId w:val="3"/>
  </w:num>
  <w:num w16cid:durableId="1623883182" w:numId="6">
    <w:abstractNumId w:val="8"/>
  </w:num>
  <w:num w16cid:durableId="1164008430" w:numId="7">
    <w:abstractNumId w:val="4"/>
  </w:num>
  <w:num w16cid:durableId="374501612" w:numId="8">
    <w:abstractNumId w:val="5"/>
  </w:num>
  <w:num w16cid:durableId="106241459" w:numId="9">
    <w:abstractNumId w:val="6"/>
  </w:num>
  <w:num w16cid:durableId="614408241" w:numId="10">
    <w:abstractNumId w:val="7"/>
  </w:num>
  <w:num w16cid:durableId="2008972897" w:numId="11">
    <w:abstractNumId w:val="9"/>
  </w:num>
  <w:num w16cid:durableId="3826347" w:numId="12">
    <w:abstractNumId w:val="0"/>
  </w:num>
  <w:num w16cid:durableId="1304585251" w:numId="13">
    <w:abstractNumId w:val="1"/>
  </w:num>
  <w:num w16cid:durableId="295186827" w:numId="14">
    <w:abstractNumId w:val="2"/>
  </w:num>
  <w:num w16cid:durableId="1165897800" w:numId="15">
    <w:abstractNumId w:val="3"/>
  </w:num>
  <w:num w16cid:durableId="805124763" w:numId="16">
    <w:abstractNumId w:val="8"/>
  </w:num>
  <w:num w16cid:durableId="688724301" w:numId="17">
    <w:abstractNumId w:val="4"/>
  </w:num>
  <w:num w16cid:durableId="1968778924" w:numId="18">
    <w:abstractNumId w:val="5"/>
  </w:num>
  <w:num w16cid:durableId="1863932392" w:numId="19">
    <w:abstractNumId w:val="6"/>
  </w:num>
  <w:num w16cid:durableId="505823955" w:numId="20">
    <w:abstractNumId w:val="7"/>
  </w:num>
  <w:num w16cid:durableId="44455075" w:numId="21">
    <w:abstractNumId w:val="9"/>
  </w:num>
  <w:num w16cid:durableId="974406508" w:numId="22">
    <w:abstractNumId w:val="0"/>
  </w:num>
  <w:num w16cid:durableId="653416115" w:numId="23">
    <w:abstractNumId w:val="1"/>
  </w:num>
  <w:num w16cid:durableId="1127118836" w:numId="24">
    <w:abstractNumId w:val="2"/>
  </w:num>
  <w:num w16cid:durableId="76484940" w:numId="25">
    <w:abstractNumId w:val="3"/>
  </w:num>
  <w:num w16cid:durableId="758409120" w:numId="26">
    <w:abstractNumId w:val="8"/>
  </w:num>
  <w:num w16cid:durableId="404030365" w:numId="27">
    <w:abstractNumId w:val="4"/>
  </w:num>
  <w:num w16cid:durableId="983193140" w:numId="28">
    <w:abstractNumId w:val="5"/>
  </w:num>
  <w:num w16cid:durableId="834413867" w:numId="29">
    <w:abstractNumId w:val="6"/>
  </w:num>
  <w:num w16cid:durableId="403795792" w:numId="30">
    <w:abstractNumId w:val="7"/>
  </w:num>
  <w:num w16cid:durableId="2104912296" w:numId="31">
    <w:abstractNumId w:val="9"/>
  </w:num>
  <w:num w16cid:durableId="609241903" w:numId="32">
    <w:abstractNumId w:val="0"/>
  </w:num>
  <w:num w16cid:durableId="212274816" w:numId="33">
    <w:abstractNumId w:val="1"/>
  </w:num>
  <w:num w16cid:durableId="1718434514" w:numId="34">
    <w:abstractNumId w:val="2"/>
  </w:num>
  <w:num w16cid:durableId="836964110" w:numId="35">
    <w:abstractNumId w:val="3"/>
  </w:num>
  <w:num w16cid:durableId="32265831" w:numId="36">
    <w:abstractNumId w:val="8"/>
  </w:num>
  <w:num w16cid:durableId="875771006" w:numId="37">
    <w:abstractNumId w:val="4"/>
  </w:num>
  <w:num w16cid:durableId="571812965" w:numId="38">
    <w:abstractNumId w:val="5"/>
  </w:num>
  <w:num w16cid:durableId="2029672449" w:numId="39">
    <w:abstractNumId w:val="6"/>
  </w:num>
  <w:num w16cid:durableId="1941140807" w:numId="40">
    <w:abstractNumId w:val="7"/>
  </w:num>
  <w:num w16cid:durableId="1235436268" w:numId="41">
    <w:abstractNumId w:val="9"/>
  </w:num>
  <w:num w16cid:durableId="1431664836" w:numId="42">
    <w:abstractNumId w:val="0"/>
  </w:num>
  <w:num w16cid:durableId="1521820671" w:numId="43">
    <w:abstractNumId w:val="1"/>
  </w:num>
  <w:num w16cid:durableId="1694112480" w:numId="44">
    <w:abstractNumId w:val="2"/>
  </w:num>
  <w:num w16cid:durableId="477235170" w:numId="45">
    <w:abstractNumId w:val="3"/>
  </w:num>
  <w:num w16cid:durableId="1597709075" w:numId="46">
    <w:abstractNumId w:val="8"/>
  </w:num>
  <w:num w16cid:durableId="409546055" w:numId="47">
    <w:abstractNumId w:val="4"/>
  </w:num>
  <w:num w16cid:durableId="470681698" w:numId="48">
    <w:abstractNumId w:val="5"/>
  </w:num>
  <w:num w16cid:durableId="773599548" w:numId="49">
    <w:abstractNumId w:val="6"/>
  </w:num>
  <w:num w16cid:durableId="573590450" w:numId="50">
    <w:abstractNumId w:val="7"/>
  </w:num>
  <w:num w16cid:durableId="1026638835" w:numId="51">
    <w:abstractNumId w:val="9"/>
  </w:num>
  <w:num w16cid:durableId="1084838228" w:numId="52">
    <w:abstractNumId w:val="0"/>
  </w:num>
  <w:num w16cid:durableId="1226337426" w:numId="53">
    <w:abstractNumId w:val="1"/>
  </w:num>
  <w:num w16cid:durableId="709258677" w:numId="54">
    <w:abstractNumId w:val="2"/>
  </w:num>
  <w:num w16cid:durableId="2007629934" w:numId="55">
    <w:abstractNumId w:val="3"/>
  </w:num>
  <w:num w16cid:durableId="1775713565" w:numId="56">
    <w:abstractNumId w:val="8"/>
  </w:num>
  <w:num w16cid:durableId="1121418020" w:numId="57">
    <w:abstractNumId w:val="4"/>
  </w:num>
  <w:num w16cid:durableId="1178542782" w:numId="58">
    <w:abstractNumId w:val="5"/>
  </w:num>
  <w:num w16cid:durableId="748498300" w:numId="59">
    <w:abstractNumId w:val="6"/>
  </w:num>
  <w:num w16cid:durableId="906111083" w:numId="60">
    <w:abstractNumId w:val="7"/>
  </w:num>
  <w:num w16cid:durableId="277880610" w:numId="61">
    <w:abstractNumId w:val="9"/>
  </w:num>
  <w:num w16cid:durableId="1932666826" w:numId="62">
    <w:abstractNumId w:val="0"/>
  </w:num>
  <w:num w16cid:durableId="1278217058" w:numId="63">
    <w:abstractNumId w:val="1"/>
  </w:num>
  <w:num w16cid:durableId="37093813" w:numId="64">
    <w:abstractNumId w:val="2"/>
  </w:num>
  <w:num w16cid:durableId="1390301843" w:numId="65">
    <w:abstractNumId w:val="3"/>
  </w:num>
  <w:num w16cid:durableId="2096852569" w:numId="66">
    <w:abstractNumId w:val="8"/>
  </w:num>
  <w:num w16cid:durableId="666519776" w:numId="67">
    <w:abstractNumId w:val="4"/>
  </w:num>
  <w:num w16cid:durableId="1193111241" w:numId="68">
    <w:abstractNumId w:val="5"/>
  </w:num>
  <w:num w16cid:durableId="389378212" w:numId="69">
    <w:abstractNumId w:val="6"/>
  </w:num>
  <w:num w16cid:durableId="1937666174" w:numId="70">
    <w:abstractNumId w:val="7"/>
  </w:num>
  <w:num w16cid:durableId="233514915" w:numId="71">
    <w:abstractNumId w:val="9"/>
  </w:num>
  <w:num w16cid:durableId="1061291012" w:numId="72">
    <w:abstractNumId w:val="11"/>
  </w:num>
  <w:num w16cid:durableId="1760448088" w:numId="7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rsid w:val="00956185"/>
    <w:pPr>
      <w:keepNext/>
      <w:keepLines/>
      <w:spacing w:after="0" w:before="200"/>
      <w:outlineLvl w:val="1"/>
    </w:pPr>
    <w:rPr>
      <w:rFonts w:ascii="Times New Roman" w:cstheme="majorBidi" w:eastAsiaTheme="majorEastAsia" w:hAnsi="Times New Roman"/>
      <w:b/>
      <w:bCs/>
      <w:color w:themeColor="text1" w:val="000000"/>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956185"/>
    <w:rPr>
      <w:rFonts w:ascii="Times New Roman" w:hAnsi="Times New Roman"/>
    </w:rPr>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956185"/>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FollowedHyperlink" w:type="character">
    <w:name w:val="FollowedHyperlink"/>
    <w:basedOn w:val="DefaultParagraphFont"/>
    <w:semiHidden/>
    <w:unhideWhenUsed/>
    <w:rsid w:val="00956185"/>
    <w:rPr>
      <w:color w:themeColor="followedHyperlink" w:val="800080"/>
      <w:u w:val="single"/>
    </w:rPr>
  </w:style>
  <w:style w:customStyle="1" w:styleId="BodyTextChar" w:type="character">
    <w:name w:val="Body Text Char"/>
    <w:basedOn w:val="DefaultParagraphFont"/>
    <w:link w:val="BodyText"/>
    <w:rsid w:val="00956185"/>
  </w:style>
  <w:style w:styleId="ListParagraph" w:type="paragraph">
    <w:name w:val="List Paragraph"/>
    <w:basedOn w:val="Normal"/>
    <w:rsid w:val="005F40FF"/>
    <w:pPr>
      <w:ind w:left="720"/>
      <w:contextualSpacing/>
    </w:pPr>
  </w:style>
  <w:style w:styleId="LineNumber" w:type="charact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55" Target="media/rId55.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hyperlink" Id="rId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35</Pages>
  <Words>5492</Words>
  <Characters>31307</Characters>
  <Application>Microsoft Office Word</Application>
  <DocSecurity>0</DocSecurity>
  <Lines>260</Lines>
  <Paragraphs>73</Paragraphs>
  <ScaleCrop>false</ScaleCrop>
  <Company/>
  <LinksUpToDate>false</LinksUpToDate>
  <CharactersWithSpaces>36726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2024-08-23T23:30:21Z</dcterms:created>
  <dcterms:modified xsi:type="dcterms:W3CDTF">2024-08-23T23:30:21Z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