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3E318" w14:textId="77777777" w:rsidR="00C11FC1" w:rsidRPr="00CB4762" w:rsidRDefault="00000000" w:rsidP="00CB4762">
      <w:pPr>
        <w:pStyle w:val="Title"/>
        <w:spacing w:line="480" w:lineRule="auto"/>
        <w:rPr>
          <w:rFonts w:ascii="Times New Roman" w:hAnsi="Times New Roman" w:cs="Times New Roman"/>
        </w:rPr>
      </w:pPr>
      <w:r w:rsidRPr="00CB4762">
        <w:rPr>
          <w:rFonts w:ascii="Times New Roman" w:hAnsi="Times New Roman" w:cs="Times New Roman"/>
        </w:rPr>
        <w:t>The effects of prenatal corticosterone and thermal environment on numerical discrimination abilities in a lizard</w:t>
      </w:r>
    </w:p>
    <w:p w14:paraId="1CFBE6A3"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Pablo Recio</w:t>
      </w:r>
      <w:r w:rsidRPr="00CB4762">
        <w:rPr>
          <w:rFonts w:ascii="Times New Roman" w:hAnsi="Times New Roman" w:cs="Times New Roman"/>
          <w:vertAlign w:val="superscript"/>
        </w:rPr>
        <w:t>1</w:t>
      </w:r>
      <w:r w:rsidRPr="00CB4762">
        <w:rPr>
          <w:rFonts w:ascii="Times New Roman" w:hAnsi="Times New Roman" w:cs="Times New Roman"/>
        </w:rPr>
        <w:t>,</w:t>
      </w:r>
      <m:oMath>
        <m:r>
          <m:rPr>
            <m:sty m:val="p"/>
          </m:rPr>
          <w:rPr>
            <w:rFonts w:ascii="Cambria Math" w:hAnsi="Cambria Math" w:cs="Times New Roman"/>
          </w:rPr>
          <m:t>‡</m:t>
        </m:r>
      </m:oMath>
      <w:r w:rsidRPr="00CB4762">
        <w:rPr>
          <w:rFonts w:ascii="Times New Roman" w:hAnsi="Times New Roman" w:cs="Times New Roman"/>
        </w:rPr>
        <w:t xml:space="preserve"> , Dalton C. Leibold</w:t>
      </w:r>
      <w:r w:rsidRPr="00CB4762">
        <w:rPr>
          <w:rFonts w:ascii="Times New Roman" w:hAnsi="Times New Roman" w:cs="Times New Roman"/>
          <w:vertAlign w:val="superscript"/>
        </w:rPr>
        <w:t>1</w:t>
      </w:r>
      <w:r w:rsidRPr="00CB4762">
        <w:rPr>
          <w:rFonts w:ascii="Times New Roman" w:hAnsi="Times New Roman" w:cs="Times New Roman"/>
        </w:rPr>
        <w:t xml:space="preserve">, Ondi L. Crino </w:t>
      </w:r>
      <w:r w:rsidRPr="00CB4762">
        <w:rPr>
          <w:rFonts w:ascii="Times New Roman" w:hAnsi="Times New Roman" w:cs="Times New Roman"/>
          <w:vertAlign w:val="superscript"/>
        </w:rPr>
        <w:t>1,2</w:t>
      </w:r>
      <w:r w:rsidRPr="00CB4762">
        <w:rPr>
          <w:rFonts w:ascii="Times New Roman" w:hAnsi="Times New Roman" w:cs="Times New Roman"/>
        </w:rPr>
        <w:t>, Christopher R. Friesen</w:t>
      </w:r>
      <w:r w:rsidRPr="00CB4762">
        <w:rPr>
          <w:rFonts w:ascii="Times New Roman" w:hAnsi="Times New Roman" w:cs="Times New Roman"/>
          <w:vertAlign w:val="superscript"/>
        </w:rPr>
        <w:t>3</w:t>
      </w:r>
      <w:r w:rsidRPr="00CB4762">
        <w:rPr>
          <w:rFonts w:ascii="Times New Roman" w:hAnsi="Times New Roman" w:cs="Times New Roman"/>
        </w:rPr>
        <w:t xml:space="preserve">, Amelia Y. Peardon </w:t>
      </w:r>
      <w:r w:rsidRPr="00CB4762">
        <w:rPr>
          <w:rFonts w:ascii="Times New Roman" w:hAnsi="Times New Roman" w:cs="Times New Roman"/>
          <w:vertAlign w:val="superscript"/>
        </w:rPr>
        <w:t>1</w:t>
      </w:r>
      <w:r w:rsidRPr="00CB4762">
        <w:rPr>
          <w:rFonts w:ascii="Times New Roman" w:hAnsi="Times New Roman" w:cs="Times New Roman"/>
        </w:rPr>
        <w:t>, Daniel W.A. Noble</w:t>
      </w:r>
      <w:r w:rsidRPr="00CB4762">
        <w:rPr>
          <w:rFonts w:ascii="Times New Roman" w:hAnsi="Times New Roman" w:cs="Times New Roman"/>
          <w:vertAlign w:val="superscript"/>
        </w:rPr>
        <w:t>1</w:t>
      </w:r>
    </w:p>
    <w:p w14:paraId="06CBC9AB"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vertAlign w:val="superscript"/>
        </w:rPr>
        <w:t>1</w:t>
      </w:r>
      <w:r w:rsidRPr="00CB4762">
        <w:rPr>
          <w:rFonts w:ascii="Times New Roman" w:hAnsi="Times New Roman" w:cs="Times New Roman"/>
        </w:rPr>
        <w:t xml:space="preserve"> Division of Ecology and Evolution, Research School of Biology, The Australian National University, Canberra, ACT 2601, Australia</w:t>
      </w:r>
      <w:r w:rsidRPr="00CB4762">
        <w:rPr>
          <w:rFonts w:ascii="Times New Roman" w:hAnsi="Times New Roman" w:cs="Times New Roman"/>
        </w:rPr>
        <w:br/>
      </w:r>
      <w:r w:rsidRPr="00CB4762">
        <w:rPr>
          <w:rFonts w:ascii="Times New Roman" w:hAnsi="Times New Roman" w:cs="Times New Roman"/>
          <w:vertAlign w:val="superscript"/>
        </w:rPr>
        <w:t>2</w:t>
      </w:r>
      <w:r w:rsidRPr="00CB4762">
        <w:rPr>
          <w:rFonts w:ascii="Times New Roman" w:hAnsi="Times New Roman" w:cs="Times New Roman"/>
        </w:rPr>
        <w:t xml:space="preserve"> Flinder’s University, College of Science and Engineering, Bedford Park, SA 5042, Australia</w:t>
      </w:r>
      <w:r w:rsidRPr="00CB4762">
        <w:rPr>
          <w:rFonts w:ascii="Times New Roman" w:hAnsi="Times New Roman" w:cs="Times New Roman"/>
        </w:rPr>
        <w:br/>
      </w:r>
      <w:r w:rsidRPr="00CB4762">
        <w:rPr>
          <w:rFonts w:ascii="Times New Roman" w:hAnsi="Times New Roman" w:cs="Times New Roman"/>
          <w:vertAlign w:val="superscript"/>
        </w:rPr>
        <w:t>3</w:t>
      </w:r>
      <w:r w:rsidRPr="00CB4762">
        <w:rPr>
          <w:rFonts w:ascii="Times New Roman" w:hAnsi="Times New Roman" w:cs="Times New Roman"/>
        </w:rPr>
        <w:t xml:space="preserve"> University of Wollongong, Wollongong, NSW 2500, Australia</w:t>
      </w:r>
      <w:r w:rsidRPr="00CB4762">
        <w:rPr>
          <w:rFonts w:ascii="Times New Roman" w:hAnsi="Times New Roman" w:cs="Times New Roman"/>
        </w:rPr>
        <w:br/>
      </w:r>
      <m:oMath>
        <m:r>
          <m:rPr>
            <m:sty m:val="p"/>
          </m:rPr>
          <w:rPr>
            <w:rFonts w:ascii="Cambria Math" w:hAnsi="Cambria Math" w:cs="Times New Roman"/>
          </w:rPr>
          <m:t>‡</m:t>
        </m:r>
      </m:oMath>
      <w:r w:rsidRPr="00CB4762">
        <w:rPr>
          <w:rFonts w:ascii="Times New Roman" w:hAnsi="Times New Roman" w:cs="Times New Roman"/>
        </w:rPr>
        <w:t xml:space="preserve"> Corresponding author: pablo.reciosantiago@anu.edu.au</w:t>
      </w:r>
    </w:p>
    <w:p w14:paraId="53045F6A"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ORCID:</w:t>
      </w:r>
    </w:p>
    <w:p w14:paraId="69CD4B7C"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Pablo Recio ORCID: 0000-0002-5890-0218</w:t>
      </w:r>
      <w:r w:rsidRPr="00CB4762">
        <w:rPr>
          <w:rFonts w:ascii="Times New Roman" w:hAnsi="Times New Roman" w:cs="Times New Roman"/>
        </w:rPr>
        <w:br/>
        <w:t>Dalton C. Leibold ORCID: 0000-0001-9645-2033</w:t>
      </w:r>
      <w:r w:rsidRPr="00CB4762">
        <w:rPr>
          <w:rFonts w:ascii="Times New Roman" w:hAnsi="Times New Roman" w:cs="Times New Roman"/>
        </w:rPr>
        <w:br/>
        <w:t>Ondi L. Crino ORCID: 0000-0001-5700-1387</w:t>
      </w:r>
      <w:r w:rsidRPr="00CB4762">
        <w:rPr>
          <w:rFonts w:ascii="Times New Roman" w:hAnsi="Times New Roman" w:cs="Times New Roman"/>
        </w:rPr>
        <w:br/>
        <w:t>Christopher R. Friesen ORCID: 0000-0001-5338-7454</w:t>
      </w:r>
      <w:r w:rsidRPr="00CB4762">
        <w:rPr>
          <w:rFonts w:ascii="Times New Roman" w:hAnsi="Times New Roman" w:cs="Times New Roman"/>
        </w:rPr>
        <w:br/>
        <w:t>Amelia Y. Peardon ORCID: 0009-0005-6227-8379</w:t>
      </w:r>
      <w:r w:rsidRPr="00CB4762">
        <w:rPr>
          <w:rFonts w:ascii="Times New Roman" w:hAnsi="Times New Roman" w:cs="Times New Roman"/>
        </w:rPr>
        <w:br/>
        <w:t>Daniel W.A. Noble ORCID: 0000-0001-9460-8743</w:t>
      </w:r>
    </w:p>
    <w:p w14:paraId="03D5B60F" w14:textId="77777777" w:rsidR="00C11FC1" w:rsidRPr="00CB4762" w:rsidRDefault="00000000" w:rsidP="00CB4762">
      <w:pPr>
        <w:spacing w:line="480" w:lineRule="auto"/>
        <w:rPr>
          <w:rFonts w:ascii="Times New Roman" w:hAnsi="Times New Roman" w:cs="Times New Roman"/>
        </w:rPr>
      </w:pPr>
      <w:r w:rsidRPr="00CB4762">
        <w:rPr>
          <w:rFonts w:ascii="Times New Roman" w:hAnsi="Times New Roman" w:cs="Times New Roman"/>
        </w:rPr>
        <w:br w:type="page"/>
      </w:r>
    </w:p>
    <w:p w14:paraId="38B6010A" w14:textId="77777777" w:rsidR="00C11FC1" w:rsidRPr="00CB4762" w:rsidRDefault="00000000" w:rsidP="00CB4762">
      <w:pPr>
        <w:pStyle w:val="Heading2"/>
        <w:spacing w:line="480" w:lineRule="auto"/>
        <w:rPr>
          <w:rFonts w:ascii="Times New Roman" w:hAnsi="Times New Roman" w:cs="Times New Roman"/>
        </w:rPr>
      </w:pPr>
      <w:bookmarkStart w:id="0" w:name="keywords"/>
      <w:r w:rsidRPr="00CB4762">
        <w:rPr>
          <w:rFonts w:ascii="Times New Roman" w:hAnsi="Times New Roman" w:cs="Times New Roman"/>
        </w:rPr>
        <w:lastRenderedPageBreak/>
        <w:t>Keywords</w:t>
      </w:r>
    </w:p>
    <w:p w14:paraId="3952C130"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Numerical discrimination, Corticosterone, Temperature, Reptiles, Early life stress, Cognitive abilities</w:t>
      </w:r>
    </w:p>
    <w:p w14:paraId="36CA1F23" w14:textId="77777777" w:rsidR="00C11FC1" w:rsidRPr="00CB4762" w:rsidRDefault="00000000" w:rsidP="00CB4762">
      <w:pPr>
        <w:pStyle w:val="Heading2"/>
        <w:spacing w:line="480" w:lineRule="auto"/>
        <w:rPr>
          <w:rFonts w:ascii="Times New Roman" w:hAnsi="Times New Roman" w:cs="Times New Roman"/>
        </w:rPr>
      </w:pPr>
      <w:bookmarkStart w:id="1" w:name="abstract"/>
      <w:bookmarkEnd w:id="0"/>
      <w:r w:rsidRPr="00CB4762">
        <w:rPr>
          <w:rFonts w:ascii="Times New Roman" w:hAnsi="Times New Roman" w:cs="Times New Roman"/>
        </w:rPr>
        <w:t>Abstract</w:t>
      </w:r>
    </w:p>
    <w:p w14:paraId="03194D3F"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From social behaviour to navigating their environment, quantitative abilities can be crucial in animals’ life. Early life conditions are predicted to impact brain development, and quantitative competence may not be exent of these effects. Early thermal environment or glucocorticoids (GCs) - stress-related hormones - transmitted by the parents can play a prominent role in shaping cognition through effects on brain physiology. Furthermore, temperature can lead to increased levels of GCs that are passed on to the offspring, emphasizing the need to study the combined effects of these two factors. Here, we investigated the effects of prenatal corticosterone (CORT) - the main GC in reptiles - and incubation temperature on numerical discrimination in the common garden skink (</w:t>
      </w:r>
      <w:r w:rsidRPr="00CB4762">
        <w:rPr>
          <w:rFonts w:ascii="Times New Roman" w:hAnsi="Times New Roman" w:cs="Times New Roman"/>
          <w:i/>
          <w:iCs/>
        </w:rPr>
        <w:t>Lampropholis guichenoti</w:t>
      </w:r>
      <w:r w:rsidRPr="00CB4762">
        <w:rPr>
          <w:rFonts w:ascii="Times New Roman" w:hAnsi="Times New Roman" w:cs="Times New Roman"/>
        </w:rPr>
        <w:t xml:space="preserve">). We manipulated CORT levels and temperature during incubation and then assessed numerical abilities through a spontaneous choice test with food as the relevant stimulus. Employing a repeated measures design, we subjected lizards to five numerical tests each differing in the total number of items and the ratios between the two choices (1 VS 4, 1 VS 3, 2 VS 4, 2 VS 3, 2 VS 4). Contrary to our expectations, we found no evidence of numerical discrimination or any effect of treatments on lizards’ behaviour. These findings suggest that </w:t>
      </w:r>
      <w:r w:rsidRPr="00CB4762">
        <w:rPr>
          <w:rFonts w:ascii="Times New Roman" w:hAnsi="Times New Roman" w:cs="Times New Roman"/>
          <w:i/>
          <w:iCs/>
        </w:rPr>
        <w:t>L. guichenoti</w:t>
      </w:r>
      <w:r w:rsidRPr="00CB4762">
        <w:rPr>
          <w:rFonts w:ascii="Times New Roman" w:hAnsi="Times New Roman" w:cs="Times New Roman"/>
        </w:rPr>
        <w:t xml:space="preserve"> may not use numerical cues to make foraging decisions and that early conditions do not affect their behaviour towards different quantities of food.</w:t>
      </w:r>
    </w:p>
    <w:p w14:paraId="7CB520F5" w14:textId="77777777" w:rsidR="00C11FC1" w:rsidRPr="00CB4762" w:rsidRDefault="00000000" w:rsidP="00CB4762">
      <w:pPr>
        <w:pStyle w:val="Heading2"/>
        <w:spacing w:line="480" w:lineRule="auto"/>
        <w:rPr>
          <w:rFonts w:ascii="Times New Roman" w:hAnsi="Times New Roman" w:cs="Times New Roman"/>
        </w:rPr>
      </w:pPr>
      <w:bookmarkStart w:id="2" w:name="significance-statement"/>
      <w:bookmarkEnd w:id="1"/>
      <w:r w:rsidRPr="00CB4762">
        <w:rPr>
          <w:rFonts w:ascii="Times New Roman" w:hAnsi="Times New Roman" w:cs="Times New Roman"/>
        </w:rPr>
        <w:lastRenderedPageBreak/>
        <w:t>Significance statement</w:t>
      </w:r>
    </w:p>
    <w:p w14:paraId="4BBE4440"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Discriminating between quantities is crucial for animal behaviour,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regardless of incubation conditions.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p w14:paraId="5D4D3592" w14:textId="77777777" w:rsidR="00C11FC1" w:rsidRPr="00CB4762" w:rsidRDefault="00000000" w:rsidP="00CB4762">
      <w:pPr>
        <w:pStyle w:val="Heading2"/>
        <w:spacing w:line="480" w:lineRule="auto"/>
        <w:rPr>
          <w:rFonts w:ascii="Times New Roman" w:hAnsi="Times New Roman" w:cs="Times New Roman"/>
        </w:rPr>
      </w:pPr>
      <w:bookmarkStart w:id="3" w:name="introduction"/>
      <w:bookmarkEnd w:id="2"/>
      <w:r w:rsidRPr="00CB4762">
        <w:rPr>
          <w:rFonts w:ascii="Times New Roman" w:hAnsi="Times New Roman" w:cs="Times New Roman"/>
        </w:rPr>
        <w:t>Introduction</w:t>
      </w:r>
    </w:p>
    <w:p w14:paraId="760D1893"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The ability to discern between quantities is a fundamental cognitive skill widely observed across the animal kingdom (</w:t>
      </w:r>
      <w:hyperlink w:anchor="ref-vonk2012bears">
        <w:r w:rsidRPr="00CB4762">
          <w:rPr>
            <w:rStyle w:val="Hyperlink"/>
            <w:rFonts w:ascii="Times New Roman" w:hAnsi="Times New Roman" w:cs="Times New Roman"/>
          </w:rPr>
          <w:t>Vonk and Beran 2012</w:t>
        </w:r>
      </w:hyperlink>
      <w:r w:rsidRPr="00CB4762">
        <w:rPr>
          <w:rFonts w:ascii="Times New Roman" w:hAnsi="Times New Roman" w:cs="Times New Roman"/>
        </w:rPr>
        <w:t xml:space="preserve">; </w:t>
      </w:r>
      <w:hyperlink w:anchor="ref-stancher2015numerical">
        <w:r w:rsidRPr="00CB4762">
          <w:rPr>
            <w:rStyle w:val="Hyperlink"/>
            <w:rFonts w:ascii="Times New Roman" w:hAnsi="Times New Roman" w:cs="Times New Roman"/>
          </w:rPr>
          <w:t>Stancher et al. 2015</w:t>
        </w:r>
      </w:hyperlink>
      <w:r w:rsidRPr="00CB4762">
        <w:rPr>
          <w:rFonts w:ascii="Times New Roman" w:hAnsi="Times New Roman" w:cs="Times New Roman"/>
        </w:rPr>
        <w:t xml:space="preserve">; </w:t>
      </w:r>
      <w:hyperlink w:anchor="ref-beran2016capuchin">
        <w:r w:rsidRPr="00CB4762">
          <w:rPr>
            <w:rStyle w:val="Hyperlink"/>
            <w:rFonts w:ascii="Times New Roman" w:hAnsi="Times New Roman" w:cs="Times New Roman"/>
          </w:rPr>
          <w:t>Beran and Parrish 2016</w:t>
        </w:r>
      </w:hyperlink>
      <w:r w:rsidRPr="00CB4762">
        <w:rPr>
          <w:rFonts w:ascii="Times New Roman" w:hAnsi="Times New Roman" w:cs="Times New Roman"/>
        </w:rPr>
        <w:t>). Numerical cognition is adaptive in various ecological contexts, contributing to social decisions, mate selection, or foraging (</w:t>
      </w:r>
      <w:hyperlink w:anchor="ref-lucon2017individual">
        <w:r w:rsidRPr="00CB4762">
          <w:rPr>
            <w:rStyle w:val="Hyperlink"/>
            <w:rFonts w:ascii="Times New Roman" w:hAnsi="Times New Roman" w:cs="Times New Roman"/>
          </w:rPr>
          <w:t>Lucon-Xiccato and Dadda 2017</w:t>
        </w:r>
      </w:hyperlink>
      <w:r w:rsidRPr="00CB4762">
        <w:rPr>
          <w:rFonts w:ascii="Times New Roman" w:hAnsi="Times New Roman" w:cs="Times New Roman"/>
        </w:rPr>
        <w:t xml:space="preserve">; </w:t>
      </w:r>
      <w:hyperlink w:anchor="ref-nieder2018evolution">
        <w:r w:rsidRPr="00CB4762">
          <w:rPr>
            <w:rStyle w:val="Hyperlink"/>
            <w:rFonts w:ascii="Times New Roman" w:hAnsi="Times New Roman" w:cs="Times New Roman"/>
          </w:rPr>
          <w:t>Nieder 2018</w:t>
        </w:r>
      </w:hyperlink>
      <w:r w:rsidRPr="00CB4762">
        <w:rPr>
          <w:rFonts w:ascii="Times New Roman" w:hAnsi="Times New Roman" w:cs="Times New Roman"/>
        </w:rPr>
        <w:t>). For instance, female lions (</w:t>
      </w:r>
      <w:r w:rsidRPr="00CB4762">
        <w:rPr>
          <w:rFonts w:ascii="Times New Roman" w:hAnsi="Times New Roman" w:cs="Times New Roman"/>
          <w:i/>
          <w:iCs/>
        </w:rPr>
        <w:t>Panthera leo</w:t>
      </w:r>
      <w:r w:rsidRPr="00CB4762">
        <w:rPr>
          <w:rFonts w:ascii="Times New Roman" w:hAnsi="Times New Roman" w:cs="Times New Roman"/>
        </w:rPr>
        <w:t>) use numerical information to assess the risk of confronting rival groups (</w:t>
      </w:r>
      <w:hyperlink w:anchor="ref-mccomb1994roaring">
        <w:r w:rsidRPr="00CB4762">
          <w:rPr>
            <w:rStyle w:val="Hyperlink"/>
            <w:rFonts w:ascii="Times New Roman" w:hAnsi="Times New Roman" w:cs="Times New Roman"/>
          </w:rPr>
          <w:t>McComb et al. 1994</w:t>
        </w:r>
      </w:hyperlink>
      <w:r w:rsidRPr="00CB4762">
        <w:rPr>
          <w:rFonts w:ascii="Times New Roman" w:hAnsi="Times New Roman" w:cs="Times New Roman"/>
        </w:rPr>
        <w:t>), male adult mealworms (</w:t>
      </w:r>
      <w:r w:rsidRPr="00CB4762">
        <w:rPr>
          <w:rFonts w:ascii="Times New Roman" w:hAnsi="Times New Roman" w:cs="Times New Roman"/>
          <w:i/>
          <w:iCs/>
        </w:rPr>
        <w:t>Tenebrio molitor</w:t>
      </w:r>
      <w:r w:rsidRPr="00CB4762">
        <w:rPr>
          <w:rFonts w:ascii="Times New Roman" w:hAnsi="Times New Roman" w:cs="Times New Roman"/>
        </w:rPr>
        <w:t>) select sites with scents of more females (</w:t>
      </w:r>
      <w:hyperlink w:anchor="ref-carazo2009quantity">
        <w:r w:rsidRPr="00CB4762">
          <w:rPr>
            <w:rStyle w:val="Hyperlink"/>
            <w:rFonts w:ascii="Times New Roman" w:hAnsi="Times New Roman" w:cs="Times New Roman"/>
          </w:rPr>
          <w:t>Carazo et al. 2009</w:t>
        </w:r>
      </w:hyperlink>
      <w:r w:rsidRPr="00CB4762">
        <w:rPr>
          <w:rFonts w:ascii="Times New Roman" w:hAnsi="Times New Roman" w:cs="Times New Roman"/>
        </w:rPr>
        <w:t>), and red-backed salamanders (</w:t>
      </w:r>
      <w:r w:rsidRPr="00CB4762">
        <w:rPr>
          <w:rFonts w:ascii="Times New Roman" w:hAnsi="Times New Roman" w:cs="Times New Roman"/>
          <w:i/>
          <w:iCs/>
        </w:rPr>
        <w:t>Plethodon cinereus</w:t>
      </w:r>
      <w:r w:rsidRPr="00CB4762">
        <w:rPr>
          <w:rFonts w:ascii="Times New Roman" w:hAnsi="Times New Roman" w:cs="Times New Roman"/>
        </w:rPr>
        <w:t>) prefer tubes containing larger numbers of prey (</w:t>
      </w:r>
      <w:hyperlink w:anchor="ref-uller2003salamanders">
        <w:r w:rsidRPr="00CB4762">
          <w:rPr>
            <w:rStyle w:val="Hyperlink"/>
            <w:rFonts w:ascii="Times New Roman" w:hAnsi="Times New Roman" w:cs="Times New Roman"/>
          </w:rPr>
          <w:t>Uller et al. 2003</w:t>
        </w:r>
      </w:hyperlink>
      <w:r w:rsidRPr="00CB4762">
        <w:rPr>
          <w:rFonts w:ascii="Times New Roman" w:hAnsi="Times New Roman" w:cs="Times New Roman"/>
        </w:rPr>
        <w:t xml:space="preserve">). Given the adaptive advantages of </w:t>
      </w:r>
      <w:r w:rsidRPr="00CB4762">
        <w:rPr>
          <w:rFonts w:ascii="Times New Roman" w:hAnsi="Times New Roman" w:cs="Times New Roman"/>
        </w:rPr>
        <w:lastRenderedPageBreak/>
        <w:t>numerical and quantity discrimination, research has extensively explored the ability of different species to differentiate between quantities under different contexts and paradigms.</w:t>
      </w:r>
    </w:p>
    <w:p w14:paraId="6F74A6E0"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Numerical competence is often evaluated by considering the types of cues animals use (</w:t>
      </w:r>
      <w:hyperlink w:anchor="ref-plotnik2019elephants">
        <w:r w:rsidRPr="00CB4762">
          <w:rPr>
            <w:rStyle w:val="Hyperlink"/>
            <w:rFonts w:ascii="Times New Roman" w:hAnsi="Times New Roman" w:cs="Times New Roman"/>
          </w:rPr>
          <w:t>Plotnik et al. 2019</w:t>
        </w:r>
      </w:hyperlink>
      <w:r w:rsidRPr="00CB4762">
        <w:rPr>
          <w:rFonts w:ascii="Times New Roman" w:hAnsi="Times New Roman" w:cs="Times New Roman"/>
        </w:rPr>
        <w:t xml:space="preserve">; </w:t>
      </w:r>
      <w:hyperlink w:anchor="ref-cooper2024tell">
        <w:r w:rsidRPr="00CB4762">
          <w:rPr>
            <w:rStyle w:val="Hyperlink"/>
            <w:rFonts w:ascii="Times New Roman" w:hAnsi="Times New Roman" w:cs="Times New Roman"/>
          </w:rPr>
          <w:t>Cooper et al. 2024</w:t>
        </w:r>
      </w:hyperlink>
      <w:r w:rsidRPr="00CB4762">
        <w:rPr>
          <w:rFonts w:ascii="Times New Roman" w:hAnsi="Times New Roman" w:cs="Times New Roman"/>
        </w:rPr>
        <w:t>), the ecological contexts in which these abilities are deployed (</w:t>
      </w:r>
      <w:hyperlink w:anchor="ref-mccomb1994roaring">
        <w:r w:rsidRPr="00CB4762">
          <w:rPr>
            <w:rStyle w:val="Hyperlink"/>
            <w:rFonts w:ascii="Times New Roman" w:hAnsi="Times New Roman" w:cs="Times New Roman"/>
          </w:rPr>
          <w:t>McComb et al. 1994</w:t>
        </w:r>
      </w:hyperlink>
      <w:r w:rsidRPr="00CB4762">
        <w:rPr>
          <w:rFonts w:ascii="Times New Roman" w:hAnsi="Times New Roman" w:cs="Times New Roman"/>
        </w:rPr>
        <w:t xml:space="preserve">; </w:t>
      </w:r>
      <w:hyperlink w:anchor="ref-chittka1995can">
        <w:r w:rsidRPr="00CB4762">
          <w:rPr>
            <w:rStyle w:val="Hyperlink"/>
            <w:rFonts w:ascii="Times New Roman" w:hAnsi="Times New Roman" w:cs="Times New Roman"/>
          </w:rPr>
          <w:t>Chittka and Geiger 1995</w:t>
        </w:r>
      </w:hyperlink>
      <w:r w:rsidRPr="00CB4762">
        <w:rPr>
          <w:rFonts w:ascii="Times New Roman" w:hAnsi="Times New Roman" w:cs="Times New Roman"/>
        </w:rPr>
        <w:t xml:space="preserve">; </w:t>
      </w:r>
      <w:hyperlink w:anchor="ref-uller2003salamanders">
        <w:r w:rsidRPr="00CB4762">
          <w:rPr>
            <w:rStyle w:val="Hyperlink"/>
            <w:rFonts w:ascii="Times New Roman" w:hAnsi="Times New Roman" w:cs="Times New Roman"/>
          </w:rPr>
          <w:t>Uller et al. 2003</w:t>
        </w:r>
      </w:hyperlink>
      <w:r w:rsidRPr="00CB4762">
        <w:rPr>
          <w:rFonts w:ascii="Times New Roman" w:hAnsi="Times New Roman" w:cs="Times New Roman"/>
        </w:rPr>
        <w:t xml:space="preserve">; </w:t>
      </w:r>
      <w:hyperlink w:anchor="ref-carazo2009quantity">
        <w:r w:rsidRPr="00CB4762">
          <w:rPr>
            <w:rStyle w:val="Hyperlink"/>
            <w:rFonts w:ascii="Times New Roman" w:hAnsi="Times New Roman" w:cs="Times New Roman"/>
          </w:rPr>
          <w:t>Carazo et al. 2009</w:t>
        </w:r>
      </w:hyperlink>
      <w:r w:rsidRPr="00CB4762">
        <w:rPr>
          <w:rFonts w:ascii="Times New Roman" w:hAnsi="Times New Roman" w:cs="Times New Roman"/>
        </w:rPr>
        <w:t>), and the neural mechanisms that underlie them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The latter have demonstrated that non-verbal numerical representations in mammals activate an extensive cortical network, with the prefrontal cortex and the intraparietal sulcus being particularly relevant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This connection between numerosity and brain physiology underscores the importance of understanding how brain development influences numerical abilities.</w:t>
      </w:r>
    </w:p>
    <w:p w14:paraId="6932D9BB"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Animals’ brains are particularly sensitive to environmental inputs during early stages of development (</w:t>
      </w:r>
      <w:hyperlink w:anchor="ref-coomber_independent_1997">
        <w:r w:rsidRPr="00CB4762">
          <w:rPr>
            <w:rStyle w:val="Hyperlink"/>
            <w:rFonts w:ascii="Times New Roman" w:hAnsi="Times New Roman" w:cs="Times New Roman"/>
          </w:rPr>
          <w:t>Coomber et al. 1997</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with long-lasting effects on cognitive abilities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For instance, glucocorticoids (GCs), the main groups of hormones mediating the physiological stress response (</w:t>
      </w:r>
      <w:hyperlink w:anchor="ref-sapolsky_how_2000">
        <w:r w:rsidRPr="00CB4762">
          <w:rPr>
            <w:rStyle w:val="Hyperlink"/>
            <w:rFonts w:ascii="Times New Roman" w:hAnsi="Times New Roman" w:cs="Times New Roman"/>
          </w:rPr>
          <w:t>Sapolsky et al. 2000</w:t>
        </w:r>
      </w:hyperlink>
      <w:r w:rsidRPr="00CB4762">
        <w:rPr>
          <w:rFonts w:ascii="Times New Roman" w:hAnsi="Times New Roman" w:cs="Times New Roman"/>
        </w:rPr>
        <w:t>), can alter animals’ performance in spatial, associative, or reversal learning tasks if elevated during early stages of development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xml:space="preserve">; </w:t>
      </w:r>
      <w:hyperlink w:anchor="ref-crino_corticosterone_2014-learn">
        <w:r w:rsidRPr="00CB4762">
          <w:rPr>
            <w:rStyle w:val="Hyperlink"/>
            <w:rFonts w:ascii="Times New Roman" w:hAnsi="Times New Roman" w:cs="Times New Roman"/>
          </w:rPr>
          <w:t>Crino et al. 2014</w:t>
        </w:r>
      </w:hyperlink>
      <w:r w:rsidRPr="00CB4762">
        <w:rPr>
          <w:rFonts w:ascii="Times New Roman" w:hAnsi="Times New Roman" w:cs="Times New Roman"/>
        </w:rPr>
        <w:t xml:space="preserve">; </w:t>
      </w:r>
      <w:hyperlink w:anchor="ref-farrell_developmental_2015-learn">
        <w:r w:rsidRPr="00CB4762">
          <w:rPr>
            <w:rStyle w:val="Hyperlink"/>
            <w:rFonts w:ascii="Times New Roman" w:hAnsi="Times New Roman" w:cs="Times New Roman"/>
          </w:rPr>
          <w:t>Farrell et al. 2015</w:t>
        </w:r>
      </w:hyperlink>
      <w:r w:rsidRPr="00CB4762">
        <w:rPr>
          <w:rFonts w:ascii="Times New Roman" w:hAnsi="Times New Roman" w:cs="Times New Roman"/>
        </w:rPr>
        <w:t xml:space="preserve">; </w:t>
      </w:r>
      <w:hyperlink w:anchor="ref-bebus_associative_2016">
        <w:r w:rsidRPr="00CB4762">
          <w:rPr>
            <w:rStyle w:val="Hyperlink"/>
            <w:rFonts w:ascii="Times New Roman" w:hAnsi="Times New Roman" w:cs="Times New Roman"/>
          </w:rPr>
          <w:t>Bebus et al. 2016</w:t>
        </w:r>
      </w:hyperlink>
      <w:r w:rsidRPr="00CB4762">
        <w:rPr>
          <w:rFonts w:ascii="Times New Roman" w:hAnsi="Times New Roman" w:cs="Times New Roman"/>
        </w:rPr>
        <w:t xml:space="preserve">; </w:t>
      </w:r>
      <w:hyperlink w:anchor="ref-lui2017chronic">
        <w:r w:rsidRPr="00CB4762">
          <w:rPr>
            <w:rStyle w:val="Hyperlink"/>
            <w:rFonts w:ascii="Times New Roman" w:hAnsi="Times New Roman" w:cs="Times New Roman"/>
          </w:rPr>
          <w:t>Lui et al. 2017</w:t>
        </w:r>
      </w:hyperlink>
      <w:r w:rsidRPr="00CB4762">
        <w:rPr>
          <w:rFonts w:ascii="Times New Roman" w:hAnsi="Times New Roman" w:cs="Times New Roman"/>
        </w:rPr>
        <w:t>). Prenatal exposure to GCs is typically associated with impaired learning skills, but these effects have been shown to vary depending on factors such as dose, subjects’ sex, or type of cognitive test employed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farrell_developmental_2015-learn">
        <w:r w:rsidRPr="00CB4762">
          <w:rPr>
            <w:rStyle w:val="Hyperlink"/>
            <w:rFonts w:ascii="Times New Roman" w:hAnsi="Times New Roman" w:cs="Times New Roman"/>
          </w:rPr>
          <w:t>Farrell et al. 2015</w:t>
        </w:r>
      </w:hyperlink>
      <w:r w:rsidRPr="00CB4762">
        <w:rPr>
          <w:rFonts w:ascii="Times New Roman" w:hAnsi="Times New Roman" w:cs="Times New Roman"/>
        </w:rPr>
        <w:t xml:space="preserve">; </w:t>
      </w:r>
      <w:hyperlink w:anchor="ref-bebus_associative_2016">
        <w:r w:rsidRPr="00CB4762">
          <w:rPr>
            <w:rStyle w:val="Hyperlink"/>
            <w:rFonts w:ascii="Times New Roman" w:hAnsi="Times New Roman" w:cs="Times New Roman"/>
          </w:rPr>
          <w:t>Bebus et al. 2016</w:t>
        </w:r>
      </w:hyperlink>
      <w:r w:rsidRPr="00CB4762">
        <w:rPr>
          <w:rFonts w:ascii="Times New Roman" w:hAnsi="Times New Roman" w:cs="Times New Roman"/>
        </w:rPr>
        <w:t xml:space="preserve">; </w:t>
      </w:r>
      <w:hyperlink w:anchor="ref-haq_prenatal_2021">
        <w:r w:rsidRPr="00CB4762">
          <w:rPr>
            <w:rStyle w:val="Hyperlink"/>
            <w:rFonts w:ascii="Times New Roman" w:hAnsi="Times New Roman" w:cs="Times New Roman"/>
          </w:rPr>
          <w:t>Haq et al. 2021</w:t>
        </w:r>
      </w:hyperlink>
      <w:r w:rsidRPr="00CB4762">
        <w:rPr>
          <w:rFonts w:ascii="Times New Roman" w:hAnsi="Times New Roman" w:cs="Times New Roman"/>
        </w:rPr>
        <w:t>). Nevertheless, little is known about how exposure to GCs during development can affect quantitative abilities.</w:t>
      </w:r>
    </w:p>
    <w:p w14:paraId="5ED7CC99"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At the same time, the early thermal environment plays a prominent role in brain development and cognitive abilities in ectotherms (</w:t>
      </w:r>
      <w:hyperlink w:anchor="ref-coomber_independent_1997">
        <w:r w:rsidRPr="00CB4762">
          <w:rPr>
            <w:rStyle w:val="Hyperlink"/>
            <w:rFonts w:ascii="Times New Roman" w:hAnsi="Times New Roman" w:cs="Times New Roman"/>
          </w:rPr>
          <w:t>Coomber et al. 1997</w:t>
        </w:r>
      </w:hyperlink>
      <w:r w:rsidRPr="00CB4762">
        <w:rPr>
          <w:rFonts w:ascii="Times New Roman" w:hAnsi="Times New Roman" w:cs="Times New Roman"/>
        </w:rPr>
        <w:t xml:space="preserve">; </w:t>
      </w:r>
      <w:hyperlink w:anchor="ref-amiel_hotter_2012">
        <w:r w:rsidRPr="00CB4762">
          <w:rPr>
            <w:rStyle w:val="Hyperlink"/>
            <w:rFonts w:ascii="Times New Roman" w:hAnsi="Times New Roman" w:cs="Times New Roman"/>
          </w:rPr>
          <w:t>Amiel and Shine 2012</w:t>
        </w:r>
      </w:hyperlink>
      <w:r w:rsidRPr="00CB4762">
        <w:rPr>
          <w:rFonts w:ascii="Times New Roman" w:hAnsi="Times New Roman" w:cs="Times New Roman"/>
        </w:rPr>
        <w:t xml:space="preserve">; </w:t>
      </w:r>
      <w:hyperlink w:anchor="ref-clark_colour_2014">
        <w:r w:rsidRPr="00CB4762">
          <w:rPr>
            <w:rStyle w:val="Hyperlink"/>
            <w:rFonts w:ascii="Times New Roman" w:hAnsi="Times New Roman" w:cs="Times New Roman"/>
          </w:rPr>
          <w:t xml:space="preserve">Clark et al. </w:t>
        </w:r>
        <w:r w:rsidRPr="00CB4762">
          <w:rPr>
            <w:rStyle w:val="Hyperlink"/>
            <w:rFonts w:ascii="Times New Roman" w:hAnsi="Times New Roman" w:cs="Times New Roman"/>
          </w:rPr>
          <w:lastRenderedPageBreak/>
          <w:t>2014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xml:space="preserve">; </w:t>
      </w:r>
      <w:hyperlink w:anchor="ref-vila_pouca_incubation_2018">
        <w:r w:rsidRPr="00CB4762">
          <w:rPr>
            <w:rStyle w:val="Hyperlink"/>
            <w:rFonts w:ascii="Times New Roman" w:hAnsi="Times New Roman" w:cs="Times New Roman"/>
          </w:rPr>
          <w:t>Vila Pouca et al. 2018</w:t>
        </w:r>
      </w:hyperlink>
      <w:r w:rsidRPr="00CB4762">
        <w:rPr>
          <w:rFonts w:ascii="Times New Roman" w:hAnsi="Times New Roman" w:cs="Times New Roman"/>
        </w:rPr>
        <w:t xml:space="preserve">, </w:t>
      </w:r>
      <w:hyperlink w:anchor="ref-vila_pouca_quantity_2019">
        <w:r w:rsidRPr="00CB4762">
          <w:rPr>
            <w:rStyle w:val="Hyperlink"/>
            <w:rFonts w:ascii="Times New Roman" w:hAnsi="Times New Roman" w:cs="Times New Roman"/>
          </w:rPr>
          <w:t>2019</w:t>
        </w:r>
      </w:hyperlink>
      <w:r w:rsidRPr="00CB4762">
        <w:rPr>
          <w:rFonts w:ascii="Times New Roman" w:hAnsi="Times New Roman" w:cs="Times New Roman"/>
        </w:rPr>
        <w:t>). For example, Port-Jackson sharks (</w:t>
      </w:r>
      <w:r w:rsidRPr="00CB4762">
        <w:rPr>
          <w:rFonts w:ascii="Times New Roman" w:hAnsi="Times New Roman" w:cs="Times New Roman"/>
          <w:i/>
          <w:iCs/>
        </w:rPr>
        <w:t>Heterodontus portusjacksoni</w:t>
      </w:r>
      <w:r w:rsidRPr="00CB4762">
        <w:rPr>
          <w:rFonts w:ascii="Times New Roman" w:hAnsi="Times New Roman" w:cs="Times New Roman"/>
        </w:rPr>
        <w:t>) incubated at elevated temperatures learned faster in a quantity discrimination task (</w:t>
      </w:r>
      <w:hyperlink w:anchor="ref-vila_pouca_quantity_2019">
        <w:r w:rsidRPr="00CB4762">
          <w:rPr>
            <w:rStyle w:val="Hyperlink"/>
            <w:rFonts w:ascii="Times New Roman" w:hAnsi="Times New Roman" w:cs="Times New Roman"/>
          </w:rPr>
          <w:t>Vila Pouca et al. 2019</w:t>
        </w:r>
      </w:hyperlink>
      <w:r w:rsidRPr="00CB4762">
        <w:rPr>
          <w:rFonts w:ascii="Times New Roman" w:hAnsi="Times New Roman" w:cs="Times New Roman"/>
        </w:rPr>
        <w:t>). However, the effects of early thermal environment on numerical abilities in other taxa remains largely unexplored.</w:t>
      </w:r>
    </w:p>
    <w:p w14:paraId="17D0F87B"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Given that abrupt temperature changes can increase GC levels in vertebrates, leading to elevated GCs transmitted to the offspring (</w:t>
      </w:r>
      <w:hyperlink w:anchor="ref-racic_effects_2020">
        <w:r w:rsidRPr="00CB4762">
          <w:rPr>
            <w:rStyle w:val="Hyperlink"/>
            <w:rFonts w:ascii="Times New Roman" w:hAnsi="Times New Roman" w:cs="Times New Roman"/>
          </w:rPr>
          <w:t>Racic et al. 2020</w:t>
        </w:r>
      </w:hyperlink>
      <w:r w:rsidRPr="00CB4762">
        <w:rPr>
          <w:rFonts w:ascii="Times New Roman" w:hAnsi="Times New Roman" w:cs="Times New Roman"/>
        </w:rPr>
        <w:t xml:space="preserve">; </w:t>
      </w:r>
      <w:hyperlink w:anchor="ref-Crino_2023">
        <w:r w:rsidRPr="00CB4762">
          <w:rPr>
            <w:rStyle w:val="Hyperlink"/>
            <w:rFonts w:ascii="Times New Roman" w:hAnsi="Times New Roman" w:cs="Times New Roman"/>
          </w:rPr>
          <w:t>Crino et al. 2023</w:t>
        </w:r>
      </w:hyperlink>
      <w:r w:rsidRPr="00CB4762">
        <w:rPr>
          <w:rFonts w:ascii="Times New Roman" w:hAnsi="Times New Roman" w:cs="Times New Roman"/>
        </w:rPr>
        <w:t>), it is essential to study the combined effects of early-life GCs and thermal conditions on cognitive development. Understanding how these factors influence quantitative abilities could reveal important insights into the ecological relevance of numerosity. To fill this gap, we used the common garden skink (</w:t>
      </w:r>
      <w:r w:rsidRPr="00CB4762">
        <w:rPr>
          <w:rFonts w:ascii="Times New Roman" w:hAnsi="Times New Roman" w:cs="Times New Roman"/>
          <w:i/>
          <w:iCs/>
        </w:rPr>
        <w:t>Lampropholis guichenoti</w:t>
      </w:r>
      <w:r w:rsidRPr="00CB4762">
        <w:rPr>
          <w:rFonts w:ascii="Times New Roman" w:hAnsi="Times New Roman" w:cs="Times New Roman"/>
        </w:rPr>
        <w:t>) as a model to test the effects of elevated prenatal corticosterone (CORT) - the main GC in reptiles (</w:t>
      </w:r>
      <w:hyperlink w:anchor="ref-Crino_2023">
        <w:r w:rsidRPr="00CB4762">
          <w:rPr>
            <w:rStyle w:val="Hyperlink"/>
            <w:rFonts w:ascii="Times New Roman" w:hAnsi="Times New Roman" w:cs="Times New Roman"/>
          </w:rPr>
          <w:t>Crino et al. 2023</w:t>
        </w:r>
      </w:hyperlink>
      <w:r w:rsidRPr="00CB4762">
        <w:rPr>
          <w:rFonts w:ascii="Times New Roman" w:hAnsi="Times New Roman" w:cs="Times New Roman"/>
        </w:rPr>
        <w:t>) - and incubation temperature on numerical discrimination abilities.</w:t>
      </w:r>
    </w:p>
    <w:p w14:paraId="46D93391"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Traditionally, research on numerical abilities has been mainly focused on mammals, birds, and fishes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but recent studies demonstrate that reptiles are also competent in numberical abilities. For example, red-footed turtles (</w:t>
      </w:r>
      <w:r w:rsidRPr="00CB4762">
        <w:rPr>
          <w:rFonts w:ascii="Times New Roman" w:hAnsi="Times New Roman" w:cs="Times New Roman"/>
          <w:i/>
          <w:iCs/>
        </w:rPr>
        <w:t>Chelonoidis carbonaria</w:t>
      </w:r>
      <w:r w:rsidRPr="00CB4762">
        <w:rPr>
          <w:rFonts w:ascii="Times New Roman" w:hAnsi="Times New Roman" w:cs="Times New Roman"/>
        </w:rPr>
        <w:t>) rapidly learned to associate colour with higher volumes of food (</w:t>
      </w:r>
      <w:hyperlink w:anchor="ref-soldati2017long">
        <w:r w:rsidRPr="00CB4762">
          <w:rPr>
            <w:rStyle w:val="Hyperlink"/>
            <w:rFonts w:ascii="Times New Roman" w:hAnsi="Times New Roman" w:cs="Times New Roman"/>
          </w:rPr>
          <w:t>Soldati et al. 2017</w:t>
        </w:r>
      </w:hyperlink>
      <w:r w:rsidRPr="00CB4762">
        <w:rPr>
          <w:rFonts w:ascii="Times New Roman" w:hAnsi="Times New Roman" w:cs="Times New Roman"/>
        </w:rPr>
        <w:t>), Hermann’s tortoises (</w:t>
      </w:r>
      <w:r w:rsidRPr="00CB4762">
        <w:rPr>
          <w:rFonts w:ascii="Times New Roman" w:hAnsi="Times New Roman" w:cs="Times New Roman"/>
          <w:i/>
          <w:iCs/>
        </w:rPr>
        <w:t>Testudo hermanni</w:t>
      </w:r>
      <w:r w:rsidRPr="00CB4762">
        <w:rPr>
          <w:rFonts w:ascii="Times New Roman" w:hAnsi="Times New Roman" w:cs="Times New Roman"/>
        </w:rPr>
        <w:t>) proved to discriminate between large and small food quantities in a spontaneous choice test (</w:t>
      </w:r>
      <w:hyperlink w:anchor="ref-gazzola2018continuous">
        <w:r w:rsidRPr="00CB4762">
          <w:rPr>
            <w:rStyle w:val="Hyperlink"/>
            <w:rFonts w:ascii="Times New Roman" w:hAnsi="Times New Roman" w:cs="Times New Roman"/>
          </w:rPr>
          <w:t>Gazzola et al. 2018</w:t>
        </w:r>
      </w:hyperlink>
      <w:r w:rsidRPr="00CB4762">
        <w:rPr>
          <w:rFonts w:ascii="Times New Roman" w:hAnsi="Times New Roman" w:cs="Times New Roman"/>
        </w:rPr>
        <w:t>), and freshwater turtles (</w:t>
      </w:r>
      <w:r w:rsidRPr="00CB4762">
        <w:rPr>
          <w:rFonts w:ascii="Times New Roman" w:hAnsi="Times New Roman" w:cs="Times New Roman"/>
          <w:i/>
          <w:iCs/>
        </w:rPr>
        <w:t>Trachemys scripta</w:t>
      </w:r>
      <w:r w:rsidRPr="00CB4762">
        <w:rPr>
          <w:rFonts w:ascii="Times New Roman" w:hAnsi="Times New Roman" w:cs="Times New Roman"/>
        </w:rPr>
        <w:t xml:space="preserve"> and </w:t>
      </w:r>
      <w:r w:rsidRPr="00CB4762">
        <w:rPr>
          <w:rFonts w:ascii="Times New Roman" w:hAnsi="Times New Roman" w:cs="Times New Roman"/>
          <w:i/>
          <w:iCs/>
        </w:rPr>
        <w:t>Mauremys sinensis</w:t>
      </w:r>
      <w:r w:rsidRPr="00CB4762">
        <w:rPr>
          <w:rFonts w:ascii="Times New Roman" w:hAnsi="Times New Roman" w:cs="Times New Roman"/>
        </w:rPr>
        <w:t>) rapidly learned a quantity discrimination task (</w:t>
      </w:r>
      <w:hyperlink w:anchor="ref-lin2021superior">
        <w:r w:rsidRPr="00CB4762">
          <w:rPr>
            <w:rStyle w:val="Hyperlink"/>
            <w:rFonts w:ascii="Times New Roman" w:hAnsi="Times New Roman" w:cs="Times New Roman"/>
          </w:rPr>
          <w:t>Lin et al. 2021</w:t>
        </w:r>
      </w:hyperlink>
      <w:r w:rsidRPr="00CB4762">
        <w:rPr>
          <w:rFonts w:ascii="Times New Roman" w:hAnsi="Times New Roman" w:cs="Times New Roman"/>
        </w:rPr>
        <w:t xml:space="preserve">, </w:t>
      </w:r>
      <w:hyperlink w:anchor="ref-lin2024trained">
        <w:r w:rsidRPr="00CB4762">
          <w:rPr>
            <w:rStyle w:val="Hyperlink"/>
            <w:rFonts w:ascii="Times New Roman" w:hAnsi="Times New Roman" w:cs="Times New Roman"/>
          </w:rPr>
          <w:t>2024</w:t>
        </w:r>
      </w:hyperlink>
      <w:r w:rsidRPr="00CB4762">
        <w:rPr>
          <w:rFonts w:ascii="Times New Roman" w:hAnsi="Times New Roman" w:cs="Times New Roman"/>
        </w:rPr>
        <w:t>). The italian wall lizard (</w:t>
      </w:r>
      <w:r w:rsidRPr="00CB4762">
        <w:rPr>
          <w:rFonts w:ascii="Times New Roman" w:hAnsi="Times New Roman" w:cs="Times New Roman"/>
          <w:i/>
          <w:iCs/>
        </w:rPr>
        <w:t>Podarcis siculus</w:t>
      </w:r>
      <w:r w:rsidRPr="00CB4762">
        <w:rPr>
          <w:rFonts w:ascii="Times New Roman" w:hAnsi="Times New Roman" w:cs="Times New Roman"/>
        </w:rPr>
        <w:t>) failed to discriminate between different numbers of food items in a spontaneous choice test (</w:t>
      </w:r>
      <w:hyperlink w:anchor="ref-miletto2017quantitative">
        <w:r w:rsidRPr="00CB4762">
          <w:rPr>
            <w:rStyle w:val="Hyperlink"/>
            <w:rFonts w:ascii="Times New Roman" w:hAnsi="Times New Roman" w:cs="Times New Roman"/>
          </w:rPr>
          <w:t>Miletto Petrazzini et al. 2017</w:t>
        </w:r>
      </w:hyperlink>
      <w:r w:rsidRPr="00CB4762">
        <w:rPr>
          <w:rFonts w:ascii="Times New Roman" w:hAnsi="Times New Roman" w:cs="Times New Roman"/>
        </w:rPr>
        <w:t>), but succeeded in a trained quantity discrimination task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In contrast, Iberian rock lizards (</w:t>
      </w:r>
      <w:r w:rsidRPr="00CB4762">
        <w:rPr>
          <w:rFonts w:ascii="Times New Roman" w:hAnsi="Times New Roman" w:cs="Times New Roman"/>
          <w:i/>
          <w:iCs/>
        </w:rPr>
        <w:t>Iberolacerta cyreni</w:t>
      </w:r>
      <w:r w:rsidRPr="00CB4762">
        <w:rPr>
          <w:rFonts w:ascii="Times New Roman" w:hAnsi="Times New Roman" w:cs="Times New Roman"/>
        </w:rPr>
        <w:t xml:space="preserve">) preferred larger quantities of crickets when presented five versus ten items </w:t>
      </w:r>
      <w:r w:rsidRPr="00CB4762">
        <w:rPr>
          <w:rFonts w:ascii="Times New Roman" w:hAnsi="Times New Roman" w:cs="Times New Roman"/>
        </w:rPr>
        <w:lastRenderedPageBreak/>
        <w:t>(</w:t>
      </w:r>
      <w:hyperlink w:anchor="ref-recio_prey_2021">
        <w:r w:rsidRPr="00CB4762">
          <w:rPr>
            <w:rStyle w:val="Hyperlink"/>
            <w:rFonts w:ascii="Times New Roman" w:hAnsi="Times New Roman" w:cs="Times New Roman"/>
          </w:rPr>
          <w:t>Recio et al. 2021</w:t>
        </w:r>
      </w:hyperlink>
      <w:r w:rsidRPr="00CB4762">
        <w:rPr>
          <w:rFonts w:ascii="Times New Roman" w:hAnsi="Times New Roman" w:cs="Times New Roman"/>
        </w:rPr>
        <w:t>). Indeed, the literature shows evidence for basic quantitative abilities in reptiles that may vary with the type of cue and the test employed.</w:t>
      </w:r>
    </w:p>
    <w:p w14:paraId="159C13F3"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Reptiles’ cognition is significantly influenced by the environment in which they develop. For example, incubating lizards at elevated temperatures improves cognitive abilities consistent with elevated neuronal density in some areas of the brain (</w:t>
      </w:r>
      <w:hyperlink w:anchor="ref-amiel_hotter_2012">
        <w:r w:rsidRPr="00CB4762">
          <w:rPr>
            <w:rStyle w:val="Hyperlink"/>
            <w:rFonts w:ascii="Times New Roman" w:hAnsi="Times New Roman" w:cs="Times New Roman"/>
          </w:rPr>
          <w:t>Amiel and Shine 2012</w:t>
        </w:r>
      </w:hyperlink>
      <w:r w:rsidRPr="00CB4762">
        <w:rPr>
          <w:rFonts w:ascii="Times New Roman" w:hAnsi="Times New Roman" w:cs="Times New Roman"/>
        </w:rPr>
        <w:t xml:space="preserve">; </w:t>
      </w:r>
      <w:hyperlink w:anchor="ref-clark_colour_2014">
        <w:r w:rsidRPr="00CB4762">
          <w:rPr>
            <w:rStyle w:val="Hyperlink"/>
            <w:rFonts w:ascii="Times New Roman" w:hAnsi="Times New Roman" w:cs="Times New Roman"/>
          </w:rPr>
          <w:t>Clark et al. 2014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but impairs cognition at temperatures above lizards’ natural incubation thermal range (</w:t>
      </w:r>
      <w:hyperlink w:anchor="ref-dayananda_incubation_2017">
        <w:r w:rsidRPr="00CB4762">
          <w:rPr>
            <w:rStyle w:val="Hyperlink"/>
            <w:rFonts w:ascii="Times New Roman" w:hAnsi="Times New Roman" w:cs="Times New Roman"/>
          </w:rPr>
          <w:t>Dayananda and Webb 2017</w:t>
        </w:r>
      </w:hyperlink>
      <w:r w:rsidRPr="00CB4762">
        <w:rPr>
          <w:rFonts w:ascii="Times New Roman" w:hAnsi="Times New Roman" w:cs="Times New Roman"/>
        </w:rPr>
        <w:t xml:space="preserve">; </w:t>
      </w:r>
      <w:hyperlink w:anchor="ref-abayarathna_effects_2020">
        <w:r w:rsidRPr="00CB4762">
          <w:rPr>
            <w:rStyle w:val="Hyperlink"/>
            <w:rFonts w:ascii="Times New Roman" w:hAnsi="Times New Roman" w:cs="Times New Roman"/>
          </w:rPr>
          <w:t>Abayarathna and Webb 2020</w:t>
        </w:r>
      </w:hyperlink>
      <w:r w:rsidRPr="00CB4762">
        <w:rPr>
          <w:rFonts w:ascii="Times New Roman" w:hAnsi="Times New Roman" w:cs="Times New Roman"/>
        </w:rPr>
        <w:t>). The effects of prenatal CORT on cognitive abilities in reptiles is less understood, but in other taxa, high levels of GCs are typically related to cognitive impairments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However, the combined influence of prenatal CORT and thermal environment on cognition remains unknown, particularly on numerical abilities.</w:t>
      </w:r>
    </w:p>
    <w:p w14:paraId="1FB615B0"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Our study aimed to address this question by manipulating CORT concentration (CORT-treated or a sham control) in </w:t>
      </w:r>
      <w:r w:rsidRPr="00CB4762">
        <w:rPr>
          <w:rFonts w:ascii="Times New Roman" w:hAnsi="Times New Roman" w:cs="Times New Roman"/>
          <w:i/>
          <w:iCs/>
        </w:rPr>
        <w:t>L. guichenoti</w:t>
      </w:r>
      <w:r w:rsidRPr="00CB4762">
        <w:rPr>
          <w:rFonts w:ascii="Times New Roman" w:hAnsi="Times New Roman" w:cs="Times New Roman"/>
        </w:rPr>
        <w:t xml:space="preserve"> eggs and incubating them under one of two temperature regimes (Cold - 23 ± 3ºC or Hot - 28 ± 3ºC) in a 2x2 factorial design. After hatching, we assessed the lizards’ numerical discrimination abilities in a spontaneous choice test, where they were presented with different numbers of crickets. Based on other studies that explored the cognitive effects of prenatal GCs or thermal early environment in reptiles and other taxa, we hypothesized that lizards incubated at higher temperatures would outperform those incubated at lower temperatures in the numerical discrimination task (</w:t>
      </w:r>
      <w:hyperlink w:anchor="ref-amiel_hotter_2012">
        <w:r w:rsidRPr="00CB4762">
          <w:rPr>
            <w:rStyle w:val="Hyperlink"/>
            <w:rFonts w:ascii="Times New Roman" w:hAnsi="Times New Roman" w:cs="Times New Roman"/>
          </w:rPr>
          <w:t>Amiel and Shine 2012</w:t>
        </w:r>
      </w:hyperlink>
      <w:r w:rsidRPr="00CB4762">
        <w:rPr>
          <w:rFonts w:ascii="Times New Roman" w:hAnsi="Times New Roman" w:cs="Times New Roman"/>
        </w:rPr>
        <w:t xml:space="preserve">; </w:t>
      </w:r>
      <w:hyperlink w:anchor="ref-clark_colour_2014">
        <w:r w:rsidRPr="00CB4762">
          <w:rPr>
            <w:rStyle w:val="Hyperlink"/>
            <w:rFonts w:ascii="Times New Roman" w:hAnsi="Times New Roman" w:cs="Times New Roman"/>
          </w:rPr>
          <w:t>Clark et al. 2014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xml:space="preserve">; </w:t>
      </w:r>
      <w:hyperlink w:anchor="ref-vila_pouca_quantity_2019">
        <w:r w:rsidRPr="00CB4762">
          <w:rPr>
            <w:rStyle w:val="Hyperlink"/>
            <w:rFonts w:ascii="Times New Roman" w:hAnsi="Times New Roman" w:cs="Times New Roman"/>
          </w:rPr>
          <w:t>Vila Pouca et al. 2019</w:t>
        </w:r>
      </w:hyperlink>
      <w:r w:rsidRPr="00CB4762">
        <w:rPr>
          <w:rFonts w:ascii="Times New Roman" w:hAnsi="Times New Roman" w:cs="Times New Roman"/>
        </w:rPr>
        <w:t>). Additionally, we predicted that increased CORT levels would impair numerical competence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xml:space="preserve">), with more pronounced effects at lower temperatures. In this sense, a common observation in nature is that the ability to detect a change in stimulus intensity depends on the relative, not </w:t>
      </w:r>
      <w:r w:rsidRPr="00CB4762">
        <w:rPr>
          <w:rFonts w:ascii="Times New Roman" w:hAnsi="Times New Roman" w:cs="Times New Roman"/>
        </w:rPr>
        <w:lastRenderedPageBreak/>
        <w:t>absolute, difference between the stimuli [‘Weber’s law’; Agrillo and Bisazza (</w:t>
      </w:r>
      <w:hyperlink w:anchor="ref-agrillo2014spontaneous">
        <w:r w:rsidRPr="00CB4762">
          <w:rPr>
            <w:rStyle w:val="Hyperlink"/>
            <w:rFonts w:ascii="Times New Roman" w:hAnsi="Times New Roman" w:cs="Times New Roman"/>
          </w:rPr>
          <w:t>2014</w:t>
        </w:r>
      </w:hyperlink>
      <w:r w:rsidRPr="00CB4762">
        <w:rPr>
          <w:rFonts w:ascii="Times New Roman" w:hAnsi="Times New Roman" w:cs="Times New Roman"/>
        </w:rPr>
        <w:t>)]. Consistent with Weber’s law, we predicted that lizards incubated at higher temperatures would successfully discriminate between quantities even at high ratios (e.g. 3 VS 4), whereas even the lowest ratios (e.g. 1 VS 4) could be challenging for those exposed to CORT or incubated at lower temperatures.</w:t>
      </w:r>
    </w:p>
    <w:p w14:paraId="276AD48F" w14:textId="77777777" w:rsidR="00C11FC1" w:rsidRPr="00CB4762" w:rsidRDefault="00000000" w:rsidP="00CB4762">
      <w:pPr>
        <w:pStyle w:val="Heading2"/>
        <w:spacing w:line="480" w:lineRule="auto"/>
        <w:rPr>
          <w:rFonts w:ascii="Times New Roman" w:hAnsi="Times New Roman" w:cs="Times New Roman"/>
        </w:rPr>
      </w:pPr>
      <w:bookmarkStart w:id="4" w:name="methods"/>
      <w:bookmarkEnd w:id="3"/>
      <w:r w:rsidRPr="00CB4762">
        <w:rPr>
          <w:rFonts w:ascii="Times New Roman" w:hAnsi="Times New Roman" w:cs="Times New Roman"/>
        </w:rPr>
        <w:t>Methods</w:t>
      </w:r>
    </w:p>
    <w:p w14:paraId="486940B3" w14:textId="77777777" w:rsidR="00C11FC1" w:rsidRPr="00CB4762" w:rsidRDefault="00000000" w:rsidP="00CB4762">
      <w:pPr>
        <w:pStyle w:val="Heading4"/>
        <w:spacing w:line="480" w:lineRule="auto"/>
        <w:rPr>
          <w:rFonts w:ascii="Times New Roman" w:hAnsi="Times New Roman" w:cs="Times New Roman"/>
        </w:rPr>
      </w:pPr>
      <w:bookmarkStart w:id="5" w:name="animal-husbandry"/>
      <w:r w:rsidRPr="00CB4762">
        <w:rPr>
          <w:rFonts w:ascii="Times New Roman" w:hAnsi="Times New Roman" w:cs="Times New Roman"/>
        </w:rPr>
        <w:t>Animal husbandry</w:t>
      </w:r>
    </w:p>
    <w:p w14:paraId="08E3E933"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i/>
          <w:iCs/>
        </w:rPr>
        <w:t>Breeding colony</w:t>
      </w:r>
      <w:r w:rsidRPr="00CB4762">
        <w:rPr>
          <w:rFonts w:ascii="Times New Roman" w:hAnsi="Times New Roman" w:cs="Times New Roman"/>
        </w:rPr>
        <w:t xml:space="preserve"> – The lizards tested in our experiment came from a breeding colony established in the lab in 2019. The colony consisted of approximately 180 adults of </w:t>
      </w:r>
      <w:r w:rsidRPr="00CB4762">
        <w:rPr>
          <w:rFonts w:ascii="Times New Roman" w:hAnsi="Times New Roman" w:cs="Times New Roman"/>
          <w:i/>
          <w:iCs/>
        </w:rPr>
        <w:t>L. guichenoti</w:t>
      </w:r>
      <w:r w:rsidRPr="00CB4762">
        <w:rPr>
          <w:rFonts w:ascii="Times New Roman" w:hAnsi="Times New Roman" w:cs="Times New Roman"/>
        </w:rPr>
        <w:t xml:space="preserve"> housed in communal containers (41.5 L x 30.5 W x 21 H cm) with six lizards (2 males and 4 females) per enclosure. Enclosures were provided with non-stick matting, shelter, and several small water dishes filled daily, and lizards were fed mid-size crickets (</w:t>
      </w:r>
      <w:r w:rsidRPr="00CB4762">
        <w:rPr>
          <w:rFonts w:ascii="Times New Roman" w:hAnsi="Times New Roman" w:cs="Times New Roman"/>
          <w:i/>
          <w:iCs/>
        </w:rPr>
        <w:t>Acheta domestica</w:t>
      </w:r>
      <w:r w:rsidRPr="00CB4762">
        <w:rPr>
          <w:rFonts w:ascii="Times New Roman" w:hAnsi="Times New Roman" w:cs="Times New Roman"/>
        </w:rPr>
        <w:t>) three days a week. Crickets were dusted with calcium weekly and multivitamins and calcium biweekly. Room temperatures were set to 22-24ºC, but to ensure a temperature gradient, we employed a heat chord and a heat lamp following a 12 h light:12 h dark cycle, keeping the warm side of enclosures at 32-34ºC.</w:t>
      </w:r>
    </w:p>
    <w:p w14:paraId="2A75F8A9"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i/>
          <w:iCs/>
        </w:rPr>
        <w:t>Egg collection and incubation</w:t>
      </w:r>
      <w:r w:rsidRPr="00CB4762">
        <w:rPr>
          <w:rFonts w:ascii="Times New Roman" w:hAnsi="Times New Roman" w:cs="Times New Roman"/>
        </w:rPr>
        <w:t xml:space="preserve"> – Between mid-October 2023 to the end of February 2024, we placed small boxes (12.5 L x 8.3 W x 5 H cm) containing vermiculite on one side of the communal enclosures (see above) to provide females with a place to lay the eggs. We checked for eggs in the boxes three days a week. Eggs’ length and width were measured with a digital calliper to the nearest mm (± 0.1 mm), while mass was recorded with a digital scale (OHAUS, Model spx123) to the nearest g (± 0.001 g). Eggs were assigned a clutch number and an </w:t>
      </w:r>
      <w:r w:rsidRPr="00CB4762">
        <w:rPr>
          <w:rFonts w:ascii="Times New Roman" w:hAnsi="Times New Roman" w:cs="Times New Roman"/>
        </w:rPr>
        <w:lastRenderedPageBreak/>
        <w:t>individual identity. Then we treated eggs with CORT or vehicle (see CORT and Temperature manipulation below) and placed them in individual cups (80 mL) with moist vermiculite (12 g water to 4 g vermiculite). We covered the cups with plastic wrap to retain moisture and left the eggs in incubators (LATWIT 2X5D-R1160) programmed to two different thermal regimes (see CORT and Temperature manipulation below) until hatching. Incubators were checked for the presence of hatchlings three times a week.</w:t>
      </w:r>
    </w:p>
    <w:p w14:paraId="0AD1288A"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i/>
          <w:iCs/>
        </w:rPr>
        <w:t>Hatchlings</w:t>
      </w:r>
      <w:r w:rsidRPr="00CB4762">
        <w:rPr>
          <w:rFonts w:ascii="Times New Roman" w:hAnsi="Times New Roman" w:cs="Times New Roman"/>
        </w:rPr>
        <w:t xml:space="preserve"> –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 </w:t>
      </w:r>
      <w:r w:rsidRPr="00CB4762">
        <w:rPr>
          <w:rFonts w:ascii="Times New Roman" w:hAnsi="Times New Roman" w:cs="Times New Roman"/>
          <w:i/>
          <w:iCs/>
        </w:rPr>
        <w:t>A. domestica</w:t>
      </w:r>
      <w:r w:rsidRPr="00CB4762">
        <w:rPr>
          <w:rFonts w:ascii="Times New Roman" w:hAnsi="Times New Roman" w:cs="Times New Roman"/>
        </w:rPr>
        <w:t xml:space="preserve"> crickets three times a week. All care otherwise follows similar protocols to adults (see above).</w:t>
      </w:r>
    </w:p>
    <w:p w14:paraId="150CF201" w14:textId="77777777" w:rsidR="00C11FC1" w:rsidRPr="00CB4762" w:rsidRDefault="00000000" w:rsidP="00CB4762">
      <w:pPr>
        <w:pStyle w:val="Heading4"/>
        <w:spacing w:line="480" w:lineRule="auto"/>
        <w:rPr>
          <w:rFonts w:ascii="Times New Roman" w:hAnsi="Times New Roman" w:cs="Times New Roman"/>
        </w:rPr>
      </w:pPr>
      <w:bookmarkStart w:id="6" w:name="X5a274fa4cacecb585d7c5e60344fa6f16959ba1"/>
      <w:bookmarkEnd w:id="5"/>
      <w:r w:rsidRPr="00CB4762">
        <w:rPr>
          <w:rFonts w:ascii="Times New Roman" w:hAnsi="Times New Roman" w:cs="Times New Roman"/>
        </w:rPr>
        <w:t>Manipulating Early Thermal and CORT Environments</w:t>
      </w:r>
    </w:p>
    <w:p w14:paraId="2CACC8DC"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We manipulated CORT concentration in eggs and incubated them under one of two temperature regimes (Cold – 23 ± 3ºC or Hot – 30 ± 3ºC) in a 2x2 factorial design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A). Eggs were allocated to one of two different developmental stress treatments: CORT-treated eggs were topically supplied with 5µL of CORT dissolved in 100% Ethanol at a final concentration of 10 pg CORT/mL. In the Control treatment eggs received an equal volume of the 100% Ethanol vehicle. We selected those doses based on previous studies where CORT treatment increased mean yolk CORT levels ~3.7x higher than control eggs in </w:t>
      </w:r>
      <w:r w:rsidRPr="00CB4762">
        <w:rPr>
          <w:rFonts w:ascii="Times New Roman" w:hAnsi="Times New Roman" w:cs="Times New Roman"/>
          <w:i/>
          <w:iCs/>
        </w:rPr>
        <w:t>Lampropholis delicata</w:t>
      </w:r>
      <w:r w:rsidRPr="00CB4762">
        <w:rPr>
          <w:rFonts w:ascii="Times New Roman" w:hAnsi="Times New Roman" w:cs="Times New Roman"/>
        </w:rPr>
        <w:t xml:space="preserve"> (</w:t>
      </w:r>
      <w:hyperlink w:anchor="ref-crino2024eggs">
        <w:r w:rsidRPr="00CB4762">
          <w:rPr>
            <w:rStyle w:val="Hyperlink"/>
            <w:rFonts w:ascii="Times New Roman" w:hAnsi="Times New Roman" w:cs="Times New Roman"/>
          </w:rPr>
          <w:t>Crino et al. 2024</w:t>
        </w:r>
      </w:hyperlink>
      <w:r w:rsidRPr="00CB4762">
        <w:rPr>
          <w:rFonts w:ascii="Times New Roman" w:hAnsi="Times New Roman" w:cs="Times New Roman"/>
        </w:rPr>
        <w:t xml:space="preserve">). Then, eggs were incubated in one of the two previously mentioned temperature regimes (Cold or Hot) until hatching. These temperatures represent the upper and lower limit of the </w:t>
      </w:r>
      <w:r w:rsidRPr="00CB4762">
        <w:rPr>
          <w:rFonts w:ascii="Times New Roman" w:hAnsi="Times New Roman" w:cs="Times New Roman"/>
        </w:rPr>
        <w:lastRenderedPageBreak/>
        <w:t>natural incubation temperatures for this species (</w:t>
      </w:r>
      <w:hyperlink w:anchor="ref-qualls2000post">
        <w:r w:rsidRPr="00CB4762">
          <w:rPr>
            <w:rStyle w:val="Hyperlink"/>
            <w:rFonts w:ascii="Times New Roman" w:hAnsi="Times New Roman" w:cs="Times New Roman"/>
          </w:rPr>
          <w:t>Qualls and Shine 2000</w:t>
        </w:r>
      </w:hyperlink>
      <w:r w:rsidRPr="00CB4762">
        <w:rPr>
          <w:rFonts w:ascii="Times New Roman" w:hAnsi="Times New Roman" w:cs="Times New Roman"/>
        </w:rPr>
        <w:t>). The number of eggs per clutch assigned to each hormone and temperature treatment was counterbalanced per clutch.</w:t>
      </w:r>
    </w:p>
    <w:p w14:paraId="7BA2781C" w14:textId="77777777" w:rsidR="00C11FC1" w:rsidRPr="00CB4762" w:rsidRDefault="00000000" w:rsidP="00CB4762">
      <w:pPr>
        <w:pStyle w:val="Heading4"/>
        <w:spacing w:line="480" w:lineRule="auto"/>
        <w:rPr>
          <w:rFonts w:ascii="Times New Roman" w:hAnsi="Times New Roman" w:cs="Times New Roman"/>
        </w:rPr>
      </w:pPr>
      <w:bookmarkStart w:id="7" w:name="numerical-discrimination-task"/>
      <w:bookmarkEnd w:id="6"/>
      <w:r w:rsidRPr="00CB4762">
        <w:rPr>
          <w:rFonts w:ascii="Times New Roman" w:hAnsi="Times New Roman" w:cs="Times New Roman"/>
        </w:rPr>
        <w:t>Numerical discrimination task</w:t>
      </w:r>
    </w:p>
    <w:p w14:paraId="22E6C25C"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B). These arenas were placed in 7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throughout the experiment, lizards were fed with only one cricket daily, dusted with calcium and multivitamins (see protocol below), and water was supplied </w:t>
      </w:r>
      <w:r w:rsidRPr="00CB4762">
        <w:rPr>
          <w:rFonts w:ascii="Times New Roman" w:hAnsi="Times New Roman" w:cs="Times New Roman"/>
          <w:i/>
          <w:iCs/>
        </w:rPr>
        <w:t>ad libitum</w:t>
      </w:r>
      <w:r w:rsidRPr="00CB4762">
        <w:rPr>
          <w:rFonts w:ascii="Times New Roman" w:hAnsi="Times New Roman" w:cs="Times New Roman"/>
        </w:rPr>
        <w:t>. The temperature of both rooms was set to 22-24ºC, but we also provided a temperature gradient (24-32°C) using a heat cord along the center of the arena and heat lamps in a 12 h light: 12 h dark cycle.</w:t>
      </w:r>
    </w:p>
    <w:p w14:paraId="09BB0463"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The numerical discrimination test consisted of a series of two-choice trials where lizards were presented with different numbers of food items. Each choice was placed on one of the two lateral platforms of a white 3D printed device (see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B, C) and then covered with a transparent Petri dish to prevent the lizard from obtaining the food. We performed five tests that differed in the ratio between both choices: 1 cricket VS 4 crickets, 1 VS 3, 2 VS 4, 2 VS 3, 3 VS 4. The food consisted of small frozen crickets (</w:t>
      </w:r>
      <w:r w:rsidRPr="00CB4762">
        <w:rPr>
          <w:rFonts w:ascii="Times New Roman" w:hAnsi="Times New Roman" w:cs="Times New Roman"/>
          <w:i/>
          <w:iCs/>
        </w:rPr>
        <w:t>A. domestica</w:t>
      </w:r>
      <w:r w:rsidRPr="00CB4762">
        <w:rPr>
          <w:rFonts w:ascii="Times New Roman" w:hAnsi="Times New Roman" w:cs="Times New Roman"/>
        </w:rPr>
        <w:t xml:space="preserve">) that were thawed and dusted with calcium and </w:t>
      </w:r>
      <w:r w:rsidRPr="00CB4762">
        <w:rPr>
          <w:rFonts w:ascii="Times New Roman" w:hAnsi="Times New Roman" w:cs="Times New Roman"/>
        </w:rPr>
        <w:lastRenderedPageBreak/>
        <w:t>multivitamins. We decided to use frozen crickets to avoid movement that would affect lizards’ behaviour (</w:t>
      </w:r>
      <w:hyperlink w:anchor="ref-cooper2024tell">
        <w:r w:rsidRPr="00CB4762">
          <w:rPr>
            <w:rStyle w:val="Hyperlink"/>
            <w:rFonts w:ascii="Times New Roman" w:hAnsi="Times New Roman" w:cs="Times New Roman"/>
          </w:rPr>
          <w:t>Cooper et al. 2024</w:t>
        </w:r>
      </w:hyperlink>
      <w:r w:rsidRPr="00CB4762">
        <w:rPr>
          <w:rFonts w:ascii="Times New Roman" w:hAnsi="Times New Roman" w:cs="Times New Roman"/>
        </w:rPr>
        <w:t>).</w:t>
      </w:r>
    </w:p>
    <w:p w14:paraId="66A40FF2"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that, the side where we placed the higher number of crickets was randomised between trials and individuals during the tests. We also counterbalanced the number of individuals per treatment tested in the same type of trial each day. The crickets used during the experiment were all the same size, but to control for other quantitative traits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we changed the orientation of the crickets as shown in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D. In addition, after the experiments, we conducted another set of trials to test whether the orientation of the crickets could affect lizards’ choice, but we found no effect of orientation (see Supplementary Material - Prey orientation test).</w:t>
      </w:r>
    </w:p>
    <w:tbl>
      <w:tblPr>
        <w:tblStyle w:val="Table"/>
        <w:tblW w:w="5000" w:type="pct"/>
        <w:tblLook w:val="0000" w:firstRow="0" w:lastRow="0" w:firstColumn="0" w:lastColumn="0" w:noHBand="0" w:noVBand="0"/>
      </w:tblPr>
      <w:tblGrid>
        <w:gridCol w:w="9576"/>
      </w:tblGrid>
      <w:tr w:rsidR="00C11FC1" w:rsidRPr="00CB4762" w14:paraId="5425D8E4" w14:textId="77777777">
        <w:tc>
          <w:tcPr>
            <w:tcW w:w="0" w:type="auto"/>
          </w:tcPr>
          <w:p w14:paraId="3F04A9C8" w14:textId="77777777" w:rsidR="00C11FC1" w:rsidRPr="00CB4762" w:rsidRDefault="00000000" w:rsidP="00CB4762">
            <w:pPr>
              <w:spacing w:line="480" w:lineRule="auto"/>
              <w:jc w:val="center"/>
              <w:rPr>
                <w:rFonts w:ascii="Times New Roman" w:hAnsi="Times New Roman" w:cs="Times New Roman"/>
              </w:rPr>
            </w:pPr>
            <w:bookmarkStart w:id="8" w:name="fig-Methods"/>
            <w:r w:rsidRPr="00CB4762">
              <w:rPr>
                <w:rFonts w:ascii="Times New Roman" w:hAnsi="Times New Roman" w:cs="Times New Roman"/>
                <w:noProof/>
              </w:rPr>
              <w:lastRenderedPageBreak/>
              <w:drawing>
                <wp:inline distT="0" distB="0" distL="0" distR="0" wp14:anchorId="3B4DC210" wp14:editId="311AC09F">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7"/>
                          <a:stretch>
                            <a:fillRect/>
                          </a:stretch>
                        </pic:blipFill>
                        <pic:spPr bwMode="auto">
                          <a:xfrm>
                            <a:off x="0" y="0"/>
                            <a:ext cx="5334000" cy="5559380"/>
                          </a:xfrm>
                          <a:prstGeom prst="rect">
                            <a:avLst/>
                          </a:prstGeom>
                          <a:noFill/>
                          <a:ln w="9525">
                            <a:noFill/>
                            <a:headEnd/>
                            <a:tailEnd/>
                          </a:ln>
                        </pic:spPr>
                      </pic:pic>
                    </a:graphicData>
                  </a:graphic>
                </wp:inline>
              </w:drawing>
            </w:r>
          </w:p>
          <w:p w14:paraId="30F22297" w14:textId="77777777" w:rsidR="00C11FC1" w:rsidRPr="00CB4762" w:rsidRDefault="00000000" w:rsidP="00CB4762">
            <w:pPr>
              <w:pStyle w:val="ImageCaption"/>
              <w:spacing w:before="200" w:line="480" w:lineRule="auto"/>
              <w:rPr>
                <w:rFonts w:ascii="Times New Roman" w:hAnsi="Times New Roman" w:cs="Times New Roman"/>
                <w:i w:val="0"/>
                <w:iCs/>
              </w:rPr>
            </w:pPr>
            <w:r w:rsidRPr="00CB4762">
              <w:rPr>
                <w:rFonts w:ascii="Times New Roman" w:hAnsi="Times New Roman" w:cs="Times New Roman"/>
                <w:i w:val="0"/>
                <w:iCs/>
              </w:rPr>
              <w:t>Fig 1— Experimental design of the study. Panel (</w:t>
            </w:r>
            <w:r w:rsidRPr="00CB4762">
              <w:rPr>
                <w:rFonts w:ascii="Times New Roman" w:hAnsi="Times New Roman" w:cs="Times New Roman"/>
                <w:b/>
                <w:bCs/>
                <w:i w:val="0"/>
                <w:iCs/>
              </w:rPr>
              <w:t>A</w:t>
            </w:r>
            <w:r w:rsidRPr="00CB4762">
              <w:rPr>
                <w:rFonts w:ascii="Times New Roman" w:hAnsi="Times New Roman" w:cs="Times New Roman"/>
                <w:i w:val="0"/>
                <w:iCs/>
              </w:rPr>
              <w:t>) shows the early environment manipulation procedures. (</w:t>
            </w:r>
            <w:r w:rsidRPr="00CB4762">
              <w:rPr>
                <w:rFonts w:ascii="Times New Roman" w:hAnsi="Times New Roman" w:cs="Times New Roman"/>
                <w:b/>
                <w:bCs/>
                <w:i w:val="0"/>
                <w:iCs/>
              </w:rPr>
              <w:t>B</w:t>
            </w:r>
            <w:r w:rsidRPr="00CB4762">
              <w:rPr>
                <w:rFonts w:ascii="Times New Roman" w:hAnsi="Times New Roman" w:cs="Times New Roman"/>
                <w:i w:val="0"/>
                <w:iCs/>
              </w:rPr>
              <w:t>) illustrates the arena where the tests were performed, while panel (</w:t>
            </w:r>
            <w:r w:rsidRPr="00CB4762">
              <w:rPr>
                <w:rFonts w:ascii="Times New Roman" w:hAnsi="Times New Roman" w:cs="Times New Roman"/>
                <w:b/>
                <w:bCs/>
                <w:i w:val="0"/>
                <w:iCs/>
              </w:rPr>
              <w:t>C</w:t>
            </w:r>
            <w:r w:rsidRPr="00CB4762">
              <w:rPr>
                <w:rFonts w:ascii="Times New Roman" w:hAnsi="Times New Roman" w:cs="Times New Roman"/>
                <w:i w:val="0"/>
                <w:iCs/>
              </w:rPr>
              <w:t>) indicates the measurements of the platform used for the experiments. Finally, panel (</w:t>
            </w:r>
            <w:r w:rsidRPr="00CB4762">
              <w:rPr>
                <w:rFonts w:ascii="Times New Roman" w:hAnsi="Times New Roman" w:cs="Times New Roman"/>
                <w:b/>
                <w:bCs/>
                <w:i w:val="0"/>
                <w:iCs/>
              </w:rPr>
              <w:t>D</w:t>
            </w:r>
            <w:r w:rsidRPr="00CB4762">
              <w:rPr>
                <w:rFonts w:ascii="Times New Roman" w:hAnsi="Times New Roman" w:cs="Times New Roman"/>
                <w:i w:val="0"/>
                <w:iCs/>
              </w:rPr>
              <w:t>) displays the types of numerical tests used and the orientation of the crickets in each test.</w:t>
            </w:r>
          </w:p>
        </w:tc>
        <w:bookmarkEnd w:id="8"/>
      </w:tr>
    </w:tbl>
    <w:p w14:paraId="4AFE7B18"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All tests were done between 1000-1200 hours when the lizards were most active. Each trial was performed daily for five days between the 17</w:t>
      </w:r>
      <w:r w:rsidRPr="00CB4762">
        <w:rPr>
          <w:rFonts w:ascii="Times New Roman" w:hAnsi="Times New Roman" w:cs="Times New Roman"/>
          <w:vertAlign w:val="superscript"/>
        </w:rPr>
        <w:t>th</w:t>
      </w:r>
      <w:r w:rsidRPr="00CB4762">
        <w:rPr>
          <w:rFonts w:ascii="Times New Roman" w:hAnsi="Times New Roman" w:cs="Times New Roman"/>
        </w:rPr>
        <w:t xml:space="preserve"> and 22</w:t>
      </w:r>
      <w:r w:rsidRPr="00CB4762">
        <w:rPr>
          <w:rFonts w:ascii="Times New Roman" w:hAnsi="Times New Roman" w:cs="Times New Roman"/>
          <w:vertAlign w:val="superscript"/>
        </w:rPr>
        <w:t>nd</w:t>
      </w:r>
      <w:r w:rsidRPr="00CB4762">
        <w:rPr>
          <w:rFonts w:ascii="Times New Roman" w:hAnsi="Times New Roman" w:cs="Times New Roman"/>
        </w:rPr>
        <w:t xml:space="preserve"> of May 2024. We recorded three main </w:t>
      </w:r>
      <w:r w:rsidRPr="00CB4762">
        <w:rPr>
          <w:rFonts w:ascii="Times New Roman" w:hAnsi="Times New Roman" w:cs="Times New Roman"/>
        </w:rPr>
        <w:lastRenderedPageBreak/>
        <w:t>variables: i) Latency, defined as the time between the start of the test - when the platform was left in the enclosure - until the first interaction with one of the options; ii) First choice of the lizard (Choice), recorded as 1 if the lizard interacted first with the larger amount or 0 if not; and iii) Interest shown for the higher amount of food (detailed below). We considered that the lizard interacted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(Interest) by substracting the time interacting with the option with fewer crickets to the time spent interacting with the larger amount of food. If there was no interaction with one of the options during the test, we considered the time spent as 0 for that option. When there was no interaction with any of the choices, both Latency, Choice, and Interest 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p>
    <w:p w14:paraId="687CFE6E" w14:textId="77777777" w:rsidR="00C11FC1" w:rsidRPr="00CB4762" w:rsidRDefault="00000000" w:rsidP="00CB4762">
      <w:pPr>
        <w:pStyle w:val="Heading4"/>
        <w:spacing w:line="480" w:lineRule="auto"/>
        <w:rPr>
          <w:rFonts w:ascii="Times New Roman" w:hAnsi="Times New Roman" w:cs="Times New Roman"/>
        </w:rPr>
      </w:pPr>
      <w:bookmarkStart w:id="9" w:name="statistical-analyses"/>
      <w:bookmarkEnd w:id="7"/>
      <w:r w:rsidRPr="00CB4762">
        <w:rPr>
          <w:rFonts w:ascii="Times New Roman" w:hAnsi="Times New Roman" w:cs="Times New Roman"/>
        </w:rPr>
        <w:t>Statistical analyses</w:t>
      </w:r>
    </w:p>
    <w:p w14:paraId="1E39AEAF"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In our analyses, we fitted a multivariate Bayesian multilevel model using the brm function from the </w:t>
      </w:r>
      <w:r w:rsidRPr="00CB4762">
        <w:rPr>
          <w:rFonts w:ascii="Times New Roman" w:hAnsi="Times New Roman" w:cs="Times New Roman"/>
          <w:i/>
          <w:iCs/>
        </w:rPr>
        <w:t>brms</w:t>
      </w:r>
      <w:r w:rsidRPr="00CB4762">
        <w:rPr>
          <w:rFonts w:ascii="Times New Roman" w:hAnsi="Times New Roman" w:cs="Times New Roman"/>
        </w:rPr>
        <w:t xml:space="preserve"> package (</w:t>
      </w:r>
      <w:hyperlink w:anchor="ref-burkner2017brms">
        <w:r w:rsidRPr="00CB4762">
          <w:rPr>
            <w:rStyle w:val="Hyperlink"/>
            <w:rFonts w:ascii="Times New Roman" w:hAnsi="Times New Roman" w:cs="Times New Roman"/>
          </w:rPr>
          <w:t>Bürkner 2017</w:t>
        </w:r>
      </w:hyperlink>
      <w:r w:rsidRPr="00CB4762">
        <w:rPr>
          <w:rFonts w:ascii="Times New Roman" w:hAnsi="Times New Roman" w:cs="Times New Roman"/>
        </w:rPr>
        <w:t>) in R extension (version 2.8.2) (</w:t>
      </w:r>
      <w:hyperlink w:anchor="ref-R">
        <w:r w:rsidRPr="00CB4762">
          <w:rPr>
            <w:rStyle w:val="Hyperlink"/>
            <w:rFonts w:ascii="Times New Roman" w:hAnsi="Times New Roman" w:cs="Times New Roman"/>
          </w:rPr>
          <w:t>R Core Team 2021</w:t>
        </w:r>
      </w:hyperlink>
      <w:r w:rsidRPr="00CB4762">
        <w:rPr>
          <w:rFonts w:ascii="Times New Roman" w:hAnsi="Times New Roman" w:cs="Times New Roman"/>
        </w:rPr>
        <w:t>). We ran four parallel MCMC chains of 3000 iterations for each model, with a warmup period of 1000 iterations. We checked that all MCMC chains converged (Rhat &lt; 1.2) and were mixing effectively to ensure we had &gt;1000 effective samples from the posterior distribution.</w:t>
      </w:r>
    </w:p>
    <w:p w14:paraId="25EF388E"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lastRenderedPageBreak/>
        <w:t xml:space="preserve">We modelled the three main recorded behaviours: Latency, Choice, and Interest as the response variables. We assumed normal distributions for Latency (log-transformed) and Interest [family = gaussian()]. The error structure for Choice was modeled using a Bernoulli distribution with a logit link function [family = Bernoulli(link = ‘logit’)]. We included test (1 VS 4, 1 VS 3, 2 VS 4, 2 VS 3, 3 VS 4), hormone (CORT versus Control), incubation temperature (Cold versus Hot), and the three-way interaction as fixed factors. We also included in our predictors sex, and age (centered to 0). We included lizard identity and clutch as random factors. </w:t>
      </w:r>
      <w:r w:rsidRPr="00CB4762">
        <w:rPr>
          <w:rFonts w:ascii="Times New Roman" w:hAnsi="Times New Roman" w:cs="Times New Roman"/>
          <w:i/>
          <w:iCs/>
        </w:rPr>
        <w:t>L. guichenoti</w:t>
      </w:r>
      <w:r w:rsidRPr="00CB4762">
        <w:rPr>
          <w:rFonts w:ascii="Times New Roman" w:hAnsi="Times New Roman" w:cs="Times New Roman"/>
        </w:rPr>
        <w:t xml:space="preserve"> lays up to two clutches per year (</w:t>
      </w:r>
      <w:hyperlink w:anchor="ref-joss1985reproductive">
        <w:r w:rsidRPr="00CB4762">
          <w:rPr>
            <w:rStyle w:val="Hyperlink"/>
            <w:rFonts w:ascii="Times New Roman" w:hAnsi="Times New Roman" w:cs="Times New Roman"/>
          </w:rPr>
          <w:t>Joss and Minard 1985</w:t>
        </w:r>
      </w:hyperlink>
      <w:r w:rsidRPr="00CB4762">
        <w:rPr>
          <w:rFonts w:ascii="Times New Roman" w:hAnsi="Times New Roman" w:cs="Times New Roman"/>
        </w:rPr>
        <w:t>). Since egg collection was done during half of the breeding season, each clutch likely came from a unique mother, and so, clutch identity captures potential maternal effects.</w:t>
      </w:r>
    </w:p>
    <w:p w14:paraId="65597647"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We used the posterior distributions of parameters from these models to test for between treatment differences in the ability to discriminate different numbers of crickets for each of the numerical tests. We used p</w:t>
      </w:r>
      <w:r w:rsidRPr="00CB4762">
        <w:rPr>
          <w:rFonts w:ascii="Times New Roman" w:hAnsi="Times New Roman" w:cs="Times New Roman"/>
          <w:vertAlign w:val="subscript"/>
        </w:rPr>
        <w:t>mcmc</w:t>
      </w:r>
      <w:r w:rsidRPr="00CB4762">
        <w:rPr>
          <w:rFonts w:ascii="Times New Roman" w:hAnsi="Times New Roman" w:cs="Times New Roman"/>
        </w:rPr>
        <w:t xml:space="preserve"> to tests whether the contrast between treatments for each test differed from zero and whether Choice and Interest differed from 0.5 or zero respectively. We considered statistical significance if p</w:t>
      </w:r>
      <w:r w:rsidRPr="00CB4762">
        <w:rPr>
          <w:rFonts w:ascii="Times New Roman" w:hAnsi="Times New Roman" w:cs="Times New Roman"/>
          <w:vertAlign w:val="subscript"/>
        </w:rPr>
        <w:t>mcmc</w:t>
      </w:r>
      <w:r w:rsidRPr="00CB4762">
        <w:rPr>
          <w:rFonts w:ascii="Times New Roman" w:hAnsi="Times New Roman" w:cs="Times New Roman"/>
        </w:rPr>
        <w:t xml:space="preserve"> &lt; 0.05.</w:t>
      </w:r>
    </w:p>
    <w:p w14:paraId="341B61B4" w14:textId="77777777" w:rsidR="00C11FC1" w:rsidRPr="00CB4762" w:rsidRDefault="00000000" w:rsidP="00CB4762">
      <w:pPr>
        <w:pStyle w:val="Heading4"/>
        <w:spacing w:line="480" w:lineRule="auto"/>
        <w:rPr>
          <w:rFonts w:ascii="Times New Roman" w:hAnsi="Times New Roman" w:cs="Times New Roman"/>
        </w:rPr>
      </w:pPr>
      <w:bookmarkStart w:id="10" w:name="ethical-note"/>
      <w:bookmarkEnd w:id="9"/>
      <w:r w:rsidRPr="00CB4762">
        <w:rPr>
          <w:rFonts w:ascii="Times New Roman" w:hAnsi="Times New Roman" w:cs="Times New Roman"/>
        </w:rPr>
        <w:t>Ethical note</w:t>
      </w:r>
    </w:p>
    <w:p w14:paraId="197FFD0D"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experiment were fed once per day. All lizards were handled minimally to avoid stress. Experimental procedures and laboratory housing complied with Australian law and were </w:t>
      </w:r>
      <w:r w:rsidRPr="00CB4762">
        <w:rPr>
          <w:rFonts w:ascii="Times New Roman" w:hAnsi="Times New Roman" w:cs="Times New Roman"/>
        </w:rPr>
        <w:lastRenderedPageBreak/>
        <w:t>approved by the Australian National University Animal Experimentation Ethics Committee (A2022_33). Upon completion of experimental trials, lizards were kept in their enclosure and will be euthanized following standard humane procedures once they reach the humane endpoint.</w:t>
      </w:r>
    </w:p>
    <w:p w14:paraId="5E1B9A36" w14:textId="77777777" w:rsidR="00C11FC1" w:rsidRPr="00CB4762" w:rsidRDefault="00000000" w:rsidP="00CB4762">
      <w:pPr>
        <w:pStyle w:val="Heading2"/>
        <w:spacing w:line="480" w:lineRule="auto"/>
        <w:rPr>
          <w:rFonts w:ascii="Times New Roman" w:hAnsi="Times New Roman" w:cs="Times New Roman"/>
        </w:rPr>
      </w:pPr>
      <w:bookmarkStart w:id="11" w:name="results"/>
      <w:bookmarkEnd w:id="4"/>
      <w:bookmarkEnd w:id="10"/>
      <w:r w:rsidRPr="00CB4762">
        <w:rPr>
          <w:rFonts w:ascii="Times New Roman" w:hAnsi="Times New Roman" w:cs="Times New Roman"/>
        </w:rPr>
        <w:t>Results</w:t>
      </w:r>
    </w:p>
    <w:p w14:paraId="63F7F630"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Latency was affected by sex (mean estimated effect of sex = -0.46, 95% CI = [-0.9, -0.02]) and age (mean estimated effect of age = 0.06, 95% CI = [0.01, 0.11]; see Table S1 in Supplementary Material). Males and older individuals made, overall, faster decisions. However, we did not see such effects on Choice or Interest (see Table S1 in Supplementary Material). Nevertheless, when we analyse the effect of treatment on performance, for every variable recorded, we control for sex by averaging the predicted values for males and females, and we control for age by including the centered age in the model. These results are summarized in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xml:space="preserve"> and Table 1.</w:t>
      </w:r>
    </w:p>
    <w:tbl>
      <w:tblPr>
        <w:tblStyle w:val="Table"/>
        <w:tblW w:w="5000" w:type="pct"/>
        <w:tblLook w:val="0000" w:firstRow="0" w:lastRow="0" w:firstColumn="0" w:lastColumn="0" w:noHBand="0" w:noVBand="0"/>
      </w:tblPr>
      <w:tblGrid>
        <w:gridCol w:w="9576"/>
      </w:tblGrid>
      <w:tr w:rsidR="00C11FC1" w:rsidRPr="00CB4762" w14:paraId="21AD6794" w14:textId="77777777">
        <w:tc>
          <w:tcPr>
            <w:tcW w:w="0" w:type="auto"/>
          </w:tcPr>
          <w:p w14:paraId="3AAC70D8" w14:textId="77777777" w:rsidR="00C11FC1" w:rsidRPr="00CB4762" w:rsidRDefault="00000000" w:rsidP="00CB4762">
            <w:pPr>
              <w:spacing w:line="480" w:lineRule="auto"/>
              <w:jc w:val="center"/>
              <w:rPr>
                <w:rFonts w:ascii="Times New Roman" w:hAnsi="Times New Roman" w:cs="Times New Roman"/>
              </w:rPr>
            </w:pPr>
            <w:bookmarkStart w:id="12" w:name="fig-results"/>
            <w:r w:rsidRPr="00CB4762">
              <w:rPr>
                <w:rFonts w:ascii="Times New Roman" w:hAnsi="Times New Roman" w:cs="Times New Roman"/>
                <w:noProof/>
              </w:rPr>
              <w:lastRenderedPageBreak/>
              <w:drawing>
                <wp:inline distT="0" distB="0" distL="0" distR="0" wp14:anchorId="6A5C614F" wp14:editId="750E13D3">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0471ED68" w14:textId="77777777" w:rsidR="00C11FC1" w:rsidRPr="00CB4762" w:rsidRDefault="00000000" w:rsidP="00CB4762">
            <w:pPr>
              <w:pStyle w:val="ImageCaption"/>
              <w:spacing w:before="200" w:line="480" w:lineRule="auto"/>
              <w:rPr>
                <w:rFonts w:ascii="Times New Roman" w:hAnsi="Times New Roman" w:cs="Times New Roman"/>
                <w:i w:val="0"/>
                <w:iCs/>
              </w:rPr>
            </w:pPr>
            <w:r w:rsidRPr="00CB4762">
              <w:rPr>
                <w:rFonts w:ascii="Times New Roman" w:hAnsi="Times New Roman" w:cs="Times New Roman"/>
                <w:i w:val="0"/>
                <w:iCs/>
              </w:rPr>
              <w:t>Fig 2— Mean estimates of log-latency (Latency), the probability of choosing first the larger number of crickets (Choice), and the estimated interest for the larger number of crickets (Interest) per each of the treatments for each of the numerical tests performed. The x-axis represents the estimate, and the y-axis is the density of the estimates. The different colours indicate the different treatments. Points and bars represent the mean and standard deviation of the mean of the estimates, respectively. Vertical dashed lines in Choice and Interest graphs values 0.5 and 0, respectively.</w:t>
            </w:r>
          </w:p>
        </w:tc>
        <w:bookmarkEnd w:id="12"/>
      </w:tr>
    </w:tbl>
    <w:p w14:paraId="146B6678"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lastRenderedPageBreak/>
        <w:t xml:space="preserve">Neither temperature, CORT, nor their interaction contrasts affected performance in any of the tests, nor were there any clear patterns suggestive of an effect of the developmental environment on numerical discrimination (see Table 1 and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Except for Hot-CORT lizards in 1 VS 3 tests or Cold-Control lizards in 2 VS 3 tests, the predicted probability of choosing the larger number of crickets first was not different from 0.5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but also see Table S2 in Supplementary Material). Similarly, Interest was not different from 0 in any of the tests (</w:t>
      </w:r>
      <w:hyperlink w:anchor="fig-results">
        <w:r w:rsidRPr="00CB4762">
          <w:rPr>
            <w:rStyle w:val="Hyperlink"/>
            <w:rFonts w:ascii="Times New Roman" w:hAnsi="Times New Roman" w:cs="Times New Roman"/>
          </w:rPr>
          <w:t>Fig. 2</w:t>
        </w:r>
      </w:hyperlink>
      <w:r w:rsidRPr="00CB4762">
        <w:rPr>
          <w:rFonts w:ascii="Times New Roman" w:hAnsi="Times New Roman" w:cs="Times New Roman"/>
        </w:rPr>
        <w:t>; but also see Table S2 in Supplementary Material).</w:t>
      </w:r>
    </w:p>
    <w:p w14:paraId="7746CAEE"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i/>
          <w:iCs/>
        </w:rPr>
        <w:t>Table 1. Effects of temperature, CORT, and their interaction on Latency, Choice, and Interest in each of the numerical discrimination tests. The table shows the contrasts for each predictor (Temperature = [meanHot - meanCold]; Hormone = [meanControl - meanCORT]; Interaction = [(meanHot-Control - meanHot-CORT) - (meanCold-Control - meanCold-CORT)]) and the p</w:t>
      </w:r>
      <w:r w:rsidRPr="00CB4762">
        <w:rPr>
          <w:rFonts w:ascii="Times New Roman" w:hAnsi="Times New Roman" w:cs="Times New Roman"/>
          <w:i/>
          <w:iCs/>
          <w:vertAlign w:val="subscript"/>
        </w:rPr>
        <w:t>mcmc</w:t>
      </w:r>
      <w:r w:rsidRPr="00CB4762">
        <w:rPr>
          <w:rFonts w:ascii="Times New Roman" w:hAnsi="Times New Roman" w:cs="Times New Roman"/>
          <w:i/>
          <w:iCs/>
        </w:rPr>
        <w:t xml:space="preserve"> value of the contrasts. In bold, the effects where p</w:t>
      </w:r>
      <w:r w:rsidRPr="00CB4762">
        <w:rPr>
          <w:rFonts w:ascii="Times New Roman" w:hAnsi="Times New Roman" w:cs="Times New Roman"/>
          <w:i/>
          <w:iCs/>
          <w:vertAlign w:val="subscript"/>
        </w:rPr>
        <w:t>mcmc</w:t>
      </w:r>
      <w:r w:rsidRPr="00CB4762">
        <w:rPr>
          <w:rFonts w:ascii="Times New Roman" w:hAnsi="Times New Roman" w:cs="Times New Roman"/>
          <w:i/>
          <w:iCs/>
        </w:rPr>
        <w:t xml:space="preserve"> &lt; 0.05.</w:t>
      </w:r>
    </w:p>
    <w:tbl>
      <w:tblPr>
        <w:tblStyle w:val="Table"/>
        <w:tblW w:w="5000" w:type="pct"/>
        <w:jc w:val="center"/>
        <w:tblLook w:val="0420" w:firstRow="1" w:lastRow="0" w:firstColumn="0" w:lastColumn="0" w:noHBand="0" w:noVBand="1"/>
      </w:tblPr>
      <w:tblGrid>
        <w:gridCol w:w="926"/>
        <w:gridCol w:w="1265"/>
        <w:gridCol w:w="1461"/>
        <w:gridCol w:w="1461"/>
        <w:gridCol w:w="1393"/>
        <w:gridCol w:w="1461"/>
        <w:gridCol w:w="1393"/>
      </w:tblGrid>
      <w:tr w:rsidR="00C11FC1" w:rsidRPr="00CB4762" w14:paraId="7E43D268"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E3F548"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13"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45CFD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Tests</w:t>
            </w:r>
          </w:p>
        </w:tc>
      </w:tr>
      <w:tr w:rsidR="00C11FC1" w:rsidRPr="00CB4762" w14:paraId="0BC612EC"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BD56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674A7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A0232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714EE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EDF06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2C877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56D2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3VS4</w:t>
            </w:r>
          </w:p>
        </w:tc>
      </w:tr>
      <w:tr w:rsidR="00C11FC1" w:rsidRPr="00CB4762" w14:paraId="6E46BC12" w14:textId="77777777" w:rsidTr="00C11FC1">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0B06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CB3B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Temperature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6575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0.58)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11D0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0.64)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3D53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 (p= 0.44)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448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 (p= 0.40)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C7C3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0.87)</w:t>
            </w:r>
          </w:p>
        </w:tc>
      </w:tr>
      <w:tr w:rsidR="00C11FC1" w:rsidRPr="00CB4762" w14:paraId="443E1878"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9FA2C"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F441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546C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A3C1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0A78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7F06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FBEF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0.46)</w:t>
            </w:r>
          </w:p>
        </w:tc>
      </w:tr>
      <w:tr w:rsidR="00C11FC1" w:rsidRPr="00CB4762" w14:paraId="4646C732" w14:textId="77777777" w:rsidTr="00C11FC1">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3D8E7C"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8FEB2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3E567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 (p= 0.20)</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89199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 (p= 0.39)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A8367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 (p= 0.41)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3F118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 (p= 0.51)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906A3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0.96)</w:t>
            </w:r>
          </w:p>
        </w:tc>
      </w:tr>
      <w:tr w:rsidR="00C11FC1" w:rsidRPr="00CB4762" w14:paraId="6ECE67DF" w14:textId="77777777" w:rsidTr="00C11FC1">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4AA7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DA21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0A2B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0.68)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F86E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0.53)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6EA6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BB9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0.24)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7D2C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0.39)</w:t>
            </w:r>
          </w:p>
        </w:tc>
      </w:tr>
      <w:tr w:rsidR="00C11FC1" w:rsidRPr="00CB4762" w14:paraId="545223D1"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3C3B4"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7CD9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72E2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1E07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CF0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D6C3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 (p= 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E14D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0.57)</w:t>
            </w:r>
          </w:p>
        </w:tc>
      </w:tr>
      <w:tr w:rsidR="00C11FC1" w:rsidRPr="00CB4762" w14:paraId="7955523D" w14:textId="77777777" w:rsidTr="00C11FC1">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34ED1A"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78F90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F661A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 (p= 0.24)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0E057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 (p= 0.08)</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F5458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0.67)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784F7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 (p= 0.36)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8C52E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 (p= 0.62)</w:t>
            </w:r>
          </w:p>
        </w:tc>
      </w:tr>
      <w:tr w:rsidR="00C11FC1" w:rsidRPr="00CB4762" w14:paraId="6801E4EB" w14:textId="77777777" w:rsidTr="00C11FC1">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0E4B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lastRenderedPageBreak/>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2682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200F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-11.9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D214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22.3 (p= 0.62)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1CD1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-5.4 (p= 0.88)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6161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-21.9 (p= 0.70)</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B553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4.2 (p= 0.90)</w:t>
            </w:r>
          </w:p>
        </w:tc>
      </w:tr>
      <w:tr w:rsidR="00C11FC1" w:rsidRPr="00CB4762" w14:paraId="770AED73"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7EA75"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A513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569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D3D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-11.2 (p= 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A0D9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91B7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2.3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D55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40.3 (p= 0.19)</w:t>
            </w:r>
          </w:p>
        </w:tc>
      </w:tr>
      <w:tr w:rsidR="00C11FC1" w:rsidRPr="00CB4762" w14:paraId="2DAFD7E7" w14:textId="77777777" w:rsidTr="00C11FC1">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44513B"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ED396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BFC65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19.4 (p= 0.62)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99C2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-56.2 (p= 0.15)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57564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34.4 (p= 0.37)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950BA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-70.2 (p= 0.08)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EBD7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-24 (p= 0.54)</w:t>
            </w:r>
          </w:p>
        </w:tc>
      </w:tr>
    </w:tbl>
    <w:p w14:paraId="4DFA8977" w14:textId="735CC569" w:rsidR="00C11FC1" w:rsidRPr="00CB4762" w:rsidRDefault="00C11FC1" w:rsidP="00CB4762">
      <w:pPr>
        <w:pStyle w:val="BodyText"/>
        <w:spacing w:line="480" w:lineRule="auto"/>
        <w:rPr>
          <w:rFonts w:ascii="Times New Roman" w:hAnsi="Times New Roman" w:cs="Times New Roman"/>
        </w:rPr>
      </w:pPr>
    </w:p>
    <w:p w14:paraId="1F787E30" w14:textId="77777777" w:rsidR="00C11FC1" w:rsidRPr="00CB4762" w:rsidRDefault="00000000" w:rsidP="00CB4762">
      <w:pPr>
        <w:pStyle w:val="Heading2"/>
        <w:spacing w:line="480" w:lineRule="auto"/>
        <w:rPr>
          <w:rFonts w:ascii="Times New Roman" w:hAnsi="Times New Roman" w:cs="Times New Roman"/>
        </w:rPr>
      </w:pPr>
      <w:bookmarkStart w:id="14" w:name="discussion"/>
      <w:bookmarkEnd w:id="11"/>
      <w:bookmarkEnd w:id="13"/>
      <w:r w:rsidRPr="00CB4762">
        <w:rPr>
          <w:rFonts w:ascii="Times New Roman" w:hAnsi="Times New Roman" w:cs="Times New Roman"/>
        </w:rPr>
        <w:t>Discussion</w:t>
      </w:r>
    </w:p>
    <w:p w14:paraId="6C8DB6C0"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Our results indicate that lizards did not discriminate between different numbers of crickets and that their performance did not vary across treatments. We predicted that lizards would employ nummerical cues to make foraging decisions, and that their ability to discriminate between those cues would be impaired with exposure to CORT during development or cold incubation temperatures. Our findings suggest otherwise. We did not see changes in Latency in any of the tests, and treatment did not affect lizards’ time to make a decision either. Furthermore, in most cases, Choice did not differ from random (0.5), with significant differences emerging only in two tests for two of the four treatments; yet no clear pattern was observed. These findings were further reinforced by similar results regarding Interest, that did not differ from zero in any of the tests or treatments. Altogether, these findings suggest that </w:t>
      </w:r>
      <w:r w:rsidRPr="00CB4762">
        <w:rPr>
          <w:rFonts w:ascii="Times New Roman" w:hAnsi="Times New Roman" w:cs="Times New Roman"/>
          <w:i/>
          <w:iCs/>
        </w:rPr>
        <w:t>L. guichenoti</w:t>
      </w:r>
      <w:r w:rsidRPr="00CB4762">
        <w:rPr>
          <w:rFonts w:ascii="Times New Roman" w:hAnsi="Times New Roman" w:cs="Times New Roman"/>
        </w:rPr>
        <w:t xml:space="preserve"> did not use numerical or other potential quantitative cues we were not controlling for to make foraging decisions.</w:t>
      </w:r>
    </w:p>
    <w:p w14:paraId="13A8D040"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Our experiment employed a spontaneous choice test to investigate </w:t>
      </w:r>
      <w:r w:rsidRPr="00CB4762">
        <w:rPr>
          <w:rFonts w:ascii="Times New Roman" w:hAnsi="Times New Roman" w:cs="Times New Roman"/>
          <w:i/>
          <w:iCs/>
        </w:rPr>
        <w:t>L. guichenoti</w:t>
      </w:r>
      <w:r w:rsidRPr="00CB4762">
        <w:rPr>
          <w:rFonts w:ascii="Times New Roman" w:hAnsi="Times New Roman" w:cs="Times New Roman"/>
        </w:rPr>
        <w:t xml:space="preserve">’s numerical abilities. This test is considered a reliable method to animal numerosity, as it allows for </w:t>
      </w:r>
      <w:r w:rsidRPr="00CB4762">
        <w:rPr>
          <w:rFonts w:ascii="Times New Roman" w:hAnsi="Times New Roman" w:cs="Times New Roman"/>
        </w:rPr>
        <w:lastRenderedPageBreak/>
        <w:t>observing instictive behaviours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However, one of the main caveats of this approach is that motivation plays a key role in animals’ performance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t>
      </w:r>
      <w:hyperlink w:anchor="ref-bisazza2014experim">
        <w:r w:rsidRPr="00CB4762">
          <w:rPr>
            <w:rStyle w:val="Hyperlink"/>
            <w:rFonts w:ascii="Times New Roman" w:hAnsi="Times New Roman" w:cs="Times New Roman"/>
          </w:rPr>
          <w:t>Bisazza et al. 2014</w:t>
        </w:r>
      </w:hyperlink>
      <w:r w:rsidRPr="00CB4762">
        <w:rPr>
          <w:rFonts w:ascii="Times New Roman" w:hAnsi="Times New Roman" w:cs="Times New Roman"/>
        </w:rPr>
        <w:t>). Here, we discarded the trials in which the lizards did not interact with any of the options, so the observed results are based exclusively on those trials in which a choice was made. Therefore, we do not consider motivation a factor affecting our results.</w:t>
      </w:r>
    </w:p>
    <w:p w14:paraId="4E49DB53"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Another consideration is the limitation of spontaneous choice tests to control for other quantitative cues that may correlate with numerosity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Although we controlled for some quantitative information by rotating crickets in the option with fewer items to increase total area, we can not rule out the possibility that lizards could use other quantitative cues. If that were the case, however, we would still see some type of discrimination between choices unless the cues were conflicting (</w:t>
      </w:r>
      <w:hyperlink w:anchor="ref-cooper2024tell">
        <w:r w:rsidRPr="00CB4762">
          <w:rPr>
            <w:rStyle w:val="Hyperlink"/>
            <w:rFonts w:ascii="Times New Roman" w:hAnsi="Times New Roman" w:cs="Times New Roman"/>
          </w:rPr>
          <w:t>Cooper et al. 2024</w:t>
        </w:r>
      </w:hyperlink>
      <w:r w:rsidRPr="00CB4762">
        <w:rPr>
          <w:rFonts w:ascii="Times New Roman" w:hAnsi="Times New Roman" w:cs="Times New Roman"/>
        </w:rPr>
        <w:t xml:space="preserve">). Indeed, it is possible that </w:t>
      </w:r>
      <w:r w:rsidRPr="00CB4762">
        <w:rPr>
          <w:rFonts w:ascii="Times New Roman" w:hAnsi="Times New Roman" w:cs="Times New Roman"/>
          <w:i/>
          <w:iCs/>
        </w:rPr>
        <w:t>L. guichenoti</w:t>
      </w:r>
      <w:r w:rsidRPr="00CB4762">
        <w:rPr>
          <w:rFonts w:ascii="Times New Roman" w:hAnsi="Times New Roman" w:cs="Times New Roman"/>
        </w:rPr>
        <w:t xml:space="preserve"> uses multiple quantitative cues simultaneously during foraging decisions. When those cues conflict, the preference for one cue over another might vary between individuals, potentially producing the results observed here. Alternatively, </w:t>
      </w:r>
      <w:r w:rsidRPr="00CB4762">
        <w:rPr>
          <w:rFonts w:ascii="Times New Roman" w:hAnsi="Times New Roman" w:cs="Times New Roman"/>
          <w:i/>
          <w:iCs/>
        </w:rPr>
        <w:t>L. guichenoti</w:t>
      </w:r>
      <w:r w:rsidRPr="00CB4762">
        <w:rPr>
          <w:rFonts w:ascii="Times New Roman" w:hAnsi="Times New Roman" w:cs="Times New Roman"/>
        </w:rPr>
        <w:t xml:space="preserve"> may not rely on numerical cues for foraging decisions, instead utilising other types of information.</w:t>
      </w:r>
    </w:p>
    <w:p w14:paraId="026FE236"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Spontaneous choice tests assume that animals should select the most appropriate quantity, which may not necessarily be the largest one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This occurrs if the costs of selecting the larger option outweigh the benefits. For example, when presented two groups with different numbers of conspecifics or if prey handling costs are related to larger quantitative traits like size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It could be that the perceived handling costs of larger number of crickets is affecting lizards’ behaviour in our experiment. Nevertheless, in that scenario, we would still expect animals to exhibit a preference, even if for the smaller amount of </w:t>
      </w:r>
      <w:r w:rsidRPr="00CB4762">
        <w:rPr>
          <w:rFonts w:ascii="Times New Roman" w:hAnsi="Times New Roman" w:cs="Times New Roman"/>
        </w:rPr>
        <w:lastRenderedPageBreak/>
        <w:t xml:space="preserve">food, or to observe some influence of age on Choice or Interest, as older animals are typically larger and may be more adept at handling a greater number of prey items. The absence of choice in most of the tests suggests that the benefits of selecting larger number of crickets are not different from selecting fewer. For instance, when considering hunting groups of 1 VS 4 or 2 VS 4 crickets, the probability of success might be similar. As a result, </w:t>
      </w:r>
      <w:r w:rsidRPr="00CB4762">
        <w:rPr>
          <w:rFonts w:ascii="Times New Roman" w:hAnsi="Times New Roman" w:cs="Times New Roman"/>
          <w:i/>
          <w:iCs/>
        </w:rPr>
        <w:t>L. guichenoti</w:t>
      </w:r>
      <w:r w:rsidRPr="00CB4762">
        <w:rPr>
          <w:rFonts w:ascii="Times New Roman" w:hAnsi="Times New Roman" w:cs="Times New Roman"/>
        </w:rPr>
        <w:t xml:space="preserve"> might not have evolved a preference for prey groups with such small differences.</w:t>
      </w:r>
    </w:p>
    <w:p w14:paraId="1945EA0A"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Interestingly, in those studies where reptiles discriminated between different amounts of food, the relevant stimuli involved either vegetables (</w:t>
      </w:r>
      <w:hyperlink w:anchor="ref-gazzola2018continuous">
        <w:r w:rsidRPr="00CB4762">
          <w:rPr>
            <w:rStyle w:val="Hyperlink"/>
            <w:rFonts w:ascii="Times New Roman" w:hAnsi="Times New Roman" w:cs="Times New Roman"/>
          </w:rPr>
          <w:t>Gazzola et al. 2018</w:t>
        </w:r>
      </w:hyperlink>
      <w:r w:rsidRPr="00CB4762">
        <w:rPr>
          <w:rFonts w:ascii="Times New Roman" w:hAnsi="Times New Roman" w:cs="Times New Roman"/>
        </w:rPr>
        <w:t xml:space="preserve">; </w:t>
      </w:r>
      <w:hyperlink w:anchor="ref-szabo_spontaneous_2021">
        <w:r w:rsidRPr="00CB4762">
          <w:rPr>
            <w:rStyle w:val="Hyperlink"/>
            <w:rFonts w:ascii="Times New Roman" w:hAnsi="Times New Roman" w:cs="Times New Roman"/>
          </w:rPr>
          <w:t>Szabo et al. 2021</w:t>
        </w:r>
      </w:hyperlink>
      <w:r w:rsidRPr="00CB4762">
        <w:rPr>
          <w:rFonts w:ascii="Times New Roman" w:hAnsi="Times New Roman" w:cs="Times New Roman"/>
        </w:rPr>
        <w:t>) or large quantities (e.g., 5 vs. 10)(</w:t>
      </w:r>
      <w:hyperlink w:anchor="ref-recio_prey_2021">
        <w:r w:rsidRPr="00CB4762">
          <w:rPr>
            <w:rStyle w:val="Hyperlink"/>
            <w:rFonts w:ascii="Times New Roman" w:hAnsi="Times New Roman" w:cs="Times New Roman"/>
          </w:rPr>
          <w:t>Recio et al. 2021</w:t>
        </w:r>
      </w:hyperlink>
      <w:r w:rsidRPr="00CB4762">
        <w:rPr>
          <w:rFonts w:ascii="Times New Roman" w:hAnsi="Times New Roman" w:cs="Times New Roman"/>
        </w:rPr>
        <w:t xml:space="preserve">). In contrast, when </w:t>
      </w:r>
      <w:r w:rsidRPr="00CB4762">
        <w:rPr>
          <w:rFonts w:ascii="Times New Roman" w:hAnsi="Times New Roman" w:cs="Times New Roman"/>
          <w:i/>
          <w:iCs/>
        </w:rPr>
        <w:t>Podarcis siculus</w:t>
      </w:r>
      <w:r w:rsidRPr="00CB4762">
        <w:rPr>
          <w:rFonts w:ascii="Times New Roman" w:hAnsi="Times New Roman" w:cs="Times New Roman"/>
        </w:rPr>
        <w:t xml:space="preserve"> were presented different numbers of </w:t>
      </w:r>
      <w:r w:rsidRPr="00CB4762">
        <w:rPr>
          <w:rFonts w:ascii="Times New Roman" w:hAnsi="Times New Roman" w:cs="Times New Roman"/>
          <w:i/>
          <w:iCs/>
        </w:rPr>
        <w:t>Musca domestica</w:t>
      </w:r>
      <w:r w:rsidRPr="00CB4762">
        <w:rPr>
          <w:rFonts w:ascii="Times New Roman" w:hAnsi="Times New Roman" w:cs="Times New Roman"/>
        </w:rPr>
        <w:t xml:space="preserve"> larvae in a spontaneous choice test, the lizards failed to discriminate between quantities despite showing high quantitative skills when prey size was the main cue (</w:t>
      </w:r>
      <w:hyperlink w:anchor="ref-miletto2017quantitative">
        <w:r w:rsidRPr="00CB4762">
          <w:rPr>
            <w:rStyle w:val="Hyperlink"/>
            <w:rFonts w:ascii="Times New Roman" w:hAnsi="Times New Roman" w:cs="Times New Roman"/>
          </w:rPr>
          <w:t>Miletto Petrazzini et al. 2017</w:t>
        </w:r>
      </w:hyperlink>
      <w:r w:rsidRPr="00CB4762">
        <w:rPr>
          <w:rFonts w:ascii="Times New Roman" w:hAnsi="Times New Roman" w:cs="Times New Roman"/>
        </w:rPr>
        <w:t>) or when tested using training procedures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xml:space="preserve">). Further studies on numerosity in </w:t>
      </w:r>
      <w:r w:rsidRPr="00CB4762">
        <w:rPr>
          <w:rFonts w:ascii="Times New Roman" w:hAnsi="Times New Roman" w:cs="Times New Roman"/>
          <w:i/>
          <w:iCs/>
        </w:rPr>
        <w:t>L. guichenoti</w:t>
      </w:r>
      <w:r w:rsidRPr="00CB4762">
        <w:rPr>
          <w:rFonts w:ascii="Times New Roman" w:hAnsi="Times New Roman" w:cs="Times New Roman"/>
        </w:rPr>
        <w:t xml:space="preserve"> should explore different methods, stimuli or contexts. For example, using larger quantities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recio_prey_2021">
        <w:r w:rsidRPr="00CB4762">
          <w:rPr>
            <w:rStyle w:val="Hyperlink"/>
            <w:rFonts w:ascii="Times New Roman" w:hAnsi="Times New Roman" w:cs="Times New Roman"/>
          </w:rPr>
          <w:t>Recio et al. 2021</w:t>
        </w:r>
      </w:hyperlink>
      <w:r w:rsidRPr="00CB4762">
        <w:rPr>
          <w:rFonts w:ascii="Times New Roman" w:hAnsi="Times New Roman" w:cs="Times New Roman"/>
        </w:rPr>
        <w:t>), testing numerical discrimination in the context of mate selection (</w:t>
      </w:r>
      <w:hyperlink w:anchor="ref-carazo2009quantity">
        <w:r w:rsidRPr="00CB4762">
          <w:rPr>
            <w:rStyle w:val="Hyperlink"/>
            <w:rFonts w:ascii="Times New Roman" w:hAnsi="Times New Roman" w:cs="Times New Roman"/>
          </w:rPr>
          <w:t>Carazo et al. 2009</w:t>
        </w:r>
      </w:hyperlink>
      <w:r w:rsidRPr="00CB4762">
        <w:rPr>
          <w:rFonts w:ascii="Times New Roman" w:hAnsi="Times New Roman" w:cs="Times New Roman"/>
        </w:rPr>
        <w:t xml:space="preserve">; </w:t>
      </w:r>
      <w:hyperlink w:anchor="ref-lucon2017individual">
        <w:r w:rsidRPr="00CB4762">
          <w:rPr>
            <w:rStyle w:val="Hyperlink"/>
            <w:rFonts w:ascii="Times New Roman" w:hAnsi="Times New Roman" w:cs="Times New Roman"/>
          </w:rPr>
          <w:t>Lucon-Xiccato and Dadda 2017</w:t>
        </w:r>
      </w:hyperlink>
      <w:r w:rsidRPr="00CB4762">
        <w:rPr>
          <w:rFonts w:ascii="Times New Roman" w:hAnsi="Times New Roman" w:cs="Times New Roman"/>
        </w:rPr>
        <w:t>), or employing training procedures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t>
      </w:r>
      <w:hyperlink w:anchor="ref-bisazza2014experim">
        <w:r w:rsidRPr="00CB4762">
          <w:rPr>
            <w:rStyle w:val="Hyperlink"/>
            <w:rFonts w:ascii="Times New Roman" w:hAnsi="Times New Roman" w:cs="Times New Roman"/>
          </w:rPr>
          <w:t>Bisazza et al. 2014</w:t>
        </w:r>
      </w:hyperlink>
      <w:r w:rsidRPr="00CB4762">
        <w:rPr>
          <w:rFonts w:ascii="Times New Roman" w:hAnsi="Times New Roman" w:cs="Times New Roman"/>
        </w:rPr>
        <w:t xml:space="preserve">; </w:t>
      </w:r>
      <w:hyperlink w:anchor="ref-soldati2017long">
        <w:r w:rsidRPr="00CB4762">
          <w:rPr>
            <w:rStyle w:val="Hyperlink"/>
            <w:rFonts w:ascii="Times New Roman" w:hAnsi="Times New Roman" w:cs="Times New Roman"/>
          </w:rPr>
          <w:t>Soldati et al. 2017</w:t>
        </w:r>
      </w:hyperlink>
      <w:r w:rsidRPr="00CB4762">
        <w:rPr>
          <w:rFonts w:ascii="Times New Roman" w:hAnsi="Times New Roman" w:cs="Times New Roman"/>
        </w:rPr>
        <w:t xml:space="preserve">;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xml:space="preserve">; </w:t>
      </w:r>
      <w:hyperlink w:anchor="ref-lin2021superior">
        <w:r w:rsidRPr="00CB4762">
          <w:rPr>
            <w:rStyle w:val="Hyperlink"/>
            <w:rFonts w:ascii="Times New Roman" w:hAnsi="Times New Roman" w:cs="Times New Roman"/>
          </w:rPr>
          <w:t>Lin et al. 2021</w:t>
        </w:r>
      </w:hyperlink>
      <w:r w:rsidRPr="00CB4762">
        <w:rPr>
          <w:rFonts w:ascii="Times New Roman" w:hAnsi="Times New Roman" w:cs="Times New Roman"/>
        </w:rPr>
        <w:t xml:space="preserve">, </w:t>
      </w:r>
      <w:hyperlink w:anchor="ref-lin2024trained">
        <w:r w:rsidRPr="00CB4762">
          <w:rPr>
            <w:rStyle w:val="Hyperlink"/>
            <w:rFonts w:ascii="Times New Roman" w:hAnsi="Times New Roman" w:cs="Times New Roman"/>
          </w:rPr>
          <w:t>2024</w:t>
        </w:r>
      </w:hyperlink>
      <w:r w:rsidRPr="00CB4762">
        <w:rPr>
          <w:rFonts w:ascii="Times New Roman" w:hAnsi="Times New Roman" w:cs="Times New Roman"/>
        </w:rPr>
        <w:t xml:space="preserve">; </w:t>
      </w:r>
      <w:hyperlink w:anchor="ref-tomonaga2023slowly">
        <w:r w:rsidRPr="00CB4762">
          <w:rPr>
            <w:rStyle w:val="Hyperlink"/>
            <w:rFonts w:ascii="Times New Roman" w:hAnsi="Times New Roman" w:cs="Times New Roman"/>
          </w:rPr>
          <w:t>Tomonaga et al. 2023</w:t>
        </w:r>
      </w:hyperlink>
      <w:r w:rsidRPr="00CB4762">
        <w:rPr>
          <w:rFonts w:ascii="Times New Roman" w:hAnsi="Times New Roman" w:cs="Times New Roman"/>
        </w:rPr>
        <w:t>) may yield more conclusive results.</w:t>
      </w:r>
    </w:p>
    <w:p w14:paraId="2A3052DC"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We did not find any effect of prenatal conditions on </w:t>
      </w:r>
      <w:r w:rsidRPr="00CB4762">
        <w:rPr>
          <w:rFonts w:ascii="Times New Roman" w:hAnsi="Times New Roman" w:cs="Times New Roman"/>
          <w:i/>
          <w:iCs/>
        </w:rPr>
        <w:t>L. guichenoti</w:t>
      </w:r>
      <w:r w:rsidRPr="00CB4762">
        <w:rPr>
          <w:rFonts w:ascii="Times New Roman" w:hAnsi="Times New Roman" w:cs="Times New Roman"/>
        </w:rPr>
        <w:t>’s ability to use numerical information to make foraging decisions. We anticipated that lower incubation temperatures and exposure to CORT will impair lizards’ performance, especially in those tests with higher ratios following Weber’s Law (</w:t>
      </w:r>
      <w:hyperlink w:anchor="ref-agrillo2014spontaneous">
        <w:r w:rsidRPr="00CB4762">
          <w:rPr>
            <w:rStyle w:val="Hyperlink"/>
            <w:rFonts w:ascii="Times New Roman" w:hAnsi="Times New Roman" w:cs="Times New Roman"/>
          </w:rPr>
          <w:t>Agrillo and Bisazza 2014</w:t>
        </w:r>
      </w:hyperlink>
      <w:r w:rsidRPr="00CB4762">
        <w:rPr>
          <w:rFonts w:ascii="Times New Roman" w:hAnsi="Times New Roman" w:cs="Times New Roman"/>
        </w:rPr>
        <w:t xml:space="preserve">; </w:t>
      </w:r>
      <w:hyperlink w:anchor="ref-nieder2018evolution">
        <w:r w:rsidRPr="00CB4762">
          <w:rPr>
            <w:rStyle w:val="Hyperlink"/>
            <w:rFonts w:ascii="Times New Roman" w:hAnsi="Times New Roman" w:cs="Times New Roman"/>
          </w:rPr>
          <w:t>Nieder 2018</w:t>
        </w:r>
      </w:hyperlink>
      <w:r w:rsidRPr="00CB4762">
        <w:rPr>
          <w:rFonts w:ascii="Times New Roman" w:hAnsi="Times New Roman" w:cs="Times New Roman"/>
        </w:rPr>
        <w:t xml:space="preserve">). However, our treatments did not impact lizards’ behaviour. Our predictions were based on previous studies showing the </w:t>
      </w:r>
      <w:r w:rsidRPr="00CB4762">
        <w:rPr>
          <w:rFonts w:ascii="Times New Roman" w:hAnsi="Times New Roman" w:cs="Times New Roman"/>
        </w:rPr>
        <w:lastRenderedPageBreak/>
        <w:t>effects of prenatal temperature and GCs on cognitive abilities in reptiles and other groups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zhu_prenatal_2004">
        <w:r w:rsidRPr="00CB4762">
          <w:rPr>
            <w:rStyle w:val="Hyperlink"/>
            <w:rFonts w:ascii="Times New Roman" w:hAnsi="Times New Roman" w:cs="Times New Roman"/>
          </w:rPr>
          <w:t>Zhu et al. 2004</w:t>
        </w:r>
      </w:hyperlink>
      <w:r w:rsidRPr="00CB4762">
        <w:rPr>
          <w:rFonts w:ascii="Times New Roman" w:hAnsi="Times New Roman" w:cs="Times New Roman"/>
        </w:rPr>
        <w:t xml:space="preserve">; </w:t>
      </w:r>
      <w:hyperlink w:anchor="ref-amiel_hotter_2012">
        <w:r w:rsidRPr="00CB4762">
          <w:rPr>
            <w:rStyle w:val="Hyperlink"/>
            <w:rFonts w:ascii="Times New Roman" w:hAnsi="Times New Roman" w:cs="Times New Roman"/>
          </w:rPr>
          <w:t>Amiel and Shine 2012</w:t>
        </w:r>
      </w:hyperlink>
      <w:r w:rsidRPr="00CB4762">
        <w:rPr>
          <w:rFonts w:ascii="Times New Roman" w:hAnsi="Times New Roman" w:cs="Times New Roman"/>
        </w:rPr>
        <w:t xml:space="preserve">; </w:t>
      </w:r>
      <w:hyperlink w:anchor="ref-clark_colour_2014">
        <w:r w:rsidRPr="00CB4762">
          <w:rPr>
            <w:rStyle w:val="Hyperlink"/>
            <w:rFonts w:ascii="Times New Roman" w:hAnsi="Times New Roman" w:cs="Times New Roman"/>
          </w:rPr>
          <w:t>Clark et al. 2014</w:t>
        </w:r>
      </w:hyperlink>
      <w:r w:rsidRPr="00CB4762">
        <w:rPr>
          <w:rFonts w:ascii="Times New Roman" w:hAnsi="Times New Roman" w:cs="Times New Roman"/>
        </w:rPr>
        <w:t xml:space="preserve">; </w:t>
      </w:r>
      <w:hyperlink w:anchor="ref-amiel_egg_2014">
        <w:r w:rsidRPr="00CB4762">
          <w:rPr>
            <w:rStyle w:val="Hyperlink"/>
            <w:rFonts w:ascii="Times New Roman" w:hAnsi="Times New Roman" w:cs="Times New Roman"/>
          </w:rPr>
          <w:t>Amiel et al. 2014</w:t>
        </w:r>
      </w:hyperlink>
      <w:r w:rsidRPr="00CB4762">
        <w:rPr>
          <w:rFonts w:ascii="Times New Roman" w:hAnsi="Times New Roman" w:cs="Times New Roman"/>
        </w:rPr>
        <w:t xml:space="preserve">; </w:t>
      </w:r>
      <w:hyperlink w:anchor="ref-lui2017chronic">
        <w:r w:rsidRPr="00CB4762">
          <w:rPr>
            <w:rStyle w:val="Hyperlink"/>
            <w:rFonts w:ascii="Times New Roman" w:hAnsi="Times New Roman" w:cs="Times New Roman"/>
          </w:rPr>
          <w:t>Lui et al. 2017</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However, these effects can be species-specific, varying across cognitive domains and test types (</w:t>
      </w:r>
      <w:hyperlink w:anchor="ref-szuran_water_1994">
        <w:r w:rsidRPr="00CB4762">
          <w:rPr>
            <w:rStyle w:val="Hyperlink"/>
            <w:rFonts w:ascii="Times New Roman" w:hAnsi="Times New Roman" w:cs="Times New Roman"/>
          </w:rPr>
          <w:t>Szuran et al. 1994</w:t>
        </w:r>
      </w:hyperlink>
      <w:r w:rsidRPr="00CB4762">
        <w:rPr>
          <w:rFonts w:ascii="Times New Roman" w:hAnsi="Times New Roman" w:cs="Times New Roman"/>
        </w:rPr>
        <w:t xml:space="preserve">; </w:t>
      </w:r>
      <w:hyperlink w:anchor="ref-farrell_developmental_2015-learn">
        <w:r w:rsidRPr="00CB4762">
          <w:rPr>
            <w:rStyle w:val="Hyperlink"/>
            <w:rFonts w:ascii="Times New Roman" w:hAnsi="Times New Roman" w:cs="Times New Roman"/>
          </w:rPr>
          <w:t>Farrell et al. 2015</w:t>
        </w:r>
      </w:hyperlink>
      <w:r w:rsidRPr="00CB4762">
        <w:rPr>
          <w:rFonts w:ascii="Times New Roman" w:hAnsi="Times New Roman" w:cs="Times New Roman"/>
        </w:rPr>
        <w:t xml:space="preserve">; </w:t>
      </w:r>
      <w:hyperlink w:anchor="ref-bebus_associative_2016">
        <w:r w:rsidRPr="00CB4762">
          <w:rPr>
            <w:rStyle w:val="Hyperlink"/>
            <w:rFonts w:ascii="Times New Roman" w:hAnsi="Times New Roman" w:cs="Times New Roman"/>
          </w:rPr>
          <w:t>Bebus et al. 2016</w:t>
        </w:r>
      </w:hyperlink>
      <w:r w:rsidRPr="00CB4762">
        <w:rPr>
          <w:rFonts w:ascii="Times New Roman" w:hAnsi="Times New Roman" w:cs="Times New Roman"/>
        </w:rPr>
        <w:t xml:space="preserve">; </w:t>
      </w:r>
      <w:hyperlink w:anchor="ref-dayananda_incubation_2017">
        <w:r w:rsidRPr="00CB4762">
          <w:rPr>
            <w:rStyle w:val="Hyperlink"/>
            <w:rFonts w:ascii="Times New Roman" w:hAnsi="Times New Roman" w:cs="Times New Roman"/>
          </w:rPr>
          <w:t>Dayananda and Webb 2017</w:t>
        </w:r>
      </w:hyperlink>
      <w:r w:rsidRPr="00CB4762">
        <w:rPr>
          <w:rFonts w:ascii="Times New Roman" w:hAnsi="Times New Roman" w:cs="Times New Roman"/>
        </w:rPr>
        <w:t xml:space="preserve">; </w:t>
      </w:r>
      <w:hyperlink w:anchor="ref-abayarathna_effects_2020">
        <w:r w:rsidRPr="00CB4762">
          <w:rPr>
            <w:rStyle w:val="Hyperlink"/>
            <w:rFonts w:ascii="Times New Roman" w:hAnsi="Times New Roman" w:cs="Times New Roman"/>
          </w:rPr>
          <w:t>Abayarathna and Webb 2020</w:t>
        </w:r>
      </w:hyperlink>
      <w:r w:rsidRPr="00CB4762">
        <w:rPr>
          <w:rFonts w:ascii="Times New Roman" w:hAnsi="Times New Roman" w:cs="Times New Roman"/>
        </w:rPr>
        <w:t xml:space="preserve">; </w:t>
      </w:r>
      <w:hyperlink w:anchor="ref-haq_prenatal_2021">
        <w:r w:rsidRPr="00CB4762">
          <w:rPr>
            <w:rStyle w:val="Hyperlink"/>
            <w:rFonts w:ascii="Times New Roman" w:hAnsi="Times New Roman" w:cs="Times New Roman"/>
          </w:rPr>
          <w:t>Haq et al. 2021</w:t>
        </w:r>
      </w:hyperlink>
      <w:r w:rsidRPr="00CB4762">
        <w:rPr>
          <w:rFonts w:ascii="Times New Roman" w:hAnsi="Times New Roman" w:cs="Times New Roman"/>
        </w:rPr>
        <w:t>).</w:t>
      </w:r>
    </w:p>
    <w:p w14:paraId="1AE78882"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In this context, it is important to consider that both GCs and thermal environment can exert differential effects on distinct regions of the brain. For example, incubation temperature impacts mitochondrial activity and cell density in specific brain nuclei (</w:t>
      </w:r>
      <w:hyperlink w:anchor="ref-coomber_independent_1997">
        <w:r w:rsidRPr="00CB4762">
          <w:rPr>
            <w:rStyle w:val="Hyperlink"/>
            <w:rFonts w:ascii="Times New Roman" w:hAnsi="Times New Roman" w:cs="Times New Roman"/>
          </w:rPr>
          <w:t>Coomber et al. 1997</w:t>
        </w:r>
      </w:hyperlink>
      <w:r w:rsidRPr="00CB4762">
        <w:rPr>
          <w:rFonts w:ascii="Times New Roman" w:hAnsi="Times New Roman" w:cs="Times New Roman"/>
        </w:rPr>
        <w:t xml:space="preserve">; </w:t>
      </w:r>
      <w:hyperlink w:anchor="ref-amiel_effects_2017">
        <w:r w:rsidRPr="00CB4762">
          <w:rPr>
            <w:rStyle w:val="Hyperlink"/>
            <w:rFonts w:ascii="Times New Roman" w:hAnsi="Times New Roman" w:cs="Times New Roman"/>
          </w:rPr>
          <w:t>Amiel et al. 2017</w:t>
        </w:r>
      </w:hyperlink>
      <w:r w:rsidRPr="00CB4762">
        <w:rPr>
          <w:rFonts w:ascii="Times New Roman" w:hAnsi="Times New Roman" w:cs="Times New Roman"/>
        </w:rPr>
        <w:t>). Similarly, impairments in spatial learning - but not in other learning tasks - in rats (</w:t>
      </w:r>
      <w:hyperlink w:anchor="ref-haq_prenatal_2021">
        <w:r w:rsidRPr="00CB4762">
          <w:rPr>
            <w:rStyle w:val="Hyperlink"/>
            <w:rFonts w:ascii="Times New Roman" w:hAnsi="Times New Roman" w:cs="Times New Roman"/>
          </w:rPr>
          <w:t>Haq et al. 2021</w:t>
        </w:r>
      </w:hyperlink>
      <w:r w:rsidRPr="00CB4762">
        <w:rPr>
          <w:rFonts w:ascii="Times New Roman" w:hAnsi="Times New Roman" w:cs="Times New Roman"/>
        </w:rPr>
        <w:t>) are likely associated with the greater density of GCs receptors in mammals’ hippocampus compared to other regions of the brain (</w:t>
      </w:r>
      <w:hyperlink w:anchor="ref-siegel_2006">
        <w:r w:rsidRPr="00CB4762">
          <w:rPr>
            <w:rStyle w:val="Hyperlink"/>
            <w:rFonts w:ascii="Times New Roman" w:hAnsi="Times New Roman" w:cs="Times New Roman"/>
          </w:rPr>
          <w:t>Siegel 2006</w:t>
        </w:r>
      </w:hyperlink>
      <w:r w:rsidRPr="00CB4762">
        <w:rPr>
          <w:rFonts w:ascii="Times New Roman" w:hAnsi="Times New Roman" w:cs="Times New Roman"/>
        </w:rPr>
        <w:t>). Researchers have proposed that non-verbal number representation is processed by two types of systems: one for small sets (≤ 4) that tracks and encodes objects as individual entities, and another for larger numerosities that operate through estimation processes (</w:t>
      </w:r>
      <w:hyperlink w:anchor="ref-nieder2005counting">
        <w:r w:rsidRPr="00CB4762">
          <w:rPr>
            <w:rStyle w:val="Hyperlink"/>
            <w:rFonts w:ascii="Times New Roman" w:hAnsi="Times New Roman" w:cs="Times New Roman"/>
          </w:rPr>
          <w:t>Nieder 2005</w:t>
        </w:r>
      </w:hyperlink>
      <w:r w:rsidRPr="00CB4762">
        <w:rPr>
          <w:rFonts w:ascii="Times New Roman" w:hAnsi="Times New Roman" w:cs="Times New Roman"/>
        </w:rPr>
        <w:t xml:space="preserve">; </w:t>
      </w:r>
      <w:hyperlink w:anchor="ref-cantlon2009beyond">
        <w:r w:rsidRPr="00CB4762">
          <w:rPr>
            <w:rStyle w:val="Hyperlink"/>
            <w:rFonts w:ascii="Times New Roman" w:hAnsi="Times New Roman" w:cs="Times New Roman"/>
          </w:rPr>
          <w:t>Cantlon et al. 2009</w:t>
        </w:r>
      </w:hyperlink>
      <w:r w:rsidRPr="00CB4762">
        <w:rPr>
          <w:rFonts w:ascii="Times New Roman" w:hAnsi="Times New Roman" w:cs="Times New Roman"/>
        </w:rPr>
        <w:t xml:space="preserve">; </w:t>
      </w:r>
      <w:hyperlink w:anchor="ref-hyde2011two">
        <w:r w:rsidRPr="00CB4762">
          <w:rPr>
            <w:rStyle w:val="Hyperlink"/>
            <w:rFonts w:ascii="Times New Roman" w:hAnsi="Times New Roman" w:cs="Times New Roman"/>
          </w:rPr>
          <w:t>Hyde 2011</w:t>
        </w:r>
      </w:hyperlink>
      <w:r w:rsidRPr="00CB4762">
        <w:rPr>
          <w:rFonts w:ascii="Times New Roman" w:hAnsi="Times New Roman" w:cs="Times New Roman"/>
        </w:rPr>
        <w:t xml:space="preserve">). While it remains unknown which areas of the reptiles’ brain encode numerical information, our results suggest that those brain regions involved in discrete numerical representation might be robust to the effect of prenatal CORT and temperature in </w:t>
      </w:r>
      <w:r w:rsidRPr="00CB4762">
        <w:rPr>
          <w:rFonts w:ascii="Times New Roman" w:hAnsi="Times New Roman" w:cs="Times New Roman"/>
          <w:i/>
          <w:iCs/>
        </w:rPr>
        <w:t>L. guichenoti</w:t>
      </w:r>
      <w:r w:rsidRPr="00CB4762">
        <w:rPr>
          <w:rFonts w:ascii="Times New Roman" w:hAnsi="Times New Roman" w:cs="Times New Roman"/>
        </w:rPr>
        <w:t>. Alternatively, it is also plausible that treatment effects are masked by the overall poor performance across most of the tests, which could be a consequence of the species’ reliance on another type of cues for foraging other than numerical information. Thus, future research should investigate the effects of prenatal CORT and thermal environment on numerical competence by employing trained quantity discrimination tasks and higher quantities (</w:t>
      </w:r>
      <w:hyperlink w:anchor="ref-soldati2017long">
        <w:r w:rsidRPr="00CB4762">
          <w:rPr>
            <w:rStyle w:val="Hyperlink"/>
            <w:rFonts w:ascii="Times New Roman" w:hAnsi="Times New Roman" w:cs="Times New Roman"/>
          </w:rPr>
          <w:t>Soldati et al. 2017</w:t>
        </w:r>
      </w:hyperlink>
      <w:r w:rsidRPr="00CB4762">
        <w:rPr>
          <w:rFonts w:ascii="Times New Roman" w:hAnsi="Times New Roman" w:cs="Times New Roman"/>
        </w:rPr>
        <w:t xml:space="preserve">; </w:t>
      </w:r>
      <w:hyperlink w:anchor="ref-miletto2018quantity">
        <w:r w:rsidRPr="00CB4762">
          <w:rPr>
            <w:rStyle w:val="Hyperlink"/>
            <w:rFonts w:ascii="Times New Roman" w:hAnsi="Times New Roman" w:cs="Times New Roman"/>
          </w:rPr>
          <w:t>Miletto Petrazzini et al. 2018</w:t>
        </w:r>
      </w:hyperlink>
      <w:r w:rsidRPr="00CB4762">
        <w:rPr>
          <w:rFonts w:ascii="Times New Roman" w:hAnsi="Times New Roman" w:cs="Times New Roman"/>
        </w:rPr>
        <w:t xml:space="preserve">; </w:t>
      </w:r>
      <w:hyperlink w:anchor="ref-lin2021superior">
        <w:r w:rsidRPr="00CB4762">
          <w:rPr>
            <w:rStyle w:val="Hyperlink"/>
            <w:rFonts w:ascii="Times New Roman" w:hAnsi="Times New Roman" w:cs="Times New Roman"/>
          </w:rPr>
          <w:t>Lin et al. 2021</w:t>
        </w:r>
      </w:hyperlink>
      <w:r w:rsidRPr="00CB4762">
        <w:rPr>
          <w:rFonts w:ascii="Times New Roman" w:hAnsi="Times New Roman" w:cs="Times New Roman"/>
        </w:rPr>
        <w:t xml:space="preserve">, </w:t>
      </w:r>
      <w:hyperlink w:anchor="ref-lin2024trained">
        <w:r w:rsidRPr="00CB4762">
          <w:rPr>
            <w:rStyle w:val="Hyperlink"/>
            <w:rFonts w:ascii="Times New Roman" w:hAnsi="Times New Roman" w:cs="Times New Roman"/>
          </w:rPr>
          <w:t>2024</w:t>
        </w:r>
      </w:hyperlink>
      <w:r w:rsidRPr="00CB4762">
        <w:rPr>
          <w:rFonts w:ascii="Times New Roman" w:hAnsi="Times New Roman" w:cs="Times New Roman"/>
        </w:rPr>
        <w:t xml:space="preserve">; </w:t>
      </w:r>
      <w:hyperlink w:anchor="ref-tomonaga2023slowly">
        <w:r w:rsidRPr="00CB4762">
          <w:rPr>
            <w:rStyle w:val="Hyperlink"/>
            <w:rFonts w:ascii="Times New Roman" w:hAnsi="Times New Roman" w:cs="Times New Roman"/>
          </w:rPr>
          <w:t>Tomonaga et al. 2023</w:t>
        </w:r>
      </w:hyperlink>
      <w:r w:rsidRPr="00CB4762">
        <w:rPr>
          <w:rFonts w:ascii="Times New Roman" w:hAnsi="Times New Roman" w:cs="Times New Roman"/>
        </w:rPr>
        <w:t>).</w:t>
      </w:r>
    </w:p>
    <w:p w14:paraId="3F6C9AC0"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lastRenderedPageBreak/>
        <w:t xml:space="preserve">Our study is, to the best of our knowledge, the first to explore the impact of prenatal conditions on numerical abilities in reptiles. Our findings suggest that </w:t>
      </w:r>
      <w:r w:rsidRPr="00CB4762">
        <w:rPr>
          <w:rFonts w:ascii="Times New Roman" w:hAnsi="Times New Roman" w:cs="Times New Roman"/>
          <w:i/>
          <w:iCs/>
        </w:rPr>
        <w:t>L. guichenoti</w:t>
      </w:r>
      <w:r w:rsidRPr="00CB4762">
        <w:rPr>
          <w:rFonts w:ascii="Times New Roman" w:hAnsi="Times New Roman" w:cs="Times New Roman"/>
        </w:rPr>
        <w:t xml:space="preserve"> does not rely on numerical information for foraging decisions and that their performance does not vary across different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sidRPr="00CB4762">
        <w:rPr>
          <w:rFonts w:ascii="Times New Roman" w:hAnsi="Times New Roman" w:cs="Times New Roman"/>
          <w:i/>
          <w:iCs/>
        </w:rPr>
        <w:t>L. guichenoti</w:t>
      </w:r>
      <w:r w:rsidRPr="00CB4762">
        <w:rPr>
          <w:rFonts w:ascii="Times New Roman" w:hAnsi="Times New Roman" w:cs="Times New Roman"/>
        </w:rPr>
        <w:t>. Therefore, we recommend that future studies employ a broader array of tests and paradigms, including training-based tasks, 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p w14:paraId="44798214" w14:textId="77777777" w:rsidR="00C11FC1" w:rsidRPr="00CB4762" w:rsidRDefault="00000000" w:rsidP="00CB4762">
      <w:pPr>
        <w:pStyle w:val="Heading2"/>
        <w:spacing w:line="480" w:lineRule="auto"/>
        <w:rPr>
          <w:rFonts w:ascii="Times New Roman" w:hAnsi="Times New Roman" w:cs="Times New Roman"/>
        </w:rPr>
      </w:pPr>
      <w:bookmarkStart w:id="15" w:name="data-accessibility"/>
      <w:bookmarkEnd w:id="14"/>
      <w:r w:rsidRPr="00CB4762">
        <w:rPr>
          <w:rFonts w:ascii="Times New Roman" w:hAnsi="Times New Roman" w:cs="Times New Roman"/>
        </w:rPr>
        <w:t>Data accessibility</w:t>
      </w:r>
    </w:p>
    <w:p w14:paraId="04801A4D"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All data, data description, and R code are available in public repository </w:t>
      </w:r>
      <w:hyperlink r:id="rId9">
        <w:r w:rsidRPr="00CB4762">
          <w:rPr>
            <w:rStyle w:val="Hyperlink"/>
            <w:rFonts w:ascii="Times New Roman" w:hAnsi="Times New Roman" w:cs="Times New Roman"/>
          </w:rPr>
          <w:t>https://github.com/Pablo-Recio/CORT-Temp_Numerical</w:t>
        </w:r>
      </w:hyperlink>
      <w:r w:rsidRPr="00CB4762">
        <w:rPr>
          <w:rFonts w:ascii="Times New Roman" w:hAnsi="Times New Roman" w:cs="Times New Roman"/>
        </w:rPr>
        <w:t>.</w:t>
      </w:r>
    </w:p>
    <w:p w14:paraId="417DB811" w14:textId="77777777" w:rsidR="00C11FC1" w:rsidRPr="00CB4762" w:rsidRDefault="00000000" w:rsidP="00CB4762">
      <w:pPr>
        <w:pStyle w:val="Heading2"/>
        <w:spacing w:line="480" w:lineRule="auto"/>
        <w:rPr>
          <w:rFonts w:ascii="Times New Roman" w:hAnsi="Times New Roman" w:cs="Times New Roman"/>
        </w:rPr>
      </w:pPr>
      <w:bookmarkStart w:id="16" w:name="declaration-of-ai-use"/>
      <w:bookmarkEnd w:id="15"/>
      <w:r w:rsidRPr="00CB4762">
        <w:rPr>
          <w:rFonts w:ascii="Times New Roman" w:hAnsi="Times New Roman" w:cs="Times New Roman"/>
        </w:rPr>
        <w:t>Declaration of AI use</w:t>
      </w:r>
    </w:p>
    <w:p w14:paraId="0F0B3194"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We declare Chat GPT was used for questions related to coding and data analyses. All other parts of the manuscript were written by the authors and those parts where AI was used were checked and modified accordingly by the authors.</w:t>
      </w:r>
    </w:p>
    <w:p w14:paraId="3B79C698" w14:textId="77777777" w:rsidR="00C11FC1" w:rsidRPr="00CB4762" w:rsidRDefault="00000000" w:rsidP="00CB4762">
      <w:pPr>
        <w:pStyle w:val="Heading2"/>
        <w:spacing w:line="480" w:lineRule="auto"/>
        <w:rPr>
          <w:rFonts w:ascii="Times New Roman" w:hAnsi="Times New Roman" w:cs="Times New Roman"/>
        </w:rPr>
      </w:pPr>
      <w:bookmarkStart w:id="17" w:name="authors-contributions"/>
      <w:bookmarkEnd w:id="16"/>
      <w:r w:rsidRPr="00CB4762">
        <w:rPr>
          <w:rFonts w:ascii="Times New Roman" w:hAnsi="Times New Roman" w:cs="Times New Roman"/>
        </w:rPr>
        <w:lastRenderedPageBreak/>
        <w:t>Authors’ contributions</w:t>
      </w:r>
    </w:p>
    <w:p w14:paraId="49C4882A"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rsidRPr="00CB4762">
        <w:rPr>
          <w:rFonts w:ascii="Times New Roman" w:hAnsi="Times New Roman" w:cs="Times New Roman"/>
        </w:rPr>
        <w:br/>
        <w:t>All authors gave final approval for publication and agreed to be held accountable for the work performed therein.</w:t>
      </w:r>
    </w:p>
    <w:p w14:paraId="13A89006" w14:textId="77777777" w:rsidR="00C11FC1" w:rsidRPr="00CB4762" w:rsidRDefault="00000000" w:rsidP="00CB4762">
      <w:pPr>
        <w:pStyle w:val="Heading2"/>
        <w:spacing w:line="480" w:lineRule="auto"/>
        <w:rPr>
          <w:rFonts w:ascii="Times New Roman" w:hAnsi="Times New Roman" w:cs="Times New Roman"/>
        </w:rPr>
      </w:pPr>
      <w:bookmarkStart w:id="18" w:name="conflict-of-interest-declaration"/>
      <w:bookmarkEnd w:id="17"/>
      <w:r w:rsidRPr="00CB4762">
        <w:rPr>
          <w:rFonts w:ascii="Times New Roman" w:hAnsi="Times New Roman" w:cs="Times New Roman"/>
        </w:rPr>
        <w:t>Conflict of interest declaration</w:t>
      </w:r>
    </w:p>
    <w:p w14:paraId="44A9E4B6"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We declare we have no competing interests.</w:t>
      </w:r>
    </w:p>
    <w:p w14:paraId="44B7EC3D" w14:textId="77777777" w:rsidR="00C11FC1" w:rsidRPr="00CB4762" w:rsidRDefault="00000000" w:rsidP="00CB4762">
      <w:pPr>
        <w:pStyle w:val="Heading2"/>
        <w:spacing w:line="480" w:lineRule="auto"/>
        <w:rPr>
          <w:rFonts w:ascii="Times New Roman" w:hAnsi="Times New Roman" w:cs="Times New Roman"/>
        </w:rPr>
      </w:pPr>
      <w:bookmarkStart w:id="19" w:name="funding"/>
      <w:bookmarkEnd w:id="18"/>
      <w:r w:rsidRPr="00CB4762">
        <w:rPr>
          <w:rFonts w:ascii="Times New Roman" w:hAnsi="Times New Roman" w:cs="Times New Roman"/>
        </w:rPr>
        <w:t>Funding</w:t>
      </w:r>
    </w:p>
    <w:p w14:paraId="5EEEBCFF"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This work was supported by a National Australian University fellowship (PR), and the Australian Research Council (grant no. DP210101152) to DN and CF.</w:t>
      </w:r>
    </w:p>
    <w:p w14:paraId="07D55E81" w14:textId="77777777" w:rsidR="00C11FC1" w:rsidRPr="00CB4762" w:rsidRDefault="00000000" w:rsidP="00CB4762">
      <w:pPr>
        <w:pStyle w:val="Heading2"/>
        <w:spacing w:line="480" w:lineRule="auto"/>
        <w:rPr>
          <w:rFonts w:ascii="Times New Roman" w:hAnsi="Times New Roman" w:cs="Times New Roman"/>
        </w:rPr>
      </w:pPr>
      <w:bookmarkStart w:id="20" w:name="acknowledgements"/>
      <w:bookmarkEnd w:id="19"/>
      <w:r w:rsidRPr="00CB4762">
        <w:rPr>
          <w:rFonts w:ascii="Times New Roman" w:hAnsi="Times New Roman" w:cs="Times New Roman"/>
        </w:rPr>
        <w:t>Acknowledgements</w:t>
      </w:r>
    </w:p>
    <w:p w14:paraId="1F972281"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041365B7" w14:textId="77777777" w:rsidR="00C11FC1" w:rsidRPr="00CB4762" w:rsidRDefault="00000000" w:rsidP="00CB4762">
      <w:pPr>
        <w:pStyle w:val="Heading2"/>
        <w:spacing w:line="480" w:lineRule="auto"/>
        <w:rPr>
          <w:rFonts w:ascii="Times New Roman" w:hAnsi="Times New Roman" w:cs="Times New Roman"/>
        </w:rPr>
      </w:pPr>
      <w:bookmarkStart w:id="21" w:name="references"/>
      <w:bookmarkEnd w:id="20"/>
      <w:r w:rsidRPr="00CB4762">
        <w:rPr>
          <w:rFonts w:ascii="Times New Roman" w:hAnsi="Times New Roman" w:cs="Times New Roman"/>
        </w:rPr>
        <w:lastRenderedPageBreak/>
        <w:t>References</w:t>
      </w:r>
    </w:p>
    <w:p w14:paraId="7731CF74" w14:textId="77777777" w:rsidR="00C11FC1" w:rsidRPr="00CB4762" w:rsidRDefault="00000000" w:rsidP="00CB4762">
      <w:pPr>
        <w:pStyle w:val="Bibliography"/>
        <w:spacing w:line="480" w:lineRule="auto"/>
        <w:rPr>
          <w:rFonts w:ascii="Times New Roman" w:hAnsi="Times New Roman" w:cs="Times New Roman"/>
        </w:rPr>
      </w:pPr>
      <w:bookmarkStart w:id="22" w:name="ref-abayarathna_effects_2020"/>
      <w:bookmarkStart w:id="23" w:name="refs"/>
      <w:r w:rsidRPr="00CB4762">
        <w:rPr>
          <w:rFonts w:ascii="Times New Roman" w:hAnsi="Times New Roman" w:cs="Times New Roman"/>
        </w:rPr>
        <w:t xml:space="preserve">Abayarathna T, Webb JK (2020) Effects of incubation temperatures on learning abilities of hatchling velvet geckos. Animal Cognition 23:613–620. </w:t>
      </w:r>
      <w:hyperlink r:id="rId10">
        <w:r w:rsidRPr="00CB4762">
          <w:rPr>
            <w:rStyle w:val="Hyperlink"/>
            <w:rFonts w:ascii="Times New Roman" w:hAnsi="Times New Roman" w:cs="Times New Roman"/>
          </w:rPr>
          <w:t>https://doi.org/10.1007/s10071-020-01365-4</w:t>
        </w:r>
      </w:hyperlink>
    </w:p>
    <w:p w14:paraId="4CF09B43" w14:textId="77777777" w:rsidR="00C11FC1" w:rsidRPr="00CB4762" w:rsidRDefault="00000000" w:rsidP="00CB4762">
      <w:pPr>
        <w:pStyle w:val="Bibliography"/>
        <w:spacing w:line="480" w:lineRule="auto"/>
        <w:rPr>
          <w:rFonts w:ascii="Times New Roman" w:hAnsi="Times New Roman" w:cs="Times New Roman"/>
        </w:rPr>
      </w:pPr>
      <w:bookmarkStart w:id="24" w:name="ref-agrillo2014spontaneous"/>
      <w:bookmarkEnd w:id="22"/>
      <w:r w:rsidRPr="00CB4762">
        <w:rPr>
          <w:rFonts w:ascii="Times New Roman" w:hAnsi="Times New Roman" w:cs="Times New Roman"/>
        </w:rPr>
        <w:t>Agrillo C, Bisazza A (2014) Spontaneous versus trained numerical abilities. A comparison between the two main tools to study numerical competence in non-human animals. Journal of neuroscience methods 234:82–91</w:t>
      </w:r>
    </w:p>
    <w:p w14:paraId="4581386D" w14:textId="77777777" w:rsidR="00C11FC1" w:rsidRPr="00CB4762" w:rsidRDefault="00000000" w:rsidP="00CB4762">
      <w:pPr>
        <w:pStyle w:val="Bibliography"/>
        <w:spacing w:line="480" w:lineRule="auto"/>
        <w:rPr>
          <w:rFonts w:ascii="Times New Roman" w:hAnsi="Times New Roman" w:cs="Times New Roman"/>
        </w:rPr>
      </w:pPr>
      <w:bookmarkStart w:id="25" w:name="ref-amiel_effects_2017"/>
      <w:bookmarkEnd w:id="24"/>
      <w:r w:rsidRPr="00CB4762">
        <w:rPr>
          <w:rFonts w:ascii="Times New Roman" w:hAnsi="Times New Roman" w:cs="Times New Roman"/>
        </w:rPr>
        <w:t xml:space="preserve">Amiel JJ, Bao S, Shine R (2017) The effects of incubation temperature on the development of the cortical forebrain in a lizard. Animal Cognition 20:117–125. </w:t>
      </w:r>
      <w:hyperlink r:id="rId11">
        <w:r w:rsidRPr="00CB4762">
          <w:rPr>
            <w:rStyle w:val="Hyperlink"/>
            <w:rFonts w:ascii="Times New Roman" w:hAnsi="Times New Roman" w:cs="Times New Roman"/>
          </w:rPr>
          <w:t>https://doi.org/10.1007/s10071-016-0993-2</w:t>
        </w:r>
      </w:hyperlink>
    </w:p>
    <w:p w14:paraId="095E7455" w14:textId="77777777" w:rsidR="00C11FC1" w:rsidRPr="00CB4762" w:rsidRDefault="00000000" w:rsidP="00CB4762">
      <w:pPr>
        <w:pStyle w:val="Bibliography"/>
        <w:spacing w:line="480" w:lineRule="auto"/>
        <w:rPr>
          <w:rFonts w:ascii="Times New Roman" w:hAnsi="Times New Roman" w:cs="Times New Roman"/>
        </w:rPr>
      </w:pPr>
      <w:bookmarkStart w:id="26" w:name="ref-amiel_egg_2014"/>
      <w:bookmarkEnd w:id="25"/>
      <w:r w:rsidRPr="00CB4762">
        <w:rPr>
          <w:rFonts w:ascii="Times New Roman" w:hAnsi="Times New Roman" w:cs="Times New Roman"/>
        </w:rPr>
        <w:t xml:space="preserve">Amiel JJ, Lindström T, Shine R (2014) Egg incubation effects generate positive correlations between size, speed and learning ability in young lizards. Animal Cognition 17:337–347. </w:t>
      </w:r>
      <w:hyperlink r:id="rId12">
        <w:r w:rsidRPr="00CB4762">
          <w:rPr>
            <w:rStyle w:val="Hyperlink"/>
            <w:rFonts w:ascii="Times New Roman" w:hAnsi="Times New Roman" w:cs="Times New Roman"/>
          </w:rPr>
          <w:t>https://doi.org/10.1007/s10071-013-0665-4</w:t>
        </w:r>
      </w:hyperlink>
    </w:p>
    <w:p w14:paraId="07A1A657" w14:textId="77777777" w:rsidR="00C11FC1" w:rsidRPr="00CB4762" w:rsidRDefault="00000000" w:rsidP="00CB4762">
      <w:pPr>
        <w:pStyle w:val="Bibliography"/>
        <w:spacing w:line="480" w:lineRule="auto"/>
        <w:rPr>
          <w:rFonts w:ascii="Times New Roman" w:hAnsi="Times New Roman" w:cs="Times New Roman"/>
        </w:rPr>
      </w:pPr>
      <w:bookmarkStart w:id="27" w:name="ref-amiel_hotter_2012"/>
      <w:bookmarkEnd w:id="26"/>
      <w:r w:rsidRPr="00CB4762">
        <w:rPr>
          <w:rFonts w:ascii="Times New Roman" w:hAnsi="Times New Roman" w:cs="Times New Roman"/>
        </w:rPr>
        <w:t xml:space="preserve">Amiel JJ, Shine R (2012) Hotter nests produce smarter young lizards. Biology Letters 8:372–374. </w:t>
      </w:r>
      <w:hyperlink r:id="rId13">
        <w:r w:rsidRPr="00CB4762">
          <w:rPr>
            <w:rStyle w:val="Hyperlink"/>
            <w:rFonts w:ascii="Times New Roman" w:hAnsi="Times New Roman" w:cs="Times New Roman"/>
          </w:rPr>
          <w:t>https://doi.org/10.1098/rsbl.2011.1161</w:t>
        </w:r>
      </w:hyperlink>
    </w:p>
    <w:p w14:paraId="5F7719B1" w14:textId="77777777" w:rsidR="00C11FC1" w:rsidRPr="00CB4762" w:rsidRDefault="00000000" w:rsidP="00CB4762">
      <w:pPr>
        <w:pStyle w:val="Bibliography"/>
        <w:spacing w:line="480" w:lineRule="auto"/>
        <w:rPr>
          <w:rFonts w:ascii="Times New Roman" w:hAnsi="Times New Roman" w:cs="Times New Roman"/>
        </w:rPr>
      </w:pPr>
      <w:bookmarkStart w:id="28" w:name="ref-bebus_associative_2016"/>
      <w:bookmarkEnd w:id="27"/>
      <w:r w:rsidRPr="00CB4762">
        <w:rPr>
          <w:rFonts w:ascii="Times New Roman" w:hAnsi="Times New Roman" w:cs="Times New Roman"/>
        </w:rPr>
        <w:t xml:space="preserve">Bebus SE, Small TW, Jones BC, et al (2016) Associative learning is inversely related to reversal learning and varies with nestling corticosterone exposure. Animal Behaviour 111:251–260. </w:t>
      </w:r>
      <w:hyperlink r:id="rId14">
        <w:r w:rsidRPr="00CB4762">
          <w:rPr>
            <w:rStyle w:val="Hyperlink"/>
            <w:rFonts w:ascii="Times New Roman" w:hAnsi="Times New Roman" w:cs="Times New Roman"/>
          </w:rPr>
          <w:t>https://doi.org/10.1016/j.anbehav.2015.10.027</w:t>
        </w:r>
      </w:hyperlink>
    </w:p>
    <w:p w14:paraId="77217D14" w14:textId="77777777" w:rsidR="00C11FC1" w:rsidRPr="00CB4762" w:rsidRDefault="00000000" w:rsidP="00CB4762">
      <w:pPr>
        <w:pStyle w:val="Bibliography"/>
        <w:spacing w:line="480" w:lineRule="auto"/>
        <w:rPr>
          <w:rFonts w:ascii="Times New Roman" w:hAnsi="Times New Roman" w:cs="Times New Roman"/>
        </w:rPr>
      </w:pPr>
      <w:bookmarkStart w:id="29" w:name="ref-beran2016capuchin"/>
      <w:bookmarkEnd w:id="28"/>
      <w:r w:rsidRPr="00CB4762">
        <w:rPr>
          <w:rFonts w:ascii="Times New Roman" w:hAnsi="Times New Roman" w:cs="Times New Roman"/>
        </w:rPr>
        <w:t>Beran MJ, Parrish AE (2016) Capuchin monkeys (cebus apella) treat small and large numbers of items similarly during a relative quantity judgment task. Psychonomic bulletin &amp; review 23:1206–1213</w:t>
      </w:r>
    </w:p>
    <w:p w14:paraId="5AC86A0A" w14:textId="77777777" w:rsidR="00C11FC1" w:rsidRPr="00CB4762" w:rsidRDefault="00000000" w:rsidP="00CB4762">
      <w:pPr>
        <w:pStyle w:val="Bibliography"/>
        <w:spacing w:line="480" w:lineRule="auto"/>
        <w:rPr>
          <w:rFonts w:ascii="Times New Roman" w:hAnsi="Times New Roman" w:cs="Times New Roman"/>
        </w:rPr>
      </w:pPr>
      <w:bookmarkStart w:id="30" w:name="ref-bisazza2014experim"/>
      <w:bookmarkEnd w:id="29"/>
      <w:r w:rsidRPr="00CB4762">
        <w:rPr>
          <w:rFonts w:ascii="Times New Roman" w:hAnsi="Times New Roman" w:cs="Times New Roman"/>
        </w:rPr>
        <w:lastRenderedPageBreak/>
        <w:t>Bisazza A, Agrillo C, Lucon-Xiccato T (2014) Extensive training extends numerical abilities of guppies. Animal cognition 17:1413–1419</w:t>
      </w:r>
    </w:p>
    <w:p w14:paraId="5598F28C" w14:textId="77777777" w:rsidR="00C11FC1" w:rsidRPr="00CB4762" w:rsidRDefault="00000000" w:rsidP="00CB4762">
      <w:pPr>
        <w:pStyle w:val="Bibliography"/>
        <w:spacing w:line="480" w:lineRule="auto"/>
        <w:rPr>
          <w:rFonts w:ascii="Times New Roman" w:hAnsi="Times New Roman" w:cs="Times New Roman"/>
        </w:rPr>
      </w:pPr>
      <w:bookmarkStart w:id="31" w:name="ref-burkner2017brms"/>
      <w:bookmarkEnd w:id="30"/>
      <w:r w:rsidRPr="00CB4762">
        <w:rPr>
          <w:rFonts w:ascii="Times New Roman" w:hAnsi="Times New Roman" w:cs="Times New Roman"/>
        </w:rPr>
        <w:t>Bürkner P-C (2017) Brms: An r package for bayesian multilevel models using stan. Journal of statistical software 80:1–28</w:t>
      </w:r>
    </w:p>
    <w:p w14:paraId="679DDACB" w14:textId="77777777" w:rsidR="00C11FC1" w:rsidRPr="00CB4762" w:rsidRDefault="00000000" w:rsidP="00CB4762">
      <w:pPr>
        <w:pStyle w:val="Bibliography"/>
        <w:spacing w:line="480" w:lineRule="auto"/>
        <w:rPr>
          <w:rFonts w:ascii="Times New Roman" w:hAnsi="Times New Roman" w:cs="Times New Roman"/>
        </w:rPr>
      </w:pPr>
      <w:bookmarkStart w:id="32" w:name="ref-cantlon2009beyond"/>
      <w:bookmarkEnd w:id="31"/>
      <w:r w:rsidRPr="00CB4762">
        <w:rPr>
          <w:rFonts w:ascii="Times New Roman" w:hAnsi="Times New Roman" w:cs="Times New Roman"/>
        </w:rPr>
        <w:t>Cantlon JF, Platt ML, Brannon EM (2009) Beyond the number domain. Trends in cognitive sciences 13:83–91</w:t>
      </w:r>
    </w:p>
    <w:p w14:paraId="2DDF9A34" w14:textId="77777777" w:rsidR="00C11FC1" w:rsidRPr="00CB4762" w:rsidRDefault="00000000" w:rsidP="00CB4762">
      <w:pPr>
        <w:pStyle w:val="Bibliography"/>
        <w:spacing w:line="480" w:lineRule="auto"/>
        <w:rPr>
          <w:rFonts w:ascii="Times New Roman" w:hAnsi="Times New Roman" w:cs="Times New Roman"/>
        </w:rPr>
      </w:pPr>
      <w:bookmarkStart w:id="33" w:name="ref-carazo2009quantity"/>
      <w:bookmarkEnd w:id="32"/>
      <w:r w:rsidRPr="00CB4762">
        <w:rPr>
          <w:rFonts w:ascii="Times New Roman" w:hAnsi="Times New Roman" w:cs="Times New Roman"/>
        </w:rPr>
        <w:t>Carazo P, Font E, Forteza-Behrendt E, Desfilis E (2009) Quantity discrimination in tenebrio molitor: Evidence of numerosity discrimination in an invertebrate? Animal Cognition 12:463–470</w:t>
      </w:r>
    </w:p>
    <w:p w14:paraId="762B8B6A" w14:textId="77777777" w:rsidR="00C11FC1" w:rsidRPr="00CB4762" w:rsidRDefault="00000000" w:rsidP="00CB4762">
      <w:pPr>
        <w:pStyle w:val="Bibliography"/>
        <w:spacing w:line="480" w:lineRule="auto"/>
        <w:rPr>
          <w:rFonts w:ascii="Times New Roman" w:hAnsi="Times New Roman" w:cs="Times New Roman"/>
        </w:rPr>
      </w:pPr>
      <w:bookmarkStart w:id="34" w:name="ref-chittka1995can"/>
      <w:bookmarkEnd w:id="33"/>
      <w:r w:rsidRPr="00CB4762">
        <w:rPr>
          <w:rFonts w:ascii="Times New Roman" w:hAnsi="Times New Roman" w:cs="Times New Roman"/>
        </w:rPr>
        <w:t>Chittka L, Geiger K (1995) Can honey bees count landmarks? Animal Behaviour 49:159–164</w:t>
      </w:r>
    </w:p>
    <w:p w14:paraId="7F904921" w14:textId="77777777" w:rsidR="00C11FC1" w:rsidRPr="00CB4762" w:rsidRDefault="00000000" w:rsidP="00CB4762">
      <w:pPr>
        <w:pStyle w:val="Bibliography"/>
        <w:spacing w:line="480" w:lineRule="auto"/>
        <w:rPr>
          <w:rFonts w:ascii="Times New Roman" w:hAnsi="Times New Roman" w:cs="Times New Roman"/>
        </w:rPr>
      </w:pPr>
      <w:bookmarkStart w:id="35" w:name="ref-clark_colour_2014"/>
      <w:bookmarkEnd w:id="34"/>
      <w:r w:rsidRPr="00CB4762">
        <w:rPr>
          <w:rFonts w:ascii="Times New Roman" w:hAnsi="Times New Roman" w:cs="Times New Roman"/>
        </w:rPr>
        <w:t xml:space="preserve">Clark BF, Amiel JJ, Shine R, et al (2014) Colour discrimination and associative learning in hatchling lizards incubated at “hot” and “cold” temperatures. Behavioral Ecology and Sociobiology 68:239–247. </w:t>
      </w:r>
      <w:hyperlink r:id="rId15">
        <w:r w:rsidRPr="00CB4762">
          <w:rPr>
            <w:rStyle w:val="Hyperlink"/>
            <w:rFonts w:ascii="Times New Roman" w:hAnsi="Times New Roman" w:cs="Times New Roman"/>
          </w:rPr>
          <w:t>https://doi.org/10.1007/s00265-013-1639-x</w:t>
        </w:r>
      </w:hyperlink>
    </w:p>
    <w:p w14:paraId="5D527F48" w14:textId="77777777" w:rsidR="00C11FC1" w:rsidRPr="00CB4762" w:rsidRDefault="00000000" w:rsidP="00CB4762">
      <w:pPr>
        <w:pStyle w:val="Bibliography"/>
        <w:spacing w:line="480" w:lineRule="auto"/>
        <w:rPr>
          <w:rFonts w:ascii="Times New Roman" w:hAnsi="Times New Roman" w:cs="Times New Roman"/>
        </w:rPr>
      </w:pPr>
      <w:bookmarkStart w:id="36" w:name="ref-coomber_independent_1997"/>
      <w:bookmarkEnd w:id="35"/>
      <w:r w:rsidRPr="00CB4762">
        <w:rPr>
          <w:rFonts w:ascii="Times New Roman" w:hAnsi="Times New Roman" w:cs="Times New Roman"/>
        </w:rP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6">
        <w:r w:rsidRPr="00CB4762">
          <w:rPr>
            <w:rStyle w:val="Hyperlink"/>
            <w:rFonts w:ascii="Times New Roman" w:hAnsi="Times New Roman" w:cs="Times New Roman"/>
          </w:rPr>
          <w:t>https://doi.org/10.1002/(SICI)1096-9861(19970414)380:3&lt;409::AID-CNE9&gt;3.0.CO;2-6</w:t>
        </w:r>
      </w:hyperlink>
    </w:p>
    <w:p w14:paraId="40E9D695" w14:textId="77777777" w:rsidR="00C11FC1" w:rsidRPr="00CB4762" w:rsidRDefault="00000000" w:rsidP="00CB4762">
      <w:pPr>
        <w:pStyle w:val="Bibliography"/>
        <w:spacing w:line="480" w:lineRule="auto"/>
        <w:rPr>
          <w:rFonts w:ascii="Times New Roman" w:hAnsi="Times New Roman" w:cs="Times New Roman"/>
        </w:rPr>
      </w:pPr>
      <w:bookmarkStart w:id="37" w:name="ref-cooper2024tell"/>
      <w:bookmarkEnd w:id="36"/>
      <w:r w:rsidRPr="00CB4762">
        <w:rPr>
          <w:rFonts w:ascii="Times New Roman" w:hAnsi="Times New Roman" w:cs="Times New Roman"/>
        </w:rPr>
        <w:t>Cooper TL, Pardo-Sanchez J, Sosnowski MJ, et al (2024) How to tell more is more: Quantity discrimination in eastern box turtles (emydidae: Terrapene carolina). Journal of Herpetology 58:1–15</w:t>
      </w:r>
    </w:p>
    <w:p w14:paraId="65D9DB68" w14:textId="77777777" w:rsidR="00C11FC1" w:rsidRPr="00CB4762" w:rsidRDefault="00000000" w:rsidP="00CB4762">
      <w:pPr>
        <w:pStyle w:val="Bibliography"/>
        <w:spacing w:line="480" w:lineRule="auto"/>
        <w:rPr>
          <w:rFonts w:ascii="Times New Roman" w:hAnsi="Times New Roman" w:cs="Times New Roman"/>
        </w:rPr>
      </w:pPr>
      <w:bookmarkStart w:id="38" w:name="ref-Crino_2023"/>
      <w:bookmarkEnd w:id="37"/>
      <w:r w:rsidRPr="00CB4762">
        <w:rPr>
          <w:rFonts w:ascii="Times New Roman" w:hAnsi="Times New Roman" w:cs="Times New Roman"/>
        </w:rPr>
        <w:lastRenderedPageBreak/>
        <w:t>Crino OL, Bonduriansky R, Martin LB, Noble DWA (2023) A conceptual framework for understanding stressinduced physiological and transgenerational effects on population responses to climate change. Evolution Letters</w:t>
      </w:r>
    </w:p>
    <w:p w14:paraId="71C31758" w14:textId="77777777" w:rsidR="00C11FC1" w:rsidRPr="00CB4762" w:rsidRDefault="00000000" w:rsidP="00CB4762">
      <w:pPr>
        <w:pStyle w:val="Bibliography"/>
        <w:spacing w:line="480" w:lineRule="auto"/>
        <w:rPr>
          <w:rFonts w:ascii="Times New Roman" w:hAnsi="Times New Roman" w:cs="Times New Roman"/>
        </w:rPr>
      </w:pPr>
      <w:bookmarkStart w:id="39" w:name="ref-crino_corticosterone_2014-learn"/>
      <w:bookmarkEnd w:id="38"/>
      <w:r w:rsidRPr="00CB4762">
        <w:rPr>
          <w:rFonts w:ascii="Times New Roman" w:hAnsi="Times New Roman" w:cs="Times New Roman"/>
        </w:rPr>
        <w:t xml:space="preserve">Crino OL, Driscoll SC, Ton R, Breuner CW (2014) Corticosterone exposure during development improves performance on a novel foraging task in zebra finches. Animal Behaviour 91:27–32. </w:t>
      </w:r>
      <w:hyperlink r:id="rId17">
        <w:r w:rsidRPr="00CB4762">
          <w:rPr>
            <w:rStyle w:val="Hyperlink"/>
            <w:rFonts w:ascii="Times New Roman" w:hAnsi="Times New Roman" w:cs="Times New Roman"/>
          </w:rPr>
          <w:t>https://doi.org/10.1016/j.anbehav.2014.02.017</w:t>
        </w:r>
      </w:hyperlink>
    </w:p>
    <w:p w14:paraId="646380C1" w14:textId="77777777" w:rsidR="00C11FC1" w:rsidRPr="00CB4762" w:rsidRDefault="00000000" w:rsidP="00CB4762">
      <w:pPr>
        <w:pStyle w:val="Bibliography"/>
        <w:spacing w:line="480" w:lineRule="auto"/>
        <w:rPr>
          <w:rFonts w:ascii="Times New Roman" w:hAnsi="Times New Roman" w:cs="Times New Roman"/>
        </w:rPr>
      </w:pPr>
      <w:bookmarkStart w:id="40" w:name="ref-crino2024eggs"/>
      <w:bookmarkEnd w:id="39"/>
      <w:r w:rsidRPr="00CB4762">
        <w:rPr>
          <w:rFonts w:ascii="Times New Roman" w:hAnsi="Times New Roman" w:cs="Times New Roman"/>
        </w:rPr>
        <w:t>Crino O, Wild KH, Friesen CR, et al (2024) From eggs to adulthood: Sustained effects of early developmental temperature and corticosterone exposure on physiology and body size in an australian lizard</w:t>
      </w:r>
    </w:p>
    <w:p w14:paraId="584F5AA2" w14:textId="77777777" w:rsidR="00C11FC1" w:rsidRPr="00CB4762" w:rsidRDefault="00000000" w:rsidP="00CB4762">
      <w:pPr>
        <w:pStyle w:val="Bibliography"/>
        <w:spacing w:line="480" w:lineRule="auto"/>
        <w:rPr>
          <w:rFonts w:ascii="Times New Roman" w:hAnsi="Times New Roman" w:cs="Times New Roman"/>
        </w:rPr>
      </w:pPr>
      <w:bookmarkStart w:id="41" w:name="ref-dayananda_incubation_2017"/>
      <w:bookmarkEnd w:id="40"/>
      <w:r w:rsidRPr="00CB4762">
        <w:rPr>
          <w:rFonts w:ascii="Times New Roman" w:hAnsi="Times New Roman" w:cs="Times New Roman"/>
        </w:rPr>
        <w:t xml:space="preserve">Dayananda B, Webb JK (2017) Incubation under climate warming affects learning ability and survival in hatchling lizards. Biology Letters 13:20170002. </w:t>
      </w:r>
      <w:hyperlink r:id="rId18">
        <w:r w:rsidRPr="00CB4762">
          <w:rPr>
            <w:rStyle w:val="Hyperlink"/>
            <w:rFonts w:ascii="Times New Roman" w:hAnsi="Times New Roman" w:cs="Times New Roman"/>
          </w:rPr>
          <w:t>https://doi.org/10.1098/rsbl.2017.0002</w:t>
        </w:r>
      </w:hyperlink>
    </w:p>
    <w:p w14:paraId="7754CF9E" w14:textId="77777777" w:rsidR="00C11FC1" w:rsidRPr="00CB4762" w:rsidRDefault="00000000" w:rsidP="00CB4762">
      <w:pPr>
        <w:pStyle w:val="Bibliography"/>
        <w:spacing w:line="480" w:lineRule="auto"/>
        <w:rPr>
          <w:rFonts w:ascii="Times New Roman" w:hAnsi="Times New Roman" w:cs="Times New Roman"/>
        </w:rPr>
      </w:pPr>
      <w:bookmarkStart w:id="42" w:name="ref-farrell_developmental_2015-learn"/>
      <w:bookmarkEnd w:id="41"/>
      <w:r w:rsidRPr="00CB4762">
        <w:rPr>
          <w:rFonts w:ascii="Times New Roman" w:hAnsi="Times New Roman" w:cs="Times New Roman"/>
        </w:rPr>
        <w:t xml:space="preserve">Farrell TM, Neuert MAC, Cui A, MacDougall-Shackleton SA (2015) Developmental stress impairs a female songbird’s behavioural and neural response to a sexually selected signal. Animal Behaviour 102:157–167. </w:t>
      </w:r>
      <w:hyperlink r:id="rId19">
        <w:r w:rsidRPr="00CB4762">
          <w:rPr>
            <w:rStyle w:val="Hyperlink"/>
            <w:rFonts w:ascii="Times New Roman" w:hAnsi="Times New Roman" w:cs="Times New Roman"/>
          </w:rPr>
          <w:t>https://doi.org/10.1016/j.anbehav.2015.01.018</w:t>
        </w:r>
      </w:hyperlink>
    </w:p>
    <w:p w14:paraId="0BADC747" w14:textId="77777777" w:rsidR="00C11FC1" w:rsidRPr="00CB4762" w:rsidRDefault="00000000" w:rsidP="00CB4762">
      <w:pPr>
        <w:pStyle w:val="Bibliography"/>
        <w:spacing w:line="480" w:lineRule="auto"/>
        <w:rPr>
          <w:rFonts w:ascii="Times New Roman" w:hAnsi="Times New Roman" w:cs="Times New Roman"/>
        </w:rPr>
      </w:pPr>
      <w:bookmarkStart w:id="43" w:name="ref-gazzola2018continuous"/>
      <w:bookmarkEnd w:id="42"/>
      <w:r w:rsidRPr="00CB4762">
        <w:rPr>
          <w:rFonts w:ascii="Times New Roman" w:hAnsi="Times New Roman" w:cs="Times New Roman"/>
        </w:rPr>
        <w:t>Gazzola A, Vallortigara G, Pellitteri-Rosa D (2018) Continuous and discrete quantity discrimination in tortoises. Biology letters 14:20180649</w:t>
      </w:r>
    </w:p>
    <w:p w14:paraId="24C2B168" w14:textId="77777777" w:rsidR="00C11FC1" w:rsidRPr="00CB4762" w:rsidRDefault="00000000" w:rsidP="00CB4762">
      <w:pPr>
        <w:pStyle w:val="Bibliography"/>
        <w:spacing w:line="480" w:lineRule="auto"/>
        <w:rPr>
          <w:rFonts w:ascii="Times New Roman" w:hAnsi="Times New Roman" w:cs="Times New Roman"/>
        </w:rPr>
      </w:pPr>
      <w:bookmarkStart w:id="44" w:name="ref-haq_prenatal_2021"/>
      <w:bookmarkEnd w:id="43"/>
      <w:r w:rsidRPr="00CB4762">
        <w:rPr>
          <w:rFonts w:ascii="Times New Roman" w:hAnsi="Times New Roman" w:cs="Times New Roman"/>
        </w:rPr>
        <w:t xml:space="preserve">Haq SU, Bhat UA, Kumar A (2021) Prenatal stress effects on offspring brain and behavior: Mediators, alterations and dysregulated epigenetic mechanisms. Journal of Biosciences 46:34. </w:t>
      </w:r>
      <w:hyperlink r:id="rId20">
        <w:r w:rsidRPr="00CB4762">
          <w:rPr>
            <w:rStyle w:val="Hyperlink"/>
            <w:rFonts w:ascii="Times New Roman" w:hAnsi="Times New Roman" w:cs="Times New Roman"/>
          </w:rPr>
          <w:t>https://doi.org/10.1007/s12038-021-00153-7</w:t>
        </w:r>
      </w:hyperlink>
    </w:p>
    <w:p w14:paraId="5C1CA89D" w14:textId="77777777" w:rsidR="00C11FC1" w:rsidRPr="00CB4762" w:rsidRDefault="00000000" w:rsidP="00CB4762">
      <w:pPr>
        <w:pStyle w:val="Bibliography"/>
        <w:spacing w:line="480" w:lineRule="auto"/>
        <w:rPr>
          <w:rFonts w:ascii="Times New Roman" w:hAnsi="Times New Roman" w:cs="Times New Roman"/>
        </w:rPr>
      </w:pPr>
      <w:bookmarkStart w:id="45" w:name="ref-hyde2011two"/>
      <w:bookmarkEnd w:id="44"/>
      <w:r w:rsidRPr="00CB4762">
        <w:rPr>
          <w:rFonts w:ascii="Times New Roman" w:hAnsi="Times New Roman" w:cs="Times New Roman"/>
        </w:rPr>
        <w:lastRenderedPageBreak/>
        <w:t>Hyde DC (2011) Two systems of non-symbolic numerical cognition. Frontiers in human neuroscience 5:150</w:t>
      </w:r>
    </w:p>
    <w:p w14:paraId="527D73F6" w14:textId="77777777" w:rsidR="00C11FC1" w:rsidRPr="00CB4762" w:rsidRDefault="00000000" w:rsidP="00CB4762">
      <w:pPr>
        <w:pStyle w:val="Bibliography"/>
        <w:spacing w:line="480" w:lineRule="auto"/>
        <w:rPr>
          <w:rFonts w:ascii="Times New Roman" w:hAnsi="Times New Roman" w:cs="Times New Roman"/>
        </w:rPr>
      </w:pPr>
      <w:bookmarkStart w:id="46" w:name="ref-joss1985reproductive"/>
      <w:bookmarkEnd w:id="45"/>
      <w:r w:rsidRPr="00CB4762">
        <w:rPr>
          <w:rFonts w:ascii="Times New Roman" w:hAnsi="Times New Roman" w:cs="Times New Roman"/>
        </w:rPr>
        <w:t>Joss J, Minard J (1985) On the reproductive cycles of lampropholis guichenoti and l. Delicata (squamata: Scincidae) in the sydney region. Australian Journal of Zoology 33:699–704</w:t>
      </w:r>
    </w:p>
    <w:p w14:paraId="31D697E8" w14:textId="77777777" w:rsidR="00C11FC1" w:rsidRPr="00CB4762" w:rsidRDefault="00000000" w:rsidP="00CB4762">
      <w:pPr>
        <w:pStyle w:val="Bibliography"/>
        <w:spacing w:line="480" w:lineRule="auto"/>
        <w:rPr>
          <w:rFonts w:ascii="Times New Roman" w:hAnsi="Times New Roman" w:cs="Times New Roman"/>
        </w:rPr>
      </w:pPr>
      <w:bookmarkStart w:id="47" w:name="ref-lin2024trained"/>
      <w:bookmarkEnd w:id="46"/>
      <w:r w:rsidRPr="00CB4762">
        <w:rPr>
          <w:rFonts w:ascii="Times New Roman" w:hAnsi="Times New Roman" w:cs="Times New Roman"/>
        </w:rPr>
        <w:t>Lin F-C, Shaner P-JL, Hsieh M-Y, et al (2024) Trained quantity discrimination in the invasive red-eared slider and a comparison with the native stripe-necked turtle. Animal Cognition 27:26</w:t>
      </w:r>
    </w:p>
    <w:p w14:paraId="108E7C92" w14:textId="77777777" w:rsidR="00C11FC1" w:rsidRPr="00CB4762" w:rsidRDefault="00000000" w:rsidP="00CB4762">
      <w:pPr>
        <w:pStyle w:val="Bibliography"/>
        <w:spacing w:line="480" w:lineRule="auto"/>
        <w:rPr>
          <w:rFonts w:ascii="Times New Roman" w:hAnsi="Times New Roman" w:cs="Times New Roman"/>
        </w:rPr>
      </w:pPr>
      <w:bookmarkStart w:id="48" w:name="ref-lin2021superior"/>
      <w:bookmarkEnd w:id="47"/>
      <w:r w:rsidRPr="00CB4762">
        <w:rPr>
          <w:rFonts w:ascii="Times New Roman" w:hAnsi="Times New Roman" w:cs="Times New Roman"/>
        </w:rPr>
        <w:t>Lin F-C, Whiting MJ, Hsieh M-Y, et al (2021) Superior continuous quantity discrimination in a freshwater turtle. Frontiers in Zoology 18:1–11</w:t>
      </w:r>
    </w:p>
    <w:p w14:paraId="454DA5FC" w14:textId="77777777" w:rsidR="00C11FC1" w:rsidRPr="00CB4762" w:rsidRDefault="00000000" w:rsidP="00CB4762">
      <w:pPr>
        <w:pStyle w:val="Bibliography"/>
        <w:spacing w:line="480" w:lineRule="auto"/>
        <w:rPr>
          <w:rFonts w:ascii="Times New Roman" w:hAnsi="Times New Roman" w:cs="Times New Roman"/>
        </w:rPr>
      </w:pPr>
      <w:bookmarkStart w:id="49" w:name="ref-lucon2017individual"/>
      <w:bookmarkEnd w:id="48"/>
      <w:r w:rsidRPr="00CB4762">
        <w:rPr>
          <w:rFonts w:ascii="Times New Roman" w:hAnsi="Times New Roman" w:cs="Times New Roman"/>
        </w:rPr>
        <w:t>Lucon-Xiccato T, Dadda M (2017) Individual guppies differ in quantity discrimination performance across antipredator and foraging contexts. Behavioral Ecology and Sociobiology 71:1–9</w:t>
      </w:r>
    </w:p>
    <w:p w14:paraId="4EE5902F" w14:textId="77777777" w:rsidR="00C11FC1" w:rsidRPr="00CB4762" w:rsidRDefault="00000000" w:rsidP="00CB4762">
      <w:pPr>
        <w:pStyle w:val="Bibliography"/>
        <w:spacing w:line="480" w:lineRule="auto"/>
        <w:rPr>
          <w:rFonts w:ascii="Times New Roman" w:hAnsi="Times New Roman" w:cs="Times New Roman"/>
        </w:rPr>
      </w:pPr>
      <w:bookmarkStart w:id="50" w:name="ref-lui2017chronic"/>
      <w:bookmarkEnd w:id="49"/>
      <w:r w:rsidRPr="00CB4762">
        <w:rPr>
          <w:rFonts w:ascii="Times New Roman" w:hAnsi="Times New Roman" w:cs="Times New Roman"/>
        </w:rPr>
        <w:t>Lui E, Salim M, Chahal M, et al (2017) Chronic corticosterone-induced impaired cognitive flexibility is not due to suppressed adult hippocampal neurogenesis. Behavioural brain research 332:90–98</w:t>
      </w:r>
    </w:p>
    <w:p w14:paraId="57D93A88" w14:textId="77777777" w:rsidR="00C11FC1" w:rsidRPr="00CB4762" w:rsidRDefault="00000000" w:rsidP="00CB4762">
      <w:pPr>
        <w:pStyle w:val="Bibliography"/>
        <w:spacing w:line="480" w:lineRule="auto"/>
        <w:rPr>
          <w:rFonts w:ascii="Times New Roman" w:hAnsi="Times New Roman" w:cs="Times New Roman"/>
        </w:rPr>
      </w:pPr>
      <w:bookmarkStart w:id="51" w:name="ref-mccomb1994roaring"/>
      <w:bookmarkEnd w:id="50"/>
      <w:r w:rsidRPr="00CB4762">
        <w:rPr>
          <w:rFonts w:ascii="Times New Roman" w:hAnsi="Times New Roman" w:cs="Times New Roman"/>
        </w:rPr>
        <w:t>McComb K, Packer C, Pusey A (1994) Roaring and numerical assessment in contests between groups of female lions, panthera leo. Animal Behaviour 47:379–387</w:t>
      </w:r>
    </w:p>
    <w:p w14:paraId="43A75CFB" w14:textId="77777777" w:rsidR="00C11FC1" w:rsidRPr="00CB4762" w:rsidRDefault="00000000" w:rsidP="00CB4762">
      <w:pPr>
        <w:pStyle w:val="Bibliography"/>
        <w:spacing w:line="480" w:lineRule="auto"/>
        <w:rPr>
          <w:rFonts w:ascii="Times New Roman" w:hAnsi="Times New Roman" w:cs="Times New Roman"/>
        </w:rPr>
      </w:pPr>
      <w:bookmarkStart w:id="52" w:name="ref-miletto2018quantity"/>
      <w:bookmarkEnd w:id="51"/>
      <w:r w:rsidRPr="00CB4762">
        <w:rPr>
          <w:rFonts w:ascii="Times New Roman" w:hAnsi="Times New Roman" w:cs="Times New Roman"/>
        </w:rPr>
        <w:t>Miletto Petrazzini ME, Bertolucci C, Foà A (2018) Quantity discrimination in trained lizards (podarcis sicula). Frontiers in psychology 9:274</w:t>
      </w:r>
    </w:p>
    <w:p w14:paraId="06A6E067" w14:textId="77777777" w:rsidR="00C11FC1" w:rsidRPr="00CB4762" w:rsidRDefault="00000000" w:rsidP="00CB4762">
      <w:pPr>
        <w:pStyle w:val="Bibliography"/>
        <w:spacing w:line="480" w:lineRule="auto"/>
        <w:rPr>
          <w:rFonts w:ascii="Times New Roman" w:hAnsi="Times New Roman" w:cs="Times New Roman"/>
        </w:rPr>
      </w:pPr>
      <w:bookmarkStart w:id="53" w:name="ref-miletto2017quantitative"/>
      <w:bookmarkEnd w:id="52"/>
      <w:r w:rsidRPr="00CB4762">
        <w:rPr>
          <w:rFonts w:ascii="Times New Roman" w:hAnsi="Times New Roman" w:cs="Times New Roman"/>
        </w:rPr>
        <w:t>Miletto Petrazzini ME, Fraccaroli I, Gariboldi F, et al (2017) Quantitative abilities in a reptile (podarcis sicula). Biology Letters 13:20160899</w:t>
      </w:r>
    </w:p>
    <w:p w14:paraId="4AFB9361" w14:textId="77777777" w:rsidR="00C11FC1" w:rsidRPr="00CB4762" w:rsidRDefault="00000000" w:rsidP="00CB4762">
      <w:pPr>
        <w:pStyle w:val="Bibliography"/>
        <w:spacing w:line="480" w:lineRule="auto"/>
        <w:rPr>
          <w:rFonts w:ascii="Times New Roman" w:hAnsi="Times New Roman" w:cs="Times New Roman"/>
        </w:rPr>
      </w:pPr>
      <w:bookmarkStart w:id="54" w:name="ref-nieder2018evolution"/>
      <w:bookmarkEnd w:id="53"/>
      <w:r w:rsidRPr="00CB4762">
        <w:rPr>
          <w:rFonts w:ascii="Times New Roman" w:hAnsi="Times New Roman" w:cs="Times New Roman"/>
        </w:rPr>
        <w:lastRenderedPageBreak/>
        <w:t>Nieder A (2018) Evolution of cognitive and neural solutions enabling numerosity judgements: Lessons from primates and corvids. Philosophical Transactions of the Royal Society B: Biological Sciences 373:20160514</w:t>
      </w:r>
    </w:p>
    <w:p w14:paraId="3051C06A" w14:textId="77777777" w:rsidR="00C11FC1" w:rsidRPr="00CB4762" w:rsidRDefault="00000000" w:rsidP="00CB4762">
      <w:pPr>
        <w:pStyle w:val="Bibliography"/>
        <w:spacing w:line="480" w:lineRule="auto"/>
        <w:rPr>
          <w:rFonts w:ascii="Times New Roman" w:hAnsi="Times New Roman" w:cs="Times New Roman"/>
        </w:rPr>
      </w:pPr>
      <w:bookmarkStart w:id="55" w:name="ref-nieder2005counting"/>
      <w:bookmarkEnd w:id="54"/>
      <w:r w:rsidRPr="00CB4762">
        <w:rPr>
          <w:rFonts w:ascii="Times New Roman" w:hAnsi="Times New Roman" w:cs="Times New Roman"/>
        </w:rPr>
        <w:t>Nieder A (2005) Counting on neurons: The neurobiology of numerical competence. Nature reviews neuroscience 6:177–190</w:t>
      </w:r>
    </w:p>
    <w:p w14:paraId="4B4F639F" w14:textId="77777777" w:rsidR="00C11FC1" w:rsidRPr="00CB4762" w:rsidRDefault="00000000" w:rsidP="00CB4762">
      <w:pPr>
        <w:pStyle w:val="Bibliography"/>
        <w:spacing w:line="480" w:lineRule="auto"/>
        <w:rPr>
          <w:rFonts w:ascii="Times New Roman" w:hAnsi="Times New Roman" w:cs="Times New Roman"/>
        </w:rPr>
      </w:pPr>
      <w:bookmarkStart w:id="56" w:name="ref-plotnik2019elephants"/>
      <w:bookmarkEnd w:id="55"/>
      <w:r w:rsidRPr="00CB4762">
        <w:rPr>
          <w:rFonts w:ascii="Times New Roman" w:hAnsi="Times New Roman" w:cs="Times New Roman"/>
        </w:rPr>
        <w:t>Plotnik JM, Brubaker DL, Dale R, et al (2019) Elephants have a nose for quantity. Proceedings of the National Academy of Sciences 116:12566–12571</w:t>
      </w:r>
    </w:p>
    <w:p w14:paraId="3FAD9EAF" w14:textId="77777777" w:rsidR="00C11FC1" w:rsidRPr="00CB4762" w:rsidRDefault="00000000" w:rsidP="00CB4762">
      <w:pPr>
        <w:pStyle w:val="Bibliography"/>
        <w:spacing w:line="480" w:lineRule="auto"/>
        <w:rPr>
          <w:rFonts w:ascii="Times New Roman" w:hAnsi="Times New Roman" w:cs="Times New Roman"/>
        </w:rPr>
      </w:pPr>
      <w:bookmarkStart w:id="57" w:name="ref-qualls2000post"/>
      <w:bookmarkEnd w:id="56"/>
      <w:r w:rsidRPr="00CB4762">
        <w:rPr>
          <w:rFonts w:ascii="Times New Roman" w:hAnsi="Times New Roman" w:cs="Times New Roman"/>
        </w:rPr>
        <w:t>Qualls FJ, Shine R (2000) Post-hatching environment contributes greatly to phenotypic variation between two populations of the australian garden skink, lampropholis guichenoti. Biological Journal of the Linnean Society 71:315–341</w:t>
      </w:r>
    </w:p>
    <w:p w14:paraId="02AD63D7" w14:textId="77777777" w:rsidR="00C11FC1" w:rsidRPr="00CB4762" w:rsidRDefault="00000000" w:rsidP="00CB4762">
      <w:pPr>
        <w:pStyle w:val="Bibliography"/>
        <w:spacing w:line="480" w:lineRule="auto"/>
        <w:rPr>
          <w:rFonts w:ascii="Times New Roman" w:hAnsi="Times New Roman" w:cs="Times New Roman"/>
        </w:rPr>
      </w:pPr>
      <w:bookmarkStart w:id="58" w:name="ref-R"/>
      <w:bookmarkEnd w:id="57"/>
      <w:r w:rsidRPr="00CB4762">
        <w:rPr>
          <w:rFonts w:ascii="Times New Roman" w:hAnsi="Times New Roman" w:cs="Times New Roman"/>
        </w:rPr>
        <w:t xml:space="preserve">R Core Team (2021) </w:t>
      </w:r>
      <w:hyperlink r:id="rId21">
        <w:r w:rsidRPr="00CB4762">
          <w:rPr>
            <w:rStyle w:val="Hyperlink"/>
            <w:rFonts w:ascii="Times New Roman" w:hAnsi="Times New Roman" w:cs="Times New Roman"/>
          </w:rPr>
          <w:t>R: A language and environment for statistical computing</w:t>
        </w:r>
      </w:hyperlink>
      <w:r w:rsidRPr="00CB4762">
        <w:rPr>
          <w:rFonts w:ascii="Times New Roman" w:hAnsi="Times New Roman" w:cs="Times New Roman"/>
        </w:rPr>
        <w:t>. R Foundation for Statistical Computing, Vienna, Austria</w:t>
      </w:r>
    </w:p>
    <w:p w14:paraId="50DBCE6D" w14:textId="77777777" w:rsidR="00C11FC1" w:rsidRPr="00CB4762" w:rsidRDefault="00000000" w:rsidP="00CB4762">
      <w:pPr>
        <w:pStyle w:val="Bibliography"/>
        <w:spacing w:line="480" w:lineRule="auto"/>
        <w:rPr>
          <w:rFonts w:ascii="Times New Roman" w:hAnsi="Times New Roman" w:cs="Times New Roman"/>
        </w:rPr>
      </w:pPr>
      <w:bookmarkStart w:id="59" w:name="ref-racic_effects_2020"/>
      <w:bookmarkEnd w:id="58"/>
      <w:r w:rsidRPr="00CB4762">
        <w:rPr>
          <w:rFonts w:ascii="Times New Roman" w:hAnsi="Times New Roman" w:cs="Times New Roman"/>
        </w:rPr>
        <w:t xml:space="preserve">Racic A, Tylan C, Langkilde T (2020) Effects of temperature on plasma corticosterone in a native lizard. Scientific Reports 10:16315. </w:t>
      </w:r>
      <w:hyperlink r:id="rId22">
        <w:r w:rsidRPr="00CB4762">
          <w:rPr>
            <w:rStyle w:val="Hyperlink"/>
            <w:rFonts w:ascii="Times New Roman" w:hAnsi="Times New Roman" w:cs="Times New Roman"/>
          </w:rPr>
          <w:t>https://doi.org/10.1038/s41598-020-73354-z</w:t>
        </w:r>
      </w:hyperlink>
    </w:p>
    <w:p w14:paraId="1B8B0298" w14:textId="77777777" w:rsidR="00C11FC1" w:rsidRPr="00CB4762" w:rsidRDefault="00000000" w:rsidP="00CB4762">
      <w:pPr>
        <w:pStyle w:val="Bibliography"/>
        <w:spacing w:line="480" w:lineRule="auto"/>
        <w:rPr>
          <w:rFonts w:ascii="Times New Roman" w:hAnsi="Times New Roman" w:cs="Times New Roman"/>
        </w:rPr>
      </w:pPr>
      <w:bookmarkStart w:id="60" w:name="ref-recio_prey_2021"/>
      <w:bookmarkEnd w:id="59"/>
      <w:r w:rsidRPr="00CB4762">
        <w:rPr>
          <w:rFonts w:ascii="Times New Roman" w:hAnsi="Times New Roman" w:cs="Times New Roman"/>
        </w:rPr>
        <w:t xml:space="preserve">Recio P, Rodrı́guez-Ruiz G, López P, Martı́n J (2021) Prey quantity discrimination and social experience affect foraging decisions of rock lizards. Behavioral Ecology and Sociobiology 75:33. </w:t>
      </w:r>
      <w:hyperlink r:id="rId23">
        <w:r w:rsidRPr="00CB4762">
          <w:rPr>
            <w:rStyle w:val="Hyperlink"/>
            <w:rFonts w:ascii="Times New Roman" w:hAnsi="Times New Roman" w:cs="Times New Roman"/>
          </w:rPr>
          <w:t>https://doi.org/10.1007/s00265-021-02979-5</w:t>
        </w:r>
      </w:hyperlink>
    </w:p>
    <w:p w14:paraId="3EEF4747" w14:textId="77777777" w:rsidR="00C11FC1" w:rsidRPr="00CB4762" w:rsidRDefault="00000000" w:rsidP="00CB4762">
      <w:pPr>
        <w:pStyle w:val="Bibliography"/>
        <w:spacing w:line="480" w:lineRule="auto"/>
        <w:rPr>
          <w:rFonts w:ascii="Times New Roman" w:hAnsi="Times New Roman" w:cs="Times New Roman"/>
        </w:rPr>
      </w:pPr>
      <w:bookmarkStart w:id="61" w:name="ref-sapolsky_how_2000"/>
      <w:bookmarkEnd w:id="60"/>
      <w:r w:rsidRPr="00CB4762">
        <w:rPr>
          <w:rFonts w:ascii="Times New Roman" w:hAnsi="Times New Roman" w:cs="Times New Roman"/>
        </w:rPr>
        <w:t>Sapolsky RM, Romero LM, Munck AU (2000) How Do Glucocorticoids Influence Stress Responses? Integrating Permissive, Suppressive, Stimulatory, and Preparative Actions. 21:</w:t>
      </w:r>
    </w:p>
    <w:p w14:paraId="7C8E4242" w14:textId="77777777" w:rsidR="00C11FC1" w:rsidRPr="00CB4762" w:rsidRDefault="00000000" w:rsidP="00CB4762">
      <w:pPr>
        <w:pStyle w:val="Bibliography"/>
        <w:spacing w:line="480" w:lineRule="auto"/>
        <w:rPr>
          <w:rFonts w:ascii="Times New Roman" w:hAnsi="Times New Roman" w:cs="Times New Roman"/>
        </w:rPr>
      </w:pPr>
      <w:bookmarkStart w:id="62" w:name="ref-siegel_2006"/>
      <w:bookmarkEnd w:id="61"/>
      <w:r w:rsidRPr="00CB4762">
        <w:rPr>
          <w:rFonts w:ascii="Times New Roman" w:hAnsi="Times New Roman" w:cs="Times New Roman"/>
        </w:rPr>
        <w:t>Siegel A G. J. (ed) (2006) Basic neurochemistry. Molecular, cellular and medical aspects. Elsevier Academic Press</w:t>
      </w:r>
    </w:p>
    <w:p w14:paraId="7890EB83" w14:textId="77777777" w:rsidR="00C11FC1" w:rsidRPr="00CB4762" w:rsidRDefault="00000000" w:rsidP="00CB4762">
      <w:pPr>
        <w:pStyle w:val="Bibliography"/>
        <w:spacing w:line="480" w:lineRule="auto"/>
        <w:rPr>
          <w:rFonts w:ascii="Times New Roman" w:hAnsi="Times New Roman" w:cs="Times New Roman"/>
        </w:rPr>
      </w:pPr>
      <w:bookmarkStart w:id="63" w:name="ref-soldati2017long"/>
      <w:bookmarkEnd w:id="62"/>
      <w:r w:rsidRPr="00CB4762">
        <w:rPr>
          <w:rFonts w:ascii="Times New Roman" w:hAnsi="Times New Roman" w:cs="Times New Roman"/>
        </w:rPr>
        <w:lastRenderedPageBreak/>
        <w:t>Soldati F, Burman OH, John EA, et al (2017) Long-term memory of relative reward values. Biology Letters 13:20160853</w:t>
      </w:r>
    </w:p>
    <w:p w14:paraId="6AA8056F" w14:textId="77777777" w:rsidR="00C11FC1" w:rsidRPr="00CB4762" w:rsidRDefault="00000000" w:rsidP="00CB4762">
      <w:pPr>
        <w:pStyle w:val="Bibliography"/>
        <w:spacing w:line="480" w:lineRule="auto"/>
        <w:rPr>
          <w:rFonts w:ascii="Times New Roman" w:hAnsi="Times New Roman" w:cs="Times New Roman"/>
        </w:rPr>
      </w:pPr>
      <w:bookmarkStart w:id="64" w:name="ref-stancher2015numerical"/>
      <w:bookmarkEnd w:id="63"/>
      <w:r w:rsidRPr="00CB4762">
        <w:rPr>
          <w:rFonts w:ascii="Times New Roman" w:hAnsi="Times New Roman" w:cs="Times New Roman"/>
        </w:rPr>
        <w:t>Stancher G, Rugani R, Regolin L, Vallortigara G (2015) Numerical discrimination by frogs (bombina orientalis). Animal Cognition 18:219–229</w:t>
      </w:r>
    </w:p>
    <w:p w14:paraId="4AE57579" w14:textId="77777777" w:rsidR="00C11FC1" w:rsidRPr="00CB4762" w:rsidRDefault="00000000" w:rsidP="00CB4762">
      <w:pPr>
        <w:pStyle w:val="Bibliography"/>
        <w:spacing w:line="480" w:lineRule="auto"/>
        <w:rPr>
          <w:rFonts w:ascii="Times New Roman" w:hAnsi="Times New Roman" w:cs="Times New Roman"/>
        </w:rPr>
      </w:pPr>
      <w:bookmarkStart w:id="65" w:name="ref-szabo_spontaneous_2021"/>
      <w:bookmarkEnd w:id="64"/>
      <w:r w:rsidRPr="00CB4762">
        <w:rPr>
          <w:rFonts w:ascii="Times New Roman" w:hAnsi="Times New Roman" w:cs="Times New Roman"/>
        </w:rPr>
        <w:t xml:space="preserve">Szabo B, Noble DWA, McCloghry KJ, et al (2021) Spontaneous quantity discrimination in a family-living lizard. Behavioral Ecology 32:686–694. </w:t>
      </w:r>
      <w:hyperlink r:id="rId24">
        <w:r w:rsidRPr="00CB4762">
          <w:rPr>
            <w:rStyle w:val="Hyperlink"/>
            <w:rFonts w:ascii="Times New Roman" w:hAnsi="Times New Roman" w:cs="Times New Roman"/>
          </w:rPr>
          <w:t>https://doi.org/10.1093/beheco/arab019</w:t>
        </w:r>
      </w:hyperlink>
    </w:p>
    <w:p w14:paraId="5FD8905A" w14:textId="77777777" w:rsidR="00C11FC1" w:rsidRPr="00CB4762" w:rsidRDefault="00000000" w:rsidP="00CB4762">
      <w:pPr>
        <w:pStyle w:val="Bibliography"/>
        <w:spacing w:line="480" w:lineRule="auto"/>
        <w:rPr>
          <w:rFonts w:ascii="Times New Roman" w:hAnsi="Times New Roman" w:cs="Times New Roman"/>
        </w:rPr>
      </w:pPr>
      <w:bookmarkStart w:id="66" w:name="ref-szuran_water_1994"/>
      <w:bookmarkEnd w:id="65"/>
      <w:r w:rsidRPr="00CB4762">
        <w:rPr>
          <w:rFonts w:ascii="Times New Roman" w:hAnsi="Times New Roman" w:cs="Times New Roman"/>
        </w:rPr>
        <w:t xml:space="preserve">Szuran T, Zimmermann E, Welzl H (1994) Water maze performance and hippocampal weight of prenatally stressed rats. Behavioural Brain Research 65:153–155. </w:t>
      </w:r>
      <w:hyperlink r:id="rId25">
        <w:r w:rsidRPr="00CB4762">
          <w:rPr>
            <w:rStyle w:val="Hyperlink"/>
            <w:rFonts w:ascii="Times New Roman" w:hAnsi="Times New Roman" w:cs="Times New Roman"/>
          </w:rPr>
          <w:t>https://doi.org/10.1016/0166-4328(94)90100-7</w:t>
        </w:r>
      </w:hyperlink>
    </w:p>
    <w:p w14:paraId="1226AE08" w14:textId="77777777" w:rsidR="00C11FC1" w:rsidRPr="00CB4762" w:rsidRDefault="00000000" w:rsidP="00CB4762">
      <w:pPr>
        <w:pStyle w:val="Bibliography"/>
        <w:spacing w:line="480" w:lineRule="auto"/>
        <w:rPr>
          <w:rFonts w:ascii="Times New Roman" w:hAnsi="Times New Roman" w:cs="Times New Roman"/>
        </w:rPr>
      </w:pPr>
      <w:bookmarkStart w:id="67" w:name="ref-tomonaga2023slowly"/>
      <w:bookmarkEnd w:id="66"/>
      <w:r w:rsidRPr="00CB4762">
        <w:rPr>
          <w:rFonts w:ascii="Times New Roman" w:hAnsi="Times New Roman" w:cs="Times New Roman"/>
        </w:rPr>
        <w:t>Tomonaga M, Haraguchi D, Wilkinson A (2023) Slowly walking down to the more food: Relative quantity discrimination in african spurred tortoises (centrochelys sulcata). Animal Cognition 26:1675–1683</w:t>
      </w:r>
    </w:p>
    <w:p w14:paraId="70EF1A82" w14:textId="77777777" w:rsidR="00C11FC1" w:rsidRPr="00CB4762" w:rsidRDefault="00000000" w:rsidP="00CB4762">
      <w:pPr>
        <w:pStyle w:val="Bibliography"/>
        <w:spacing w:line="480" w:lineRule="auto"/>
        <w:rPr>
          <w:rFonts w:ascii="Times New Roman" w:hAnsi="Times New Roman" w:cs="Times New Roman"/>
        </w:rPr>
      </w:pPr>
      <w:bookmarkStart w:id="68" w:name="ref-uller2003salamanders"/>
      <w:bookmarkEnd w:id="67"/>
      <w:r w:rsidRPr="00CB4762">
        <w:rPr>
          <w:rFonts w:ascii="Times New Roman" w:hAnsi="Times New Roman" w:cs="Times New Roman"/>
        </w:rPr>
        <w:t>Uller C, Jaeger R, Guidry G, Martin C (2003) Salamanders (plethodon cinereus) go for more: Rudiments of number in an amphibian. Animal cognition 6:105–112</w:t>
      </w:r>
    </w:p>
    <w:p w14:paraId="1FD8D082" w14:textId="77777777" w:rsidR="00C11FC1" w:rsidRPr="00CB4762" w:rsidRDefault="00000000" w:rsidP="00CB4762">
      <w:pPr>
        <w:pStyle w:val="Bibliography"/>
        <w:spacing w:line="480" w:lineRule="auto"/>
        <w:rPr>
          <w:rFonts w:ascii="Times New Roman" w:hAnsi="Times New Roman" w:cs="Times New Roman"/>
        </w:rPr>
      </w:pPr>
      <w:bookmarkStart w:id="69" w:name="ref-vila_pouca_quantity_2019"/>
      <w:bookmarkEnd w:id="68"/>
      <w:r w:rsidRPr="00CB4762">
        <w:rPr>
          <w:rFonts w:ascii="Times New Roman" w:hAnsi="Times New Roman" w:cs="Times New Roman"/>
        </w:rPr>
        <w:t xml:space="preserve">Vila Pouca C, Gervais C, Reed J, et al (2019) Quantity discrimination in Port Jackson sharks incubated under elevated temperatures. Behavioral Ecology and Sociobiology 73:93. </w:t>
      </w:r>
      <w:hyperlink r:id="rId26">
        <w:r w:rsidRPr="00CB4762">
          <w:rPr>
            <w:rStyle w:val="Hyperlink"/>
            <w:rFonts w:ascii="Times New Roman" w:hAnsi="Times New Roman" w:cs="Times New Roman"/>
          </w:rPr>
          <w:t>https://doi.org/10.1007/s00265-019-2706-8</w:t>
        </w:r>
      </w:hyperlink>
    </w:p>
    <w:p w14:paraId="5BC3D8A0" w14:textId="77777777" w:rsidR="00C11FC1" w:rsidRPr="00CB4762" w:rsidRDefault="00000000" w:rsidP="00CB4762">
      <w:pPr>
        <w:pStyle w:val="Bibliography"/>
        <w:spacing w:line="480" w:lineRule="auto"/>
        <w:rPr>
          <w:rFonts w:ascii="Times New Roman" w:hAnsi="Times New Roman" w:cs="Times New Roman"/>
        </w:rPr>
      </w:pPr>
      <w:bookmarkStart w:id="70" w:name="ref-vila_pouca_incubation_2018"/>
      <w:bookmarkEnd w:id="69"/>
      <w:r w:rsidRPr="00CB4762">
        <w:rPr>
          <w:rFonts w:ascii="Times New Roman" w:hAnsi="Times New Roman" w:cs="Times New Roman"/>
        </w:rPr>
        <w:t xml:space="preserve">Vila Pouca C, Gervais C, Reed J, Brown C (2018) Incubation under Climate Warming Affects Behavioral Lateralisation in Port Jackson Sharks. Symmetry 10:184. </w:t>
      </w:r>
      <w:hyperlink r:id="rId27">
        <w:r w:rsidRPr="00CB4762">
          <w:rPr>
            <w:rStyle w:val="Hyperlink"/>
            <w:rFonts w:ascii="Times New Roman" w:hAnsi="Times New Roman" w:cs="Times New Roman"/>
          </w:rPr>
          <w:t>https://doi.org/10.3390/sym10060184</w:t>
        </w:r>
      </w:hyperlink>
    </w:p>
    <w:p w14:paraId="035A6452" w14:textId="77777777" w:rsidR="00C11FC1" w:rsidRPr="00CB4762" w:rsidRDefault="00000000" w:rsidP="00CB4762">
      <w:pPr>
        <w:pStyle w:val="Bibliography"/>
        <w:spacing w:line="480" w:lineRule="auto"/>
        <w:rPr>
          <w:rFonts w:ascii="Times New Roman" w:hAnsi="Times New Roman" w:cs="Times New Roman"/>
        </w:rPr>
      </w:pPr>
      <w:bookmarkStart w:id="71" w:name="ref-vonk2012bears"/>
      <w:bookmarkEnd w:id="70"/>
      <w:r w:rsidRPr="00CB4762">
        <w:rPr>
          <w:rFonts w:ascii="Times New Roman" w:hAnsi="Times New Roman" w:cs="Times New Roman"/>
        </w:rPr>
        <w:lastRenderedPageBreak/>
        <w:t>Vonk J, Beran MJ (2012) Bears ‘count’too: Quantity estimation and comparison in black bears, ursus americanus. Animal behaviour 84:231–238</w:t>
      </w:r>
    </w:p>
    <w:p w14:paraId="3DC74A5F" w14:textId="77777777" w:rsidR="00C11FC1" w:rsidRPr="00CB4762" w:rsidRDefault="00000000" w:rsidP="00CB4762">
      <w:pPr>
        <w:pStyle w:val="Bibliography"/>
        <w:spacing w:line="480" w:lineRule="auto"/>
        <w:rPr>
          <w:rFonts w:ascii="Times New Roman" w:hAnsi="Times New Roman" w:cs="Times New Roman"/>
        </w:rPr>
      </w:pPr>
      <w:bookmarkStart w:id="72" w:name="ref-zhu_prenatal_2004"/>
      <w:bookmarkEnd w:id="71"/>
      <w:r w:rsidRPr="00CB4762">
        <w:rPr>
          <w:rFonts w:ascii="Times New Roman" w:hAnsi="Times New Roman" w:cs="Times New Roman"/>
        </w:rPr>
        <w:t xml:space="preserve">Zhu Z, Li X, Chen W, et al (2004) Prenatal stress causes gender-dependent neuronal loss and oxidative stress in rat hippocampus. Journal of Neuroscience Research 78:837–844. </w:t>
      </w:r>
      <w:hyperlink r:id="rId28">
        <w:r w:rsidRPr="00CB4762">
          <w:rPr>
            <w:rStyle w:val="Hyperlink"/>
            <w:rFonts w:ascii="Times New Roman" w:hAnsi="Times New Roman" w:cs="Times New Roman"/>
          </w:rPr>
          <w:t>https://doi.org/10.1002/jnr.20338</w:t>
        </w:r>
      </w:hyperlink>
    </w:p>
    <w:bookmarkEnd w:id="23"/>
    <w:bookmarkEnd w:id="72"/>
    <w:p w14:paraId="217CFB46" w14:textId="77777777" w:rsidR="00C11FC1" w:rsidRPr="00CB4762" w:rsidRDefault="00000000" w:rsidP="00CB4762">
      <w:pPr>
        <w:spacing w:line="480" w:lineRule="auto"/>
        <w:rPr>
          <w:rFonts w:ascii="Times New Roman" w:hAnsi="Times New Roman" w:cs="Times New Roman"/>
        </w:rPr>
      </w:pPr>
      <w:r w:rsidRPr="00CB4762">
        <w:rPr>
          <w:rFonts w:ascii="Times New Roman" w:hAnsi="Times New Roman" w:cs="Times New Roman"/>
        </w:rPr>
        <w:br w:type="page"/>
      </w:r>
    </w:p>
    <w:p w14:paraId="52C08153" w14:textId="77777777" w:rsidR="00C11FC1" w:rsidRPr="00CB4762" w:rsidRDefault="00000000" w:rsidP="00CB4762">
      <w:pPr>
        <w:pStyle w:val="Heading1"/>
        <w:spacing w:line="480" w:lineRule="auto"/>
        <w:rPr>
          <w:rFonts w:ascii="Times New Roman" w:hAnsi="Times New Roman" w:cs="Times New Roman"/>
        </w:rPr>
      </w:pPr>
      <w:bookmarkStart w:id="73" w:name="suplementary-material"/>
      <w:bookmarkEnd w:id="21"/>
      <w:r w:rsidRPr="00CB4762">
        <w:rPr>
          <w:rFonts w:ascii="Times New Roman" w:hAnsi="Times New Roman" w:cs="Times New Roman"/>
        </w:rPr>
        <w:lastRenderedPageBreak/>
        <w:t>Suplementary Material</w:t>
      </w:r>
    </w:p>
    <w:p w14:paraId="3E2E1F46" w14:textId="77777777" w:rsidR="00C11FC1" w:rsidRPr="00CB4762" w:rsidRDefault="00000000" w:rsidP="00CB4762">
      <w:pPr>
        <w:pStyle w:val="Heading4"/>
        <w:spacing w:line="480" w:lineRule="auto"/>
        <w:rPr>
          <w:rFonts w:ascii="Times New Roman" w:hAnsi="Times New Roman" w:cs="Times New Roman"/>
        </w:rPr>
      </w:pPr>
      <w:bookmarkStart w:id="74" w:name="model-results"/>
      <w:r w:rsidRPr="00CB4762">
        <w:rPr>
          <w:rFonts w:ascii="Times New Roman" w:hAnsi="Times New Roman" w:cs="Times New Roman"/>
        </w:rPr>
        <w:t>Model results</w:t>
      </w:r>
    </w:p>
    <w:p w14:paraId="0A729D45"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i/>
          <w:iCs/>
        </w:rPr>
        <w:t>Table S1.- Summary of the model fitted</w:t>
      </w:r>
    </w:p>
    <w:p w14:paraId="6A081590"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 xml:space="preserve">For </w:t>
      </w:r>
      <w:proofErr w:type="spellStart"/>
      <w:r w:rsidRPr="00CB4762">
        <w:rPr>
          <w:rFonts w:ascii="Times New Roman" w:hAnsi="Times New Roman" w:cs="Times New Roman"/>
        </w:rPr>
        <w:t>loglatency</w:t>
      </w:r>
      <w:proofErr w:type="spellEnd"/>
      <w:r w:rsidRPr="00CB4762">
        <w:rPr>
          <w:rFonts w:ascii="Times New Roman" w:hAnsi="Times New Roman" w:cs="Times New Roman"/>
        </w:rPr>
        <w:t xml:space="preserve"> (Latency)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19876EAC"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3029A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75" w:name="tbl-summary_lat"/>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BBAF0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7AAC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FE73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760F0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B8EE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1539F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5C6AC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783B4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135F989B"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D841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23F4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157B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DC1D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168A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9E1C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798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63D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DF5E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6871.87</w:t>
            </w:r>
          </w:p>
        </w:tc>
      </w:tr>
      <w:tr w:rsidR="00C11FC1" w:rsidRPr="00CB4762" w14:paraId="623BCC5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E252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562B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94D9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17EF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12BB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6DEB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B57E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89DC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89E4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8069.68</w:t>
            </w:r>
          </w:p>
        </w:tc>
      </w:tr>
      <w:tr w:rsidR="00C11FC1" w:rsidRPr="00CB4762" w14:paraId="3067608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518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0429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69A0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0DBC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C798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FCD4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3A37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3EC2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0DD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8779.16</w:t>
            </w:r>
          </w:p>
        </w:tc>
      </w:tr>
      <w:tr w:rsidR="00C11FC1" w:rsidRPr="00CB4762" w14:paraId="49B7895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FAF3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2322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A626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DBC4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6FE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A9E8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527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4ED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FE9C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8099.56</w:t>
            </w:r>
          </w:p>
        </w:tc>
      </w:tr>
      <w:tr w:rsidR="00C11FC1" w:rsidRPr="00CB4762" w14:paraId="4BB2ED68"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DEF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59A1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24B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5BB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44E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F78C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97E3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B59C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0B6D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8113.94</w:t>
            </w:r>
          </w:p>
        </w:tc>
      </w:tr>
      <w:tr w:rsidR="00C11FC1" w:rsidRPr="00CB4762" w14:paraId="6CCAA7BB"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9B6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8CF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2074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DC19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8FB1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6CDB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EF6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7DF1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6716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6468.22</w:t>
            </w:r>
          </w:p>
        </w:tc>
      </w:tr>
      <w:tr w:rsidR="00C11FC1" w:rsidRPr="00CB4762" w14:paraId="68E9D7B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1AD3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b_loglatency_cortContr</w:t>
            </w:r>
            <w:r w:rsidRPr="00CB4762">
              <w:rPr>
                <w:rFonts w:ascii="Times New Roman" w:eastAsia="Helvetica" w:hAnsi="Times New Roman" w:cs="Times New Roman"/>
                <w:color w:val="000000"/>
                <w:sz w:val="18"/>
                <w:szCs w:val="18"/>
              </w:rPr>
              <w:lastRenderedPageBreak/>
              <w:t>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E4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D5E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828A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924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7E6A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FF8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226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CB2F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6160.76</w:t>
            </w:r>
          </w:p>
        </w:tc>
      </w:tr>
      <w:tr w:rsidR="00C11FC1" w:rsidRPr="00CB4762" w14:paraId="7C737A4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4D3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0FB1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A58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23BD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F49C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3AF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FD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6FB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972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7259.40</w:t>
            </w:r>
          </w:p>
        </w:tc>
      </w:tr>
      <w:tr w:rsidR="00C11FC1" w:rsidRPr="00CB4762" w14:paraId="10951DB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7DDD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B94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09EB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E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A66A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0BE2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CB65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AFF8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A413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6844.75</w:t>
            </w:r>
          </w:p>
        </w:tc>
      </w:tr>
      <w:tr w:rsidR="00C11FC1" w:rsidRPr="00CB4762" w14:paraId="2CC38B9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1F8E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6A6B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56F9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638B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B787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828F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97CF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C617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388C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7514.61</w:t>
            </w:r>
          </w:p>
        </w:tc>
      </w:tr>
      <w:tr w:rsidR="00C11FC1" w:rsidRPr="00CB4762" w14:paraId="3CAB069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E1FE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9CB4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8937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E6EA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729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A15C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209A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7F78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0871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8115.85</w:t>
            </w:r>
          </w:p>
        </w:tc>
      </w:tr>
      <w:tr w:rsidR="00C11FC1" w:rsidRPr="00CB4762" w14:paraId="1B3FFAB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7F5F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4DAC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E56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2637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F3C9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4AE6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339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F14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545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7473.31</w:t>
            </w:r>
          </w:p>
        </w:tc>
      </w:tr>
      <w:tr w:rsidR="00C11FC1" w:rsidRPr="00CB4762" w14:paraId="5AFB458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1D65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7656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C59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DCE1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737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0EE9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CD74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B141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554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7570.16</w:t>
            </w:r>
          </w:p>
        </w:tc>
      </w:tr>
      <w:tr w:rsidR="00C11FC1" w:rsidRPr="00CB4762" w14:paraId="6AD28B7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86FF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B471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335C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2762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506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8133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5639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99C0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27C2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7715.18</w:t>
            </w:r>
          </w:p>
        </w:tc>
      </w:tr>
      <w:tr w:rsidR="00C11FC1" w:rsidRPr="00CB4762" w14:paraId="284F732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D01C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66A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08DA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60A1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F01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42A2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2D5F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83C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022B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8062.19</w:t>
            </w:r>
          </w:p>
        </w:tc>
      </w:tr>
      <w:tr w:rsidR="00C11FC1" w:rsidRPr="00CB4762" w14:paraId="4C8C2ED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2A33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C90A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74E4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30FB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17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10D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B30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BF9E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E750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7755.73</w:t>
            </w:r>
          </w:p>
        </w:tc>
      </w:tr>
      <w:tr w:rsidR="00C11FC1" w:rsidRPr="00CB4762" w14:paraId="48C69283"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ADE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8C75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5476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1F8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B303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6761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39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E770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8815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8063.37</w:t>
            </w:r>
          </w:p>
        </w:tc>
      </w:tr>
      <w:tr w:rsidR="00C11FC1" w:rsidRPr="00CB4762" w14:paraId="3DA50EF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F965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416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2018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94A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080C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BE9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4631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A916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99FD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5908.08</w:t>
            </w:r>
          </w:p>
        </w:tc>
      </w:tr>
      <w:tr w:rsidR="00C11FC1" w:rsidRPr="00CB4762" w14:paraId="3C1CE38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CAF4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C95C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9BC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5E7C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9396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C6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6DB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D19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AECD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7366.37</w:t>
            </w:r>
          </w:p>
        </w:tc>
      </w:tr>
      <w:tr w:rsidR="00C11FC1" w:rsidRPr="00CB4762" w14:paraId="3B649AD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1695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30A6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28BB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198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B9B1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F15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4A1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0FF6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29CC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7733.09</w:t>
            </w:r>
          </w:p>
        </w:tc>
      </w:tr>
      <w:tr w:rsidR="00C11FC1" w:rsidRPr="00CB4762" w14:paraId="44B0C97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5E8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w:t>
            </w:r>
            <w:r w:rsidRPr="00CB4762">
              <w:rPr>
                <w:rFonts w:ascii="Times New Roman" w:eastAsia="Helvetica" w:hAnsi="Times New Roman" w:cs="Times New Roman"/>
                <w:color w:val="000000"/>
                <w:sz w:val="18"/>
                <w:szCs w:val="18"/>
              </w:rPr>
              <w:lastRenderedPageBreak/>
              <w:t>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D01C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9241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9DA5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B56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E3D6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6A28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54C5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F5E4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8532.21</w:t>
            </w:r>
          </w:p>
        </w:tc>
      </w:tr>
      <w:tr w:rsidR="00C11FC1" w:rsidRPr="00CB4762" w14:paraId="79F88289"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DEE3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1883D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7342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E8ED5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7459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661AF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25061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66849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F909C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7726.59</w:t>
            </w:r>
          </w:p>
        </w:tc>
      </w:tr>
    </w:tbl>
    <w:p w14:paraId="4DB4B5FC" w14:textId="09C02628" w:rsidR="00C11FC1" w:rsidRPr="00CB4762" w:rsidRDefault="00C11FC1" w:rsidP="00CB4762">
      <w:pPr>
        <w:pStyle w:val="BodyText"/>
        <w:spacing w:line="480" w:lineRule="auto"/>
        <w:rPr>
          <w:rFonts w:ascii="Times New Roman" w:hAnsi="Times New Roman" w:cs="Times New Roman"/>
        </w:rPr>
      </w:pPr>
    </w:p>
    <w:bookmarkEnd w:id="75"/>
    <w:p w14:paraId="28B653E6"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50DFD1A9"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BD5FB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76" w:name="tbl-summary_choice"/>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0ED6E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578F3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1E4AC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28BD8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B546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10ED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4174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D638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55268AC2"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B334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A564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C997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8427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BDAE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994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80BB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574A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8B4A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6912.29</w:t>
            </w:r>
          </w:p>
        </w:tc>
      </w:tr>
      <w:tr w:rsidR="00C11FC1" w:rsidRPr="00CB4762" w14:paraId="0BCFA41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6217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FE9F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07B7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DFF2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2D42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203E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B5E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81CB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32C8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7093.98</w:t>
            </w:r>
          </w:p>
        </w:tc>
      </w:tr>
      <w:tr w:rsidR="00C11FC1" w:rsidRPr="00CB4762" w14:paraId="3A5A2B9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6BB8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60F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D399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796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A122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74DE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4EB7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00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D81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7514.81</w:t>
            </w:r>
          </w:p>
        </w:tc>
      </w:tr>
      <w:tr w:rsidR="00C11FC1" w:rsidRPr="00CB4762" w14:paraId="5C332B8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7515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9533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B786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692B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FA4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8863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2272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4D2F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38B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6926.45</w:t>
            </w:r>
          </w:p>
        </w:tc>
      </w:tr>
      <w:tr w:rsidR="00C11FC1" w:rsidRPr="00CB4762" w14:paraId="7D74711E"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AEDA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D192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AF16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C603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3658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C016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EC0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F96E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EED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7158.11</w:t>
            </w:r>
          </w:p>
        </w:tc>
      </w:tr>
      <w:tr w:rsidR="00C11FC1" w:rsidRPr="00CB4762" w14:paraId="7248D50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48E1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D2FA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EA6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9D7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46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61FC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CF25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9317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AAD5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6599.41</w:t>
            </w:r>
          </w:p>
        </w:tc>
      </w:tr>
      <w:tr w:rsidR="00C11FC1" w:rsidRPr="00CB4762" w14:paraId="2DE2829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108A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6588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BC6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ED6A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E45B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6923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536E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828B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EC46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6114.01</w:t>
            </w:r>
          </w:p>
        </w:tc>
      </w:tr>
      <w:tr w:rsidR="00C11FC1" w:rsidRPr="00CB4762" w14:paraId="64447EA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5B8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A625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B012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786A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4FCC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1FE7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E59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739C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FBF2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8697.98</w:t>
            </w:r>
          </w:p>
        </w:tc>
      </w:tr>
      <w:tr w:rsidR="00C11FC1" w:rsidRPr="00CB4762" w14:paraId="238B035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AA2F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5AE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D6DB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5CDC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56A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F3F7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1D3E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B167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B88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8820.47</w:t>
            </w:r>
          </w:p>
        </w:tc>
      </w:tr>
      <w:tr w:rsidR="00C11FC1" w:rsidRPr="00CB4762" w14:paraId="318018C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B9EE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B172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2E3F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1580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B96D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728F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AC08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7E09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0D9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6745.87</w:t>
            </w:r>
          </w:p>
        </w:tc>
      </w:tr>
      <w:tr w:rsidR="00C11FC1" w:rsidRPr="00CB4762" w14:paraId="757DF278"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29F0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A724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FF3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27AC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D50A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B01A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A993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B18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DB7B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7191.48</w:t>
            </w:r>
          </w:p>
        </w:tc>
      </w:tr>
      <w:tr w:rsidR="00C11FC1" w:rsidRPr="00CB4762" w14:paraId="0760EB0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BE39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8388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974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E29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E027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055C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7C4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4A3B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966F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6024.53</w:t>
            </w:r>
          </w:p>
        </w:tc>
      </w:tr>
      <w:tr w:rsidR="00C11FC1" w:rsidRPr="00CB4762" w14:paraId="38F7E54E"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438D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561C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4E8A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4FC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5373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4782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125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C79C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A5B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7185.57</w:t>
            </w:r>
          </w:p>
        </w:tc>
      </w:tr>
      <w:tr w:rsidR="00C11FC1" w:rsidRPr="00CB4762" w14:paraId="1475C59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AA3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w:t>
            </w:r>
            <w:r w:rsidRPr="00CB4762">
              <w:rPr>
                <w:rFonts w:ascii="Times New Roman" w:eastAsia="Helvetica" w:hAnsi="Times New Roman" w:cs="Times New Roman"/>
                <w:color w:val="000000"/>
                <w:sz w:val="18"/>
                <w:szCs w:val="18"/>
              </w:rPr>
              <w:lastRenderedPageBreak/>
              <w:t>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3DC4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540E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3DA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2180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138E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01C9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62C5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0E5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7818.41</w:t>
            </w:r>
          </w:p>
        </w:tc>
      </w:tr>
      <w:tr w:rsidR="00C11FC1" w:rsidRPr="00CB4762" w14:paraId="3FBC85D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76D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DE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40E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6032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4D6D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231B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959B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3E2C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0AF2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7672.85</w:t>
            </w:r>
          </w:p>
        </w:tc>
      </w:tr>
      <w:tr w:rsidR="00C11FC1" w:rsidRPr="00CB4762" w14:paraId="652EE20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6ADE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E80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48F0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0507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AE8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0D9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4DCB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4031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8570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8127.50</w:t>
            </w:r>
          </w:p>
        </w:tc>
      </w:tr>
      <w:tr w:rsidR="00C11FC1" w:rsidRPr="00CB4762" w14:paraId="217EDDF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51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AAF6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6F33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DF3D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0CEB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7C24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490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87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CA5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7388.95</w:t>
            </w:r>
          </w:p>
        </w:tc>
      </w:tr>
      <w:tr w:rsidR="00C11FC1" w:rsidRPr="00CB4762" w14:paraId="2A72D71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64AB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026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FE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0E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409B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6DB1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F36F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BFA5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EE0C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6418.88</w:t>
            </w:r>
          </w:p>
        </w:tc>
      </w:tr>
      <w:tr w:rsidR="00C11FC1" w:rsidRPr="00CB4762" w14:paraId="3169F4F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347A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1B7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BD8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8EF1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8410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3B24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B876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5DE3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BE55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7258.07</w:t>
            </w:r>
          </w:p>
        </w:tc>
      </w:tr>
      <w:tr w:rsidR="00C11FC1" w:rsidRPr="00CB4762" w14:paraId="76A2194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7E16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F0A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B1CA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786C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AECD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CDEC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C517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EFB4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ACEF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7213.76</w:t>
            </w:r>
          </w:p>
        </w:tc>
      </w:tr>
      <w:tr w:rsidR="00C11FC1" w:rsidRPr="00CB4762" w14:paraId="63398C3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123F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w:t>
            </w:r>
            <w:r w:rsidRPr="00CB4762">
              <w:rPr>
                <w:rFonts w:ascii="Times New Roman" w:eastAsia="Helvetica" w:hAnsi="Times New Roman" w:cs="Times New Roman"/>
                <w:color w:val="000000"/>
                <w:sz w:val="18"/>
                <w:szCs w:val="18"/>
              </w:rPr>
              <w:lastRenderedPageBreak/>
              <w:t>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EBEA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4344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56E9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F790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3F9C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1621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BF0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1E5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7011.19</w:t>
            </w:r>
          </w:p>
        </w:tc>
      </w:tr>
      <w:tr w:rsidR="00C11FC1" w:rsidRPr="00CB4762" w14:paraId="14E40875"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4C28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67260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BDAB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71E94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0F4A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3EDF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D9D9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C4C0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1522C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7038.46</w:t>
            </w:r>
          </w:p>
        </w:tc>
      </w:tr>
    </w:tbl>
    <w:p w14:paraId="0B253405" w14:textId="42E62320" w:rsidR="00C11FC1" w:rsidRPr="00CB4762" w:rsidRDefault="00C11FC1" w:rsidP="00CB4762">
      <w:pPr>
        <w:pStyle w:val="BodyText"/>
        <w:spacing w:line="480" w:lineRule="auto"/>
        <w:rPr>
          <w:rFonts w:ascii="Times New Roman" w:hAnsi="Times New Roman" w:cs="Times New Roman"/>
        </w:rPr>
      </w:pPr>
    </w:p>
    <w:bookmarkEnd w:id="76"/>
    <w:p w14:paraId="2D494A2E"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t>For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33027186"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FA08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77" w:name="tbl-summary_int"/>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F12E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74B49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0865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6F1CD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B1238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D460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63DBF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AB51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2E32420D"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9FBA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8AEB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40D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AD9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EEF0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4793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C250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6424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9A6D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6914.84</w:t>
            </w:r>
          </w:p>
        </w:tc>
      </w:tr>
      <w:tr w:rsidR="00C11FC1" w:rsidRPr="00CB4762" w14:paraId="753E12F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CAC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6818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32A6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550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E385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5895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215E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E6C2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C63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7251.20</w:t>
            </w:r>
          </w:p>
        </w:tc>
      </w:tr>
      <w:tr w:rsidR="00C11FC1" w:rsidRPr="00CB4762" w14:paraId="2800F4B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ADE1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7913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9E76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F5C1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DD4D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B5C8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97CC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416E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ED86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7144.03</w:t>
            </w:r>
          </w:p>
        </w:tc>
      </w:tr>
      <w:tr w:rsidR="00C11FC1" w:rsidRPr="00CB4762" w14:paraId="0AA959E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999C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w:t>
            </w:r>
            <w:r w:rsidRPr="00CB4762">
              <w:rPr>
                <w:rFonts w:ascii="Times New Roman" w:eastAsia="Helvetica" w:hAnsi="Times New Roman" w:cs="Times New Roman"/>
                <w:color w:val="000000"/>
                <w:sz w:val="18"/>
                <w:szCs w:val="18"/>
              </w:rPr>
              <w:lastRenderedPageBreak/>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E2E9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DCD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59A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E3D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531C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473F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AE1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E7C7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7655.14</w:t>
            </w:r>
          </w:p>
        </w:tc>
      </w:tr>
      <w:tr w:rsidR="00C11FC1" w:rsidRPr="00CB4762" w14:paraId="2E5D2A4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A3AF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3BD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79BF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720C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2630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D64A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BFA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A5AF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067D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7540.36</w:t>
            </w:r>
          </w:p>
        </w:tc>
      </w:tr>
      <w:tr w:rsidR="00C11FC1" w:rsidRPr="00CB4762" w14:paraId="07CB6F6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AD67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20DF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F615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92C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BDBA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6012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67E6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BCAF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77E7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6038.13</w:t>
            </w:r>
          </w:p>
        </w:tc>
      </w:tr>
      <w:tr w:rsidR="00C11FC1" w:rsidRPr="00CB4762" w14:paraId="6CA7F8C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8F0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8525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AC58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930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0B1C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10B4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9FFB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5C1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E7A5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5708.73</w:t>
            </w:r>
          </w:p>
        </w:tc>
      </w:tr>
      <w:tr w:rsidR="00C11FC1" w:rsidRPr="00CB4762" w14:paraId="7A6B76C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ED0E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81E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0DC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2EF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E73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2096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ED27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DCFB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766B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8664.01</w:t>
            </w:r>
          </w:p>
        </w:tc>
      </w:tr>
      <w:tr w:rsidR="00C11FC1" w:rsidRPr="00CB4762" w14:paraId="620D851B"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7BDE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C2CA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9697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0DF6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7BA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532E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E436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D63F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103D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9250.40</w:t>
            </w:r>
          </w:p>
        </w:tc>
      </w:tr>
      <w:tr w:rsidR="00C11FC1" w:rsidRPr="00CB4762" w14:paraId="5C283E1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83E9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024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DB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3325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EE35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28C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CCED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77CE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E596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6586.40</w:t>
            </w:r>
          </w:p>
        </w:tc>
      </w:tr>
      <w:tr w:rsidR="00C11FC1" w:rsidRPr="00CB4762" w14:paraId="665DC70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4219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8D6F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EEB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2B22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99F2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B168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BE27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C4D5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F04F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6529.68</w:t>
            </w:r>
          </w:p>
        </w:tc>
      </w:tr>
      <w:tr w:rsidR="00C11FC1" w:rsidRPr="00CB4762" w14:paraId="157FA0F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92ED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692A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59C8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31B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7732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9C1F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3D58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2CAD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B80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6855.33</w:t>
            </w:r>
          </w:p>
        </w:tc>
      </w:tr>
      <w:tr w:rsidR="00C11FC1" w:rsidRPr="00CB4762" w14:paraId="15330EDE"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DDA1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4D2C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763D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8AB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E778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B4E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CED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357A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6DFC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7554.35</w:t>
            </w:r>
          </w:p>
        </w:tc>
      </w:tr>
      <w:tr w:rsidR="00C11FC1" w:rsidRPr="00CB4762" w14:paraId="5ED3CB7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E08A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EDCB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711F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9A36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F4CE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5747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19E1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AE6A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1F6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7599.14</w:t>
            </w:r>
          </w:p>
        </w:tc>
      </w:tr>
      <w:tr w:rsidR="00C11FC1" w:rsidRPr="00CB4762" w14:paraId="790DE31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17E6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B1E0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6F2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BE2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CFD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0D4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B09A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F041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DDDA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6797.39</w:t>
            </w:r>
          </w:p>
        </w:tc>
      </w:tr>
      <w:tr w:rsidR="00C11FC1" w:rsidRPr="00CB4762" w14:paraId="78D3B10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E518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BB13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9814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0C6B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489D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7CBE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6208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C89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FEBB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6637.73</w:t>
            </w:r>
          </w:p>
        </w:tc>
      </w:tr>
      <w:tr w:rsidR="00C11FC1" w:rsidRPr="00CB4762" w14:paraId="2E5CAA2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B9E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b_comparedinterest_test_type3VS4:cortContr</w:t>
            </w:r>
            <w:r w:rsidRPr="00CB4762">
              <w:rPr>
                <w:rFonts w:ascii="Times New Roman" w:eastAsia="Helvetica" w:hAnsi="Times New Roman" w:cs="Times New Roman"/>
                <w:color w:val="000000"/>
                <w:sz w:val="18"/>
                <w:szCs w:val="18"/>
              </w:rPr>
              <w:lastRenderedPageBreak/>
              <w:t>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7CFA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6CAA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77D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9C4B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CDC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E838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59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559A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7533.53</w:t>
            </w:r>
          </w:p>
        </w:tc>
      </w:tr>
      <w:tr w:rsidR="00C11FC1" w:rsidRPr="00CB4762" w14:paraId="3CC5F3B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7FE7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92D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C1DF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7817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FD8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C2A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4A1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B7B3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300E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5960.45</w:t>
            </w:r>
          </w:p>
        </w:tc>
      </w:tr>
      <w:tr w:rsidR="00C11FC1" w:rsidRPr="00CB4762" w14:paraId="3DA3210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4430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C065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AE95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6132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B97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A819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885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15F2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D4A2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7070.71</w:t>
            </w:r>
          </w:p>
        </w:tc>
      </w:tr>
      <w:tr w:rsidR="00C11FC1" w:rsidRPr="00CB4762" w14:paraId="146CC7D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AF1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928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DB72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78F0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8080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86BE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413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F6D7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8291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6394.78</w:t>
            </w:r>
          </w:p>
        </w:tc>
      </w:tr>
      <w:tr w:rsidR="00C11FC1" w:rsidRPr="00CB4762" w14:paraId="0E1867E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B92A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684D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3C47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BDB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BC1D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81CF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BEA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7ACF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46F8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6636.15</w:t>
            </w:r>
          </w:p>
        </w:tc>
      </w:tr>
      <w:tr w:rsidR="00C11FC1" w:rsidRPr="00CB4762" w14:paraId="42ADDC69"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5740D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05BB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B57D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6B81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0248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69D1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58F3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F30CD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3F626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6562.71</w:t>
            </w:r>
          </w:p>
        </w:tc>
      </w:tr>
    </w:tbl>
    <w:p w14:paraId="22ED7253" w14:textId="51BCECCC" w:rsidR="00C11FC1" w:rsidRPr="00CB4762" w:rsidRDefault="00C11FC1" w:rsidP="00CB4762">
      <w:pPr>
        <w:pStyle w:val="BodyText"/>
        <w:spacing w:line="480" w:lineRule="auto"/>
        <w:rPr>
          <w:rFonts w:ascii="Times New Roman" w:hAnsi="Times New Roman" w:cs="Times New Roman"/>
        </w:rPr>
      </w:pPr>
    </w:p>
    <w:bookmarkEnd w:id="77"/>
    <w:p w14:paraId="0A47AD40"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rPr>
        <w:lastRenderedPageBreak/>
        <w:t>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C11FC1" w:rsidRPr="00CB4762" w14:paraId="17B89A77"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E349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78" w:name="tbl-summary_other"/>
            <w:r w:rsidRPr="00CB4762">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C42B2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B7FD6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809BB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3037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8BE5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7B5F8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0CC04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38E51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ess_tail</w:t>
            </w:r>
          </w:p>
        </w:tc>
      </w:tr>
      <w:tr w:rsidR="00C11FC1" w:rsidRPr="00CB4762" w14:paraId="079A4A89"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A804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sd_clutch__loglatency_Intercept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6F9D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C21E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D382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F90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1D1A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49F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2159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22C4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2313.13</w:t>
            </w:r>
          </w:p>
        </w:tc>
      </w:tr>
      <w:tr w:rsidR="00C11FC1" w:rsidRPr="00CB4762" w14:paraId="1A704968"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A24F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8DE3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2A1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4AB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12F2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A37B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763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97A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BC63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2777.99</w:t>
            </w:r>
          </w:p>
        </w:tc>
      </w:tr>
      <w:tr w:rsidR="00C11FC1" w:rsidRPr="00CB4762" w14:paraId="3F03EFB6"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CE6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422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1FF9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763F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4E0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5451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7BE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E2B0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4BAE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5803.67</w:t>
            </w:r>
          </w:p>
        </w:tc>
      </w:tr>
      <w:tr w:rsidR="00C11FC1" w:rsidRPr="00CB4762" w14:paraId="712DE325"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FFC4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sd_lizard_id__choice_Intercept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E2A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F7AA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23B8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28D7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A363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EE55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0790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775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3110.77</w:t>
            </w:r>
          </w:p>
        </w:tc>
      </w:tr>
      <w:tr w:rsidR="00C11FC1" w:rsidRPr="00CB4762" w14:paraId="3885F3C0"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ED4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F0A7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18E9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7E70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7163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D176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86E5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DCCD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8D1D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6333.93</w:t>
            </w:r>
          </w:p>
        </w:tc>
      </w:tr>
      <w:tr w:rsidR="00C11FC1" w:rsidRPr="00CB4762" w14:paraId="48D6012D"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4E8C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sd_lizard_id__comparedinterest_Intercept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25C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E134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CA6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3B6C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6C6F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B6B5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297C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510E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5748.30</w:t>
            </w:r>
          </w:p>
        </w:tc>
      </w:tr>
      <w:tr w:rsidR="00C11FC1" w:rsidRPr="00CB4762" w14:paraId="6449EFA1"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7E8F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1903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58BA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C70E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4D7F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EDEF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CDD0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86F4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285F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8861.89</w:t>
            </w:r>
          </w:p>
        </w:tc>
      </w:tr>
      <w:tr w:rsidR="00C11FC1" w:rsidRPr="00CB4762" w14:paraId="4D78ED8F"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AD5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sigma_com</w:t>
            </w:r>
            <w:r w:rsidRPr="00CB4762">
              <w:rPr>
                <w:rFonts w:ascii="Times New Roman" w:eastAsia="Helvetica" w:hAnsi="Times New Roman" w:cs="Times New Roman"/>
                <w:color w:val="000000"/>
                <w:sz w:val="18"/>
                <w:szCs w:val="18"/>
              </w:rPr>
              <w:lastRenderedPageBreak/>
              <w:t>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773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lastRenderedPageBreak/>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10A2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E63E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CC0C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BB2C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5A5F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D381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CD29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8383.11</w:t>
            </w:r>
          </w:p>
        </w:tc>
      </w:tr>
      <w:tr w:rsidR="00C11FC1" w:rsidRPr="00CB4762" w14:paraId="2D144D03"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E720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9194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CD05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FE4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6F8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26E6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18FC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5878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D35C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9738.65</w:t>
            </w:r>
          </w:p>
        </w:tc>
      </w:tr>
      <w:tr w:rsidR="00C11FC1" w:rsidRPr="00CB4762" w14:paraId="5B8A2EEA"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DB376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8F49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FCD32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C2CE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419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9D4D5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CCC8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06E8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0C1B9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CB4762">
              <w:rPr>
                <w:rFonts w:ascii="Times New Roman" w:eastAsia="Helvetica" w:hAnsi="Times New Roman" w:cs="Times New Roman"/>
                <w:color w:val="000000"/>
                <w:sz w:val="18"/>
                <w:szCs w:val="18"/>
              </w:rPr>
              <w:t>5974.94</w:t>
            </w:r>
          </w:p>
        </w:tc>
      </w:tr>
    </w:tbl>
    <w:p w14:paraId="5F36AB69" w14:textId="682B8250" w:rsidR="00C11FC1" w:rsidRPr="00CB4762" w:rsidRDefault="00C11FC1" w:rsidP="00CB4762">
      <w:pPr>
        <w:pStyle w:val="BodyText"/>
        <w:spacing w:line="480" w:lineRule="auto"/>
        <w:rPr>
          <w:rFonts w:ascii="Times New Roman" w:hAnsi="Times New Roman" w:cs="Times New Roman"/>
        </w:rPr>
      </w:pPr>
    </w:p>
    <w:bookmarkEnd w:id="78"/>
    <w:p w14:paraId="4F5AC445" w14:textId="77777777" w:rsidR="00C11FC1" w:rsidRPr="00CB4762" w:rsidRDefault="00000000" w:rsidP="00CB4762">
      <w:pPr>
        <w:spacing w:line="480" w:lineRule="auto"/>
        <w:rPr>
          <w:rFonts w:ascii="Times New Roman" w:hAnsi="Times New Roman" w:cs="Times New Roman"/>
        </w:rPr>
      </w:pPr>
      <w:r w:rsidRPr="00CB4762">
        <w:rPr>
          <w:rFonts w:ascii="Times New Roman" w:hAnsi="Times New Roman" w:cs="Times New Roman"/>
        </w:rPr>
        <w:br w:type="page"/>
      </w:r>
    </w:p>
    <w:p w14:paraId="68285ED6" w14:textId="77777777" w:rsidR="00C11FC1" w:rsidRPr="00CB4762" w:rsidRDefault="00000000" w:rsidP="00CB4762">
      <w:pPr>
        <w:pStyle w:val="Heading4"/>
        <w:spacing w:line="480" w:lineRule="auto"/>
        <w:rPr>
          <w:rFonts w:ascii="Times New Roman" w:hAnsi="Times New Roman" w:cs="Times New Roman"/>
        </w:rPr>
      </w:pPr>
      <w:bookmarkStart w:id="79" w:name="treatments-effects"/>
      <w:bookmarkEnd w:id="74"/>
      <w:r w:rsidRPr="00CB4762">
        <w:rPr>
          <w:rFonts w:ascii="Times New Roman" w:hAnsi="Times New Roman" w:cs="Times New Roman"/>
        </w:rPr>
        <w:lastRenderedPageBreak/>
        <w:t>Treatments effects</w:t>
      </w:r>
    </w:p>
    <w:p w14:paraId="6FCB146D"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i/>
          <w:iCs/>
        </w:rPr>
        <w:t>Table S2.- Estimated mean probability of choosing first the higher amount (Choice) and the mean interest for the higher amount of food (Interest) per treatment group for each of the numerical tests performed. p indicates the p</w:t>
      </w:r>
      <w:r w:rsidRPr="00CB4762">
        <w:rPr>
          <w:rFonts w:ascii="Times New Roman" w:hAnsi="Times New Roman" w:cs="Times New Roman"/>
          <w:i/>
          <w:iCs/>
          <w:vertAlign w:val="subscript"/>
        </w:rPr>
        <w:t>mcmcm</w:t>
      </w:r>
      <w:r w:rsidRPr="00CB4762">
        <w:rPr>
          <w:rFonts w:ascii="Times New Roman" w:hAnsi="Times New Roman" w:cs="Times New Roman"/>
          <w:i/>
          <w:iCs/>
        </w:rPr>
        <w:t xml:space="preserve"> value (p) of testing the hypothesis Choice ≠ 0.5, and Interest ≠ 0, which would indicate a preference towards one of choices (&gt; towards higher amounts, &lt; towards lower amounts) of the contrasts. In bold, the groups where p</w:t>
      </w:r>
      <w:r w:rsidRPr="00CB4762">
        <w:rPr>
          <w:rFonts w:ascii="Times New Roman" w:hAnsi="Times New Roman" w:cs="Times New Roman"/>
          <w:i/>
          <w:iCs/>
          <w:vertAlign w:val="subscript"/>
        </w:rPr>
        <w:t>mcmcm</w:t>
      </w:r>
      <w:r w:rsidRPr="00CB4762">
        <w:rPr>
          <w:rFonts w:ascii="Times New Roman" w:hAnsi="Times New Roman" w:cs="Times New Roman"/>
          <w:i/>
          <w:iCs/>
        </w:rPr>
        <w:t xml:space="preserve"> &lt; 0.05</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C11FC1" w:rsidRPr="00CB4762" w14:paraId="7BD944B4"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B8DE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80" w:name="tbl-disc"/>
            <w:r w:rsidRPr="00CB4762">
              <w:rPr>
                <w:rFonts w:ascii="Times New Roman" w:eastAsia="Helvetica" w:hAnsi="Times New Roman" w:cs="Times New Roman"/>
                <w:color w:val="000000"/>
                <w:sz w:val="18"/>
                <w:szCs w:val="18"/>
              </w:rPr>
              <w:t>Test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DF13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3E33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A30945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4B8966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6E55A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w:t>
            </w:r>
          </w:p>
        </w:tc>
      </w:tr>
      <w:tr w:rsidR="00C11FC1" w:rsidRPr="00CB4762" w14:paraId="2A0D3268" w14:textId="77777777" w:rsidTr="00C11FC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A77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DBC9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8060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CD18D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0.22</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3E83B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8.41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0B3C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0.67</w:t>
            </w:r>
          </w:p>
        </w:tc>
      </w:tr>
      <w:tr w:rsidR="00C11FC1" w:rsidRPr="00CB4762" w14:paraId="3D6B4D3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8F34"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9AC6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80EE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270E78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6EC24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07D1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0.89</w:t>
            </w:r>
          </w:p>
        </w:tc>
      </w:tr>
      <w:tr w:rsidR="00C11FC1" w:rsidRPr="00CB4762" w14:paraId="30F95122"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4457"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9AE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9FC2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5AA65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ACAA3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639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0.52</w:t>
            </w:r>
          </w:p>
        </w:tc>
      </w:tr>
      <w:tr w:rsidR="00C11FC1" w:rsidRPr="00CB4762" w14:paraId="3CFFB7C7"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AA49AF"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D9B19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7EC0B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5B4755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70749C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-4.73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A70F3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0.81</w:t>
            </w:r>
          </w:p>
        </w:tc>
      </w:tr>
      <w:tr w:rsidR="00C11FC1" w:rsidRPr="00CB4762" w14:paraId="298F68A7"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A1E7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A40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7654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5437B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EB58A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-19.40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4D65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0.34</w:t>
            </w:r>
          </w:p>
        </w:tc>
      </w:tr>
      <w:tr w:rsidR="00C11FC1" w:rsidRPr="00CB4762" w14:paraId="4B355633"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E8630"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ED02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3630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DA994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36DFD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5BA3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0.89</w:t>
            </w:r>
          </w:p>
        </w:tc>
      </w:tr>
      <w:tr w:rsidR="00C11FC1" w:rsidRPr="00CB4762" w14:paraId="627DD39A"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8BF5D"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22EA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4644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0.79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D8E18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51903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30.95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5D44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0.11</w:t>
            </w:r>
          </w:p>
        </w:tc>
      </w:tr>
      <w:tr w:rsidR="00C11FC1" w:rsidRPr="00CB4762" w14:paraId="3139C792"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2BA80B"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DA737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8C119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08BAFA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9DDDBA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-8.36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3F7A0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0.68</w:t>
            </w:r>
          </w:p>
        </w:tc>
      </w:tr>
      <w:tr w:rsidR="00C11FC1" w:rsidRPr="00CB4762" w14:paraId="410BE37F"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A022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0A0E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8990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A276D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0.98</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B691F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12.70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990F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0.54</w:t>
            </w:r>
          </w:p>
        </w:tc>
      </w:tr>
      <w:tr w:rsidR="00C11FC1" w:rsidRPr="00CB4762" w14:paraId="2FD3309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351B6"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D0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DDBC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84F33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72D52E"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8FD8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0.86</w:t>
            </w:r>
          </w:p>
        </w:tc>
      </w:tr>
      <w:tr w:rsidR="00C11FC1" w:rsidRPr="00CB4762" w14:paraId="564DAF4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CACB8"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B017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3588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98961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C23EF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-9.94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6E21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0.62</w:t>
            </w:r>
          </w:p>
        </w:tc>
      </w:tr>
      <w:tr w:rsidR="00C11FC1" w:rsidRPr="00CB4762" w14:paraId="5CC173EE"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4A25E9"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9D43C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3EAF0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BCD18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0.72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62BFDC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8.36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B28C6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0.68</w:t>
            </w:r>
          </w:p>
        </w:tc>
      </w:tr>
      <w:tr w:rsidR="00C11FC1" w:rsidRPr="00CB4762" w14:paraId="66B0D7C3"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95ED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8E45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D470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09EA4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6E45E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-9.69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255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0.63</w:t>
            </w:r>
          </w:p>
        </w:tc>
      </w:tr>
      <w:tr w:rsidR="00C11FC1" w:rsidRPr="00CB4762" w14:paraId="14A748B7"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24249"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5BA5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A06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0.75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DC37C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53F63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27.75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9E65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0.15</w:t>
            </w:r>
          </w:p>
        </w:tc>
      </w:tr>
      <w:tr w:rsidR="00C11FC1" w:rsidRPr="00CB4762" w14:paraId="468831B4"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D6088"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D294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4996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2CCDE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0.70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E391B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383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0.86</w:t>
            </w:r>
          </w:p>
        </w:tc>
      </w:tr>
      <w:tr w:rsidR="00C11FC1" w:rsidRPr="00CB4762" w14:paraId="03953C4B" w14:textId="77777777" w:rsidTr="00C11FC1">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E7A82C"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2B89C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51A9C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BEB154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0.36</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49B2FE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-29.27</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89DAA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0.14</w:t>
            </w:r>
          </w:p>
        </w:tc>
      </w:tr>
      <w:tr w:rsidR="00C11FC1" w:rsidRPr="00CB4762" w14:paraId="3FE59CEB" w14:textId="77777777" w:rsidTr="00C11FC1">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6A8A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798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3746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467CE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3159D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-30.28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07D5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0.14</w:t>
            </w:r>
          </w:p>
        </w:tc>
      </w:tr>
      <w:tr w:rsidR="00C11FC1" w:rsidRPr="00CB4762" w14:paraId="3D1A182C"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1B830"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FAF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F439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51201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48241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22.03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C454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0.25</w:t>
            </w:r>
          </w:p>
        </w:tc>
      </w:tr>
      <w:tr w:rsidR="00C11FC1" w:rsidRPr="00CB4762" w14:paraId="459F3F79" w14:textId="77777777" w:rsidTr="00C11FC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1AFD"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E2EE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B443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53DCA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0.30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44A5C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84BC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0.51</w:t>
            </w:r>
          </w:p>
        </w:tc>
      </w:tr>
      <w:tr w:rsidR="00C11FC1" w:rsidRPr="00CB4762" w14:paraId="32C7E6AA" w14:textId="77777777" w:rsidTr="00C11FC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52D150"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34A10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13A2B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356911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0.14</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B08D8D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14.28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313B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0.48</w:t>
            </w:r>
          </w:p>
        </w:tc>
      </w:tr>
    </w:tbl>
    <w:p w14:paraId="39E8CE6A" w14:textId="59AEDC6D" w:rsidR="00C11FC1" w:rsidRPr="00CB4762" w:rsidRDefault="00C11FC1" w:rsidP="00CB4762">
      <w:pPr>
        <w:pStyle w:val="BodyText"/>
        <w:spacing w:line="480" w:lineRule="auto"/>
        <w:rPr>
          <w:rFonts w:ascii="Times New Roman" w:hAnsi="Times New Roman" w:cs="Times New Roman"/>
        </w:rPr>
      </w:pPr>
    </w:p>
    <w:bookmarkEnd w:id="80"/>
    <w:p w14:paraId="33439D5D" w14:textId="77777777" w:rsidR="00C11FC1" w:rsidRPr="00CB4762" w:rsidRDefault="00000000" w:rsidP="00CB4762">
      <w:pPr>
        <w:spacing w:line="480" w:lineRule="auto"/>
        <w:rPr>
          <w:rFonts w:ascii="Times New Roman" w:hAnsi="Times New Roman" w:cs="Times New Roman"/>
        </w:rPr>
      </w:pPr>
      <w:r w:rsidRPr="00CB4762">
        <w:rPr>
          <w:rFonts w:ascii="Times New Roman" w:hAnsi="Times New Roman" w:cs="Times New Roman"/>
        </w:rPr>
        <w:br w:type="page"/>
      </w:r>
    </w:p>
    <w:p w14:paraId="43F8BEFE" w14:textId="77777777" w:rsidR="00C11FC1" w:rsidRPr="00CB4762" w:rsidRDefault="00000000" w:rsidP="00CB4762">
      <w:pPr>
        <w:pStyle w:val="Heading4"/>
        <w:spacing w:line="480" w:lineRule="auto"/>
        <w:rPr>
          <w:rFonts w:ascii="Times New Roman" w:hAnsi="Times New Roman" w:cs="Times New Roman"/>
        </w:rPr>
      </w:pPr>
      <w:bookmarkStart w:id="81" w:name="testing-potential-side-biases"/>
      <w:bookmarkEnd w:id="79"/>
      <w:r w:rsidRPr="00CB4762">
        <w:rPr>
          <w:rFonts w:ascii="Times New Roman" w:hAnsi="Times New Roman" w:cs="Times New Roman"/>
        </w:rPr>
        <w:lastRenderedPageBreak/>
        <w:t>Testing potential side biases</w:t>
      </w:r>
    </w:p>
    <w:p w14:paraId="38C3F7AE"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i/>
          <w:iCs/>
        </w:rPr>
        <w:t>Table S3.- Number of individuals per treatment that chose the right (R) or left (L) side in each of the numerical tests. p-value indicates the result of the binomial test comparing the number of choices between sides. In bold, the groups where p-value &lt; 0.05</w:t>
      </w:r>
    </w:p>
    <w:tbl>
      <w:tblPr>
        <w:tblStyle w:val="Table"/>
        <w:tblW w:w="4500" w:type="pct"/>
        <w:jc w:val="center"/>
        <w:tblLook w:val="0420" w:firstRow="1" w:lastRow="0" w:firstColumn="0" w:lastColumn="0" w:noHBand="0" w:noVBand="1"/>
      </w:tblPr>
      <w:tblGrid>
        <w:gridCol w:w="1427"/>
        <w:gridCol w:w="1417"/>
        <w:gridCol w:w="1417"/>
        <w:gridCol w:w="1417"/>
        <w:gridCol w:w="1329"/>
        <w:gridCol w:w="1417"/>
      </w:tblGrid>
      <w:tr w:rsidR="00C11FC1" w:rsidRPr="00CB4762" w14:paraId="49CB0C05"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01AD25"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82"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5C439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A38A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7BF9A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24F16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4DDAA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3 VS 4</w:t>
            </w:r>
          </w:p>
        </w:tc>
      </w:tr>
      <w:tr w:rsidR="00C11FC1" w:rsidRPr="00CB4762" w14:paraId="38212A14" w14:textId="77777777" w:rsidTr="00C11FC1">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8E83F"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76D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66B5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1339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4DDC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DF94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r>
      <w:tr w:rsidR="00C11FC1" w:rsidRPr="00CB4762" w14:paraId="6274C529"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822D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CBF2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E5EE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AFFE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75DA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01C9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r>
      <w:tr w:rsidR="00C11FC1" w:rsidRPr="00CB4762" w14:paraId="08B89578"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C919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ACDB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38AC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BF5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F5369"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9EB7"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r>
      <w:tr w:rsidR="00C11FC1" w:rsidRPr="00CB4762" w14:paraId="6B969895" w14:textId="77777777" w:rsidTr="00C11FC1">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4ADEE8"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563A9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131B5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0D641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5FE7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F8D2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R = 11 | L = 9 , p = 0.82</w:t>
            </w:r>
          </w:p>
        </w:tc>
      </w:tr>
    </w:tbl>
    <w:p w14:paraId="0B688BA9" w14:textId="244B197E" w:rsidR="00C11FC1" w:rsidRPr="00CB4762" w:rsidRDefault="00C11FC1" w:rsidP="00CB4762">
      <w:pPr>
        <w:pStyle w:val="BodyText"/>
        <w:spacing w:line="480" w:lineRule="auto"/>
        <w:rPr>
          <w:rFonts w:ascii="Times New Roman" w:hAnsi="Times New Roman" w:cs="Times New Roman"/>
        </w:rPr>
      </w:pPr>
    </w:p>
    <w:bookmarkEnd w:id="82"/>
    <w:p w14:paraId="44C28BB7" w14:textId="77777777" w:rsidR="00C11FC1" w:rsidRPr="00CB4762" w:rsidRDefault="00000000" w:rsidP="00CB4762">
      <w:pPr>
        <w:spacing w:line="480" w:lineRule="auto"/>
        <w:rPr>
          <w:rFonts w:ascii="Times New Roman" w:hAnsi="Times New Roman" w:cs="Times New Roman"/>
        </w:rPr>
      </w:pPr>
      <w:r w:rsidRPr="00CB4762">
        <w:rPr>
          <w:rFonts w:ascii="Times New Roman" w:hAnsi="Times New Roman" w:cs="Times New Roman"/>
        </w:rPr>
        <w:br w:type="page"/>
      </w:r>
    </w:p>
    <w:p w14:paraId="7676C398" w14:textId="77777777" w:rsidR="00C11FC1" w:rsidRPr="00CB4762" w:rsidRDefault="00000000" w:rsidP="00CB4762">
      <w:pPr>
        <w:pStyle w:val="Heading4"/>
        <w:spacing w:line="480" w:lineRule="auto"/>
        <w:rPr>
          <w:rFonts w:ascii="Times New Roman" w:hAnsi="Times New Roman" w:cs="Times New Roman"/>
        </w:rPr>
      </w:pPr>
      <w:bookmarkStart w:id="83" w:name="prey-orientation-test"/>
      <w:bookmarkEnd w:id="81"/>
      <w:r w:rsidRPr="00CB4762">
        <w:rPr>
          <w:rFonts w:ascii="Times New Roman" w:hAnsi="Times New Roman" w:cs="Times New Roman"/>
        </w:rPr>
        <w:lastRenderedPageBreak/>
        <w:t>Prey orientation test</w:t>
      </w:r>
    </w:p>
    <w:p w14:paraId="453A8F6F" w14:textId="77777777" w:rsidR="00C11FC1" w:rsidRPr="00CB4762" w:rsidRDefault="00000000" w:rsidP="00CB4762">
      <w:pPr>
        <w:pStyle w:val="FirstParagraph"/>
        <w:spacing w:line="480" w:lineRule="auto"/>
        <w:rPr>
          <w:rFonts w:ascii="Times New Roman" w:hAnsi="Times New Roman" w:cs="Times New Roman"/>
        </w:rPr>
      </w:pPr>
      <w:r w:rsidRPr="00CB4762">
        <w:rPr>
          <w:rFonts w:ascii="Times New Roman" w:hAnsi="Times New Roman" w:cs="Times New Roman"/>
        </w:rPr>
        <w:t xml:space="preserve">Because we were concerned that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 </w:t>
      </w:r>
      <w:hyperlink w:anchor="fig-Methods">
        <w:r w:rsidRPr="00CB4762">
          <w:rPr>
            <w:rStyle w:val="Hyperlink"/>
            <w:rFonts w:ascii="Times New Roman" w:hAnsi="Times New Roman" w:cs="Times New Roman"/>
          </w:rPr>
          <w:t>Fig. 1</w:t>
        </w:r>
      </w:hyperlink>
      <w:r w:rsidRPr="00CB4762">
        <w:rPr>
          <w:rFonts w:ascii="Times New Roman" w:hAnsi="Times New Roman" w:cs="Times New Roman"/>
        </w:rPr>
        <w:t xml:space="preserve"> 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14:paraId="729D80D8" w14:textId="77777777" w:rsidR="00C11FC1" w:rsidRPr="00CB4762" w:rsidRDefault="00000000" w:rsidP="00CB4762">
      <w:pPr>
        <w:pStyle w:val="BodyText"/>
        <w:spacing w:line="480" w:lineRule="auto"/>
        <w:rPr>
          <w:rFonts w:ascii="Times New Roman" w:hAnsi="Times New Roman" w:cs="Times New Roman"/>
        </w:rPr>
      </w:pPr>
      <w:r w:rsidRPr="00CB4762">
        <w:rPr>
          <w:rFonts w:ascii="Times New Roman" w:hAnsi="Times New Roman" w:cs="Times New Roman"/>
          <w:i/>
          <w:iCs/>
        </w:rPr>
        <w:t>Table S4. Number of individuals per treatment that chose the cricket oriented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19"/>
        <w:gridCol w:w="1911"/>
        <w:gridCol w:w="1536"/>
        <w:gridCol w:w="1458"/>
      </w:tblGrid>
      <w:tr w:rsidR="00C11FC1" w:rsidRPr="00CB4762" w14:paraId="0D9064D0" w14:textId="77777777" w:rsidTr="00C11FC1">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64D169" w14:textId="77777777" w:rsidR="00C11FC1" w:rsidRPr="00CB4762" w:rsidRDefault="00C11FC1"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84"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C2750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112746"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1C8113"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p-value</w:t>
            </w:r>
          </w:p>
        </w:tc>
      </w:tr>
      <w:tr w:rsidR="00C11FC1" w:rsidRPr="00CB4762" w14:paraId="7A00CE82" w14:textId="77777777" w:rsidTr="00C11FC1">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827CC"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BABB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6F62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D0C6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0.503</w:t>
            </w:r>
          </w:p>
        </w:tc>
      </w:tr>
      <w:tr w:rsidR="00C11FC1" w:rsidRPr="00CB4762" w14:paraId="12416140"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F594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18D0D"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D20C2"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EA80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0.263</w:t>
            </w:r>
          </w:p>
        </w:tc>
      </w:tr>
      <w:tr w:rsidR="00C11FC1" w:rsidRPr="00CB4762" w14:paraId="6783454E" w14:textId="77777777" w:rsidTr="00C11FC1">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C9104"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42C3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0BA5B"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A0B6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0.503</w:t>
            </w:r>
          </w:p>
        </w:tc>
      </w:tr>
      <w:tr w:rsidR="00C11FC1" w:rsidRPr="00CB4762" w14:paraId="52381572" w14:textId="77777777" w:rsidTr="00C11FC1">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69C9A"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B27C90"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617821"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A5F55" w14:textId="77777777" w:rsidR="00C11FC1" w:rsidRPr="00CB4762" w:rsidRDefault="00000000" w:rsidP="00CB476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CB4762">
              <w:rPr>
                <w:rFonts w:ascii="Times New Roman" w:eastAsia="Helvetica" w:hAnsi="Times New Roman" w:cs="Times New Roman"/>
                <w:color w:val="000000"/>
                <w:sz w:val="18"/>
                <w:szCs w:val="18"/>
              </w:rPr>
              <w:t>0.824</w:t>
            </w:r>
          </w:p>
        </w:tc>
      </w:tr>
    </w:tbl>
    <w:p w14:paraId="4C9BA0E3" w14:textId="701DACB8" w:rsidR="00C11FC1" w:rsidRPr="00CB4762" w:rsidRDefault="00C11FC1" w:rsidP="00CB4762">
      <w:pPr>
        <w:pStyle w:val="BodyText"/>
        <w:spacing w:line="480" w:lineRule="auto"/>
        <w:rPr>
          <w:rFonts w:ascii="Times New Roman" w:hAnsi="Times New Roman" w:cs="Times New Roman"/>
        </w:rPr>
      </w:pPr>
    </w:p>
    <w:bookmarkEnd w:id="84"/>
    <w:p w14:paraId="09780294" w14:textId="77777777" w:rsidR="00C11FC1" w:rsidRPr="00CB4762" w:rsidRDefault="00000000" w:rsidP="00CB4762">
      <w:pPr>
        <w:spacing w:line="480" w:lineRule="auto"/>
        <w:rPr>
          <w:rFonts w:ascii="Times New Roman" w:hAnsi="Times New Roman" w:cs="Times New Roman"/>
        </w:rPr>
      </w:pPr>
      <w:r w:rsidRPr="00CB4762">
        <w:rPr>
          <w:rFonts w:ascii="Times New Roman" w:hAnsi="Times New Roman" w:cs="Times New Roman"/>
        </w:rPr>
        <w:br w:type="page"/>
      </w:r>
    </w:p>
    <w:p w14:paraId="5C07A0A3" w14:textId="77777777" w:rsidR="00C11FC1" w:rsidRPr="00CB4762" w:rsidRDefault="00000000" w:rsidP="00CB4762">
      <w:pPr>
        <w:pStyle w:val="Heading4"/>
        <w:spacing w:line="480" w:lineRule="auto"/>
        <w:rPr>
          <w:rFonts w:ascii="Times New Roman" w:hAnsi="Times New Roman" w:cs="Times New Roman"/>
        </w:rPr>
      </w:pPr>
      <w:bookmarkStart w:id="85" w:name="checking-the-model-plots"/>
      <w:bookmarkEnd w:id="83"/>
      <w:r w:rsidRPr="00CB4762">
        <w:rPr>
          <w:rFonts w:ascii="Times New Roman" w:hAnsi="Times New Roman" w:cs="Times New Roman"/>
        </w:rPr>
        <w:lastRenderedPageBreak/>
        <w:t>Checking the model plots</w:t>
      </w:r>
    </w:p>
    <w:tbl>
      <w:tblPr>
        <w:tblStyle w:val="Table"/>
        <w:tblW w:w="5000" w:type="pct"/>
        <w:tblLook w:val="0000" w:firstRow="0" w:lastRow="0" w:firstColumn="0" w:lastColumn="0" w:noHBand="0" w:noVBand="0"/>
      </w:tblPr>
      <w:tblGrid>
        <w:gridCol w:w="9576"/>
      </w:tblGrid>
      <w:tr w:rsidR="00C11FC1" w:rsidRPr="00CB4762" w14:paraId="5D2C4269" w14:textId="77777777">
        <w:tc>
          <w:tcPr>
            <w:tcW w:w="0" w:type="auto"/>
          </w:tcPr>
          <w:p w14:paraId="2BAA61E3"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81B76B8" wp14:editId="10A64E6F">
                  <wp:extent cx="3733800" cy="298704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checking_model-1.png"/>
                          <pic:cNvPicPr>
                            <a:picLocks noChangeAspect="1" noChangeArrowheads="1"/>
                          </pic:cNvPicPr>
                        </pic:nvPicPr>
                        <pic:blipFill>
                          <a:blip r:embed="rId29"/>
                          <a:stretch>
                            <a:fillRect/>
                          </a:stretch>
                        </pic:blipFill>
                        <pic:spPr bwMode="auto">
                          <a:xfrm>
                            <a:off x="0" y="0"/>
                            <a:ext cx="3733800" cy="2987040"/>
                          </a:xfrm>
                          <a:prstGeom prst="rect">
                            <a:avLst/>
                          </a:prstGeom>
                          <a:noFill/>
                          <a:ln w="9525">
                            <a:noFill/>
                            <a:headEnd/>
                            <a:tailEnd/>
                          </a:ln>
                        </pic:spPr>
                      </pic:pic>
                    </a:graphicData>
                  </a:graphic>
                </wp:inline>
              </w:drawing>
            </w:r>
          </w:p>
          <w:p w14:paraId="4279FEAE"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3BF9C6D" w14:textId="77777777">
        <w:tc>
          <w:tcPr>
            <w:tcW w:w="0" w:type="auto"/>
          </w:tcPr>
          <w:p w14:paraId="05FC90E3"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571BA6C7" wp14:editId="5ADA11CF">
                  <wp:extent cx="3733800" cy="298704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ms_files/figure-docx/checking_model-2.png"/>
                          <pic:cNvPicPr>
                            <a:picLocks noChangeAspect="1" noChangeArrowheads="1"/>
                          </pic:cNvPicPr>
                        </pic:nvPicPr>
                        <pic:blipFill>
                          <a:blip r:embed="rId30"/>
                          <a:stretch>
                            <a:fillRect/>
                          </a:stretch>
                        </pic:blipFill>
                        <pic:spPr bwMode="auto">
                          <a:xfrm>
                            <a:off x="0" y="0"/>
                            <a:ext cx="3733800" cy="2987040"/>
                          </a:xfrm>
                          <a:prstGeom prst="rect">
                            <a:avLst/>
                          </a:prstGeom>
                          <a:noFill/>
                          <a:ln w="9525">
                            <a:noFill/>
                            <a:headEnd/>
                            <a:tailEnd/>
                          </a:ln>
                        </pic:spPr>
                      </pic:pic>
                    </a:graphicData>
                  </a:graphic>
                </wp:inline>
              </w:drawing>
            </w:r>
          </w:p>
          <w:p w14:paraId="454F06AB"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1FFD742E" w14:textId="77777777">
        <w:tc>
          <w:tcPr>
            <w:tcW w:w="0" w:type="auto"/>
          </w:tcPr>
          <w:p w14:paraId="68E0ADF4"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7AEA1327" wp14:editId="00EDC106">
                  <wp:extent cx="3733800" cy="298704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checking_model-3.png"/>
                          <pic:cNvPicPr>
                            <a:picLocks noChangeAspect="1" noChangeArrowheads="1"/>
                          </pic:cNvPicPr>
                        </pic:nvPicPr>
                        <pic:blipFill>
                          <a:blip r:embed="rId31"/>
                          <a:stretch>
                            <a:fillRect/>
                          </a:stretch>
                        </pic:blipFill>
                        <pic:spPr bwMode="auto">
                          <a:xfrm>
                            <a:off x="0" y="0"/>
                            <a:ext cx="3733800" cy="2987040"/>
                          </a:xfrm>
                          <a:prstGeom prst="rect">
                            <a:avLst/>
                          </a:prstGeom>
                          <a:noFill/>
                          <a:ln w="9525">
                            <a:noFill/>
                            <a:headEnd/>
                            <a:tailEnd/>
                          </a:ln>
                        </pic:spPr>
                      </pic:pic>
                    </a:graphicData>
                  </a:graphic>
                </wp:inline>
              </w:drawing>
            </w:r>
          </w:p>
          <w:p w14:paraId="0E7E57DD"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254B77D" w14:textId="77777777">
        <w:tc>
          <w:tcPr>
            <w:tcW w:w="0" w:type="auto"/>
          </w:tcPr>
          <w:p w14:paraId="595ED9B5"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C12AE6A" wp14:editId="33B9EAEE">
                  <wp:extent cx="3733800" cy="298704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ms_files/figure-docx/checking_model-4.png"/>
                          <pic:cNvPicPr>
                            <a:picLocks noChangeAspect="1" noChangeArrowheads="1"/>
                          </pic:cNvPicPr>
                        </pic:nvPicPr>
                        <pic:blipFill>
                          <a:blip r:embed="rId32"/>
                          <a:stretch>
                            <a:fillRect/>
                          </a:stretch>
                        </pic:blipFill>
                        <pic:spPr bwMode="auto">
                          <a:xfrm>
                            <a:off x="0" y="0"/>
                            <a:ext cx="3733800" cy="2987040"/>
                          </a:xfrm>
                          <a:prstGeom prst="rect">
                            <a:avLst/>
                          </a:prstGeom>
                          <a:noFill/>
                          <a:ln w="9525">
                            <a:noFill/>
                            <a:headEnd/>
                            <a:tailEnd/>
                          </a:ln>
                        </pic:spPr>
                      </pic:pic>
                    </a:graphicData>
                  </a:graphic>
                </wp:inline>
              </w:drawing>
            </w:r>
          </w:p>
          <w:p w14:paraId="26D2DC28"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32467D93" w14:textId="77777777">
        <w:tc>
          <w:tcPr>
            <w:tcW w:w="0" w:type="auto"/>
          </w:tcPr>
          <w:p w14:paraId="070FD86E"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7E768A45" wp14:editId="24A362CB">
                  <wp:extent cx="3733800" cy="298704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ms_files/figure-docx/checking_model-5.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05EEB947"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12C4B29" w14:textId="77777777">
        <w:tc>
          <w:tcPr>
            <w:tcW w:w="0" w:type="auto"/>
          </w:tcPr>
          <w:p w14:paraId="554C421A"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2B11C49D" wp14:editId="63B07DB8">
                  <wp:extent cx="3733800" cy="298704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ms_files/figure-docx/checking_model-6.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6990C040"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18162F9D" w14:textId="77777777">
        <w:tc>
          <w:tcPr>
            <w:tcW w:w="0" w:type="auto"/>
          </w:tcPr>
          <w:p w14:paraId="4B4C6406"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04D3EF03" wp14:editId="51850088">
                  <wp:extent cx="3733800" cy="298704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ms_files/figure-docx/checking_model-7.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4CA604E2"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462EB93E" w14:textId="77777777">
        <w:tc>
          <w:tcPr>
            <w:tcW w:w="0" w:type="auto"/>
          </w:tcPr>
          <w:p w14:paraId="262D67E3"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76725551" wp14:editId="1B40048E">
                  <wp:extent cx="3733800" cy="2987040"/>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ms_files/figure-docx/checking_model-8.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36F73EBD"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8DEEA59" w14:textId="77777777">
        <w:tc>
          <w:tcPr>
            <w:tcW w:w="0" w:type="auto"/>
          </w:tcPr>
          <w:p w14:paraId="09855E89"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01FB864B" wp14:editId="295BA265">
                  <wp:extent cx="3733800" cy="298704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ms_files/figure-docx/checking_model-9.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5C886D88"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938E484" w14:textId="77777777">
        <w:tc>
          <w:tcPr>
            <w:tcW w:w="0" w:type="auto"/>
          </w:tcPr>
          <w:p w14:paraId="1AD14069"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B71CA8B" wp14:editId="17741CC7">
                  <wp:extent cx="3733800" cy="298704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ms_files/figure-docx/checking_model-10.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68A0BB28"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5A511733" w14:textId="77777777">
        <w:tc>
          <w:tcPr>
            <w:tcW w:w="0" w:type="auto"/>
          </w:tcPr>
          <w:p w14:paraId="16A386E1"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5C80AF72" wp14:editId="4FD7883F">
                  <wp:extent cx="3733800" cy="298704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ms_files/figure-docx/checking_model-11.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1A7A2102"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9DF83F9" w14:textId="77777777">
        <w:tc>
          <w:tcPr>
            <w:tcW w:w="0" w:type="auto"/>
          </w:tcPr>
          <w:p w14:paraId="73F3F8AF"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1A92BEF1" wp14:editId="0AB3E62A">
                  <wp:extent cx="3733800" cy="2987040"/>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ms_files/figure-docx/checking_model-12.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719846C2"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AE3C1AF" w14:textId="77777777">
        <w:tc>
          <w:tcPr>
            <w:tcW w:w="0" w:type="auto"/>
          </w:tcPr>
          <w:p w14:paraId="0ED6DF45"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32919F18" wp14:editId="17911A49">
                  <wp:extent cx="3733800" cy="298704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ms_files/figure-docx/checking_model-13.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64401EA0"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24321A50" w14:textId="77777777">
        <w:tc>
          <w:tcPr>
            <w:tcW w:w="0" w:type="auto"/>
          </w:tcPr>
          <w:p w14:paraId="5E8A1D15"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4AA2FB2" wp14:editId="7FF49CF2">
                  <wp:extent cx="3733800" cy="298704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ms_files/figure-docx/checking_model-14.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738A858B"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281B9B2B" w14:textId="77777777">
        <w:tc>
          <w:tcPr>
            <w:tcW w:w="0" w:type="auto"/>
          </w:tcPr>
          <w:p w14:paraId="3128296F"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6635F596" wp14:editId="3F1B5721">
                  <wp:extent cx="3733800" cy="298704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ms_files/figure-docx/checking_model-15.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6CCA4DE7"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4FB3BC0C" w14:textId="77777777">
        <w:tc>
          <w:tcPr>
            <w:tcW w:w="0" w:type="auto"/>
          </w:tcPr>
          <w:p w14:paraId="461C8B06"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16EA6C73" wp14:editId="3A4F3AFD">
                  <wp:extent cx="3733800" cy="298704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ms_files/figure-docx/checking_model-16.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500E4D2E"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772FC584" w14:textId="77777777">
        <w:tc>
          <w:tcPr>
            <w:tcW w:w="0" w:type="auto"/>
          </w:tcPr>
          <w:p w14:paraId="3D41E623"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lastRenderedPageBreak/>
              <w:drawing>
                <wp:inline distT="0" distB="0" distL="0" distR="0" wp14:anchorId="0C96D321" wp14:editId="112E5CF4">
                  <wp:extent cx="3733800" cy="2987040"/>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ms_files/figure-docx/checking_model-17.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24269506" w14:textId="77777777" w:rsidR="00C11FC1" w:rsidRPr="00CB4762" w:rsidRDefault="00C11FC1" w:rsidP="00CB4762">
            <w:pPr>
              <w:pStyle w:val="ImageCaption"/>
              <w:spacing w:before="200" w:line="480" w:lineRule="auto"/>
              <w:rPr>
                <w:rFonts w:ascii="Times New Roman" w:hAnsi="Times New Roman" w:cs="Times New Roman"/>
              </w:rPr>
            </w:pPr>
          </w:p>
        </w:tc>
      </w:tr>
      <w:tr w:rsidR="00C11FC1" w:rsidRPr="00CB4762" w14:paraId="0AA36E3B" w14:textId="77777777">
        <w:tc>
          <w:tcPr>
            <w:tcW w:w="0" w:type="auto"/>
          </w:tcPr>
          <w:p w14:paraId="7EB95DF3" w14:textId="77777777" w:rsidR="00C11FC1" w:rsidRPr="00CB4762" w:rsidRDefault="00000000" w:rsidP="00CB4762">
            <w:pPr>
              <w:spacing w:line="480" w:lineRule="auto"/>
              <w:jc w:val="center"/>
              <w:rPr>
                <w:rFonts w:ascii="Times New Roman" w:hAnsi="Times New Roman" w:cs="Times New Roman"/>
              </w:rPr>
            </w:pPr>
            <w:r w:rsidRPr="00CB4762">
              <w:rPr>
                <w:rFonts w:ascii="Times New Roman" w:hAnsi="Times New Roman" w:cs="Times New Roman"/>
                <w:noProof/>
              </w:rPr>
              <w:drawing>
                <wp:inline distT="0" distB="0" distL="0" distR="0" wp14:anchorId="3AB0A674" wp14:editId="25EE7141">
                  <wp:extent cx="3733800" cy="2987040"/>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ms_files/figure-docx/checking_model-18.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28561D01" w14:textId="77777777" w:rsidR="00C11FC1" w:rsidRPr="00CB4762" w:rsidRDefault="00C11FC1" w:rsidP="00CB4762">
            <w:pPr>
              <w:pStyle w:val="ImageCaption"/>
              <w:spacing w:before="200" w:line="480" w:lineRule="auto"/>
              <w:rPr>
                <w:rFonts w:ascii="Times New Roman" w:hAnsi="Times New Roman" w:cs="Times New Roman"/>
              </w:rPr>
            </w:pPr>
          </w:p>
        </w:tc>
      </w:tr>
      <w:bookmarkEnd w:id="73"/>
      <w:bookmarkEnd w:id="85"/>
    </w:tbl>
    <w:p w14:paraId="3AC8901F" w14:textId="77777777" w:rsidR="00036BCE" w:rsidRPr="00CB4762" w:rsidRDefault="00036BCE" w:rsidP="00CB4762">
      <w:pPr>
        <w:spacing w:line="480" w:lineRule="auto"/>
        <w:rPr>
          <w:rFonts w:ascii="Times New Roman" w:hAnsi="Times New Roman" w:cs="Times New Roman"/>
        </w:rPr>
      </w:pPr>
    </w:p>
    <w:sectPr w:rsidR="00036BCE" w:rsidRPr="00CB4762" w:rsidSect="00CB476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219FE" w14:textId="77777777" w:rsidR="00036BCE" w:rsidRDefault="00036BCE">
      <w:pPr>
        <w:spacing w:after="0"/>
      </w:pPr>
      <w:r>
        <w:separator/>
      </w:r>
    </w:p>
  </w:endnote>
  <w:endnote w:type="continuationSeparator" w:id="0">
    <w:p w14:paraId="4CDD9642" w14:textId="77777777" w:rsidR="00036BCE" w:rsidRDefault="00036B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04FDF" w14:textId="77777777" w:rsidR="00036BCE" w:rsidRDefault="00036BCE">
      <w:r>
        <w:separator/>
      </w:r>
    </w:p>
  </w:footnote>
  <w:footnote w:type="continuationSeparator" w:id="0">
    <w:p w14:paraId="2AC78CB5" w14:textId="77777777" w:rsidR="00036BCE" w:rsidRDefault="00036B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FD2F7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25171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1FC1"/>
    <w:rsid w:val="00036BCE"/>
    <w:rsid w:val="0063632F"/>
    <w:rsid w:val="00C11FC1"/>
    <w:rsid w:val="00CB476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5691E8"/>
  <w15:docId w15:val="{1560199D-4D21-7D4F-B669-49B905AE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CB4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98/rsbl.2017.0002" TargetMode="External"/><Relationship Id="rId26" Type="http://schemas.openxmlformats.org/officeDocument/2006/relationships/hyperlink" Target="https://doi.org/10.1007/s00265-019-2706-8" TargetMode="External"/><Relationship Id="rId39" Type="http://schemas.openxmlformats.org/officeDocument/2006/relationships/image" Target="media/image13.png"/><Relationship Id="rId21" Type="http://schemas.openxmlformats.org/officeDocument/2006/relationships/hyperlink" Target="https://www.R-project.or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2/(SICI)1096-9861(19970414)380:3%3c409::AID-CNE9%3e3.0.CO;2-6"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6-0993-2" TargetMode="External"/><Relationship Id="rId24" Type="http://schemas.openxmlformats.org/officeDocument/2006/relationships/hyperlink" Target="https://doi.org/10.1093/beheco/arab019"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doi.org/10.1007/s00265-013-1639-x" TargetMode="External"/><Relationship Id="rId23" Type="http://schemas.openxmlformats.org/officeDocument/2006/relationships/hyperlink" Target="https://doi.org/10.1007/s00265-021-02979-5" TargetMode="External"/><Relationship Id="rId28" Type="http://schemas.openxmlformats.org/officeDocument/2006/relationships/hyperlink" Target="https://doi.org/10.1002/jnr.20338" TargetMode="External"/><Relationship Id="rId36" Type="http://schemas.openxmlformats.org/officeDocument/2006/relationships/image" Target="media/image10.png"/><Relationship Id="rId10" Type="http://schemas.openxmlformats.org/officeDocument/2006/relationships/hyperlink" Target="https://doi.org/10.1007/s10071-020-01365-4" TargetMode="External"/><Relationship Id="rId19" Type="http://schemas.openxmlformats.org/officeDocument/2006/relationships/hyperlink" Target="https://doi.org/10.1016/j.anbehav.2015.01.018"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Pablo-Recio/CORT-Temp_Numerical" TargetMode="External"/><Relationship Id="rId14" Type="http://schemas.openxmlformats.org/officeDocument/2006/relationships/hyperlink" Target="https://doi.org/10.1016/j.anbehav.2015.10.027" TargetMode="External"/><Relationship Id="rId22" Type="http://schemas.openxmlformats.org/officeDocument/2006/relationships/hyperlink" Target="https://doi.org/10.1038/s41598-020-73354-z" TargetMode="External"/><Relationship Id="rId27" Type="http://schemas.openxmlformats.org/officeDocument/2006/relationships/hyperlink" Target="https://doi.org/10.3390/sym10060184"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1007/s10071-013-0665-4" TargetMode="External"/><Relationship Id="rId17" Type="http://schemas.openxmlformats.org/officeDocument/2006/relationships/hyperlink" Target="https://doi.org/10.1016/j.anbehav.2014.02.017" TargetMode="External"/><Relationship Id="rId25" Type="http://schemas.openxmlformats.org/officeDocument/2006/relationships/hyperlink" Target="https://doi.org/10.1016/0166-4328(94)90100-7"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doi.org/10.1007/s12038-021-00153-7"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54</Pages>
  <Words>9178</Words>
  <Characters>52320</Characters>
  <Application>Microsoft Office Word</Application>
  <DocSecurity>0</DocSecurity>
  <Lines>436</Lines>
  <Paragraphs>122</Paragraphs>
  <ScaleCrop>false</ScaleCrop>
  <Company/>
  <LinksUpToDate>false</LinksUpToDate>
  <CharactersWithSpaces>61376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prenatal corticosterone and thermal environment on numerical discrimination abilities in a lizard</dc:title>
  <dc:creator/>
  <cp:keywords/>
  <cp:lastModifiedBy>Pablo Recio Santiago</cp:lastModifiedBy>
  <cp:revision>2</cp:revision>
  <dcterms:created xsi:type="dcterms:W3CDTF">2024-09-20T01:29:00Z</dcterms:created>
  <dcterms:modified xsi:type="dcterms:W3CDTF">2024-09-20T01:40:00Z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