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EE3AC" w14:textId="77777777" w:rsidR="00997432" w:rsidRDefault="00000000">
      <w:pPr>
        <w:pStyle w:val="Title"/>
      </w:pPr>
      <w:r>
        <w:t>Early environmental conditions do not impact behavioural flexibility in an invasive and non-invasive lizard species</w:t>
      </w:r>
    </w:p>
    <w:p w14:paraId="75A130A5" w14:textId="77777777" w:rsidR="00997432"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43D4311D" w14:textId="77777777" w:rsidR="00997432"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3E6CF316" w14:textId="77777777" w:rsidR="00997432" w:rsidRDefault="00000000">
      <w:r>
        <w:br w:type="page"/>
      </w:r>
    </w:p>
    <w:p w14:paraId="74B66CC1" w14:textId="77777777" w:rsidR="00997432" w:rsidRDefault="00000000">
      <w:pPr>
        <w:pStyle w:val="Heading2"/>
      </w:pPr>
      <w:bookmarkStart w:id="0" w:name="abstract"/>
      <w:r>
        <w:lastRenderedPageBreak/>
        <w:t>Abstract</w:t>
      </w:r>
    </w:p>
    <w:p w14:paraId="1577192F" w14:textId="77777777" w:rsidR="00997432" w:rsidRDefault="00000000">
      <w:pPr>
        <w:pStyle w:val="FirstParagraph"/>
      </w:pPr>
      <w:r>
        <w:t xml:space="preserve">Behavioural flexibility is expected to be crucial for animals adapting to environmental changes. However, the conditions experienced during early development can profoundly impact behavioural flexibility making it unclear how populations will respond to novel circumstances. Stressful situations faced by the parents can have a direct impact on offspring cognition through the transmission of glucocorticoids - stress-related hormones that affect offspring cognition. At the same time, stressful conditions can influence parental behaviour during nesting and consequently the thermal developmental conditions offspring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150DD74D" w14:textId="77777777" w:rsidR="00997432" w:rsidRDefault="00000000">
      <w:pPr>
        <w:pStyle w:val="Heading2"/>
      </w:pPr>
      <w:bookmarkStart w:id="1" w:name="introduction"/>
      <w:bookmarkEnd w:id="0"/>
      <w:r>
        <w:t>Introduction</w:t>
      </w:r>
    </w:p>
    <w:p w14:paraId="4F09536D" w14:textId="77777777" w:rsidR="00997432" w:rsidRDefault="00000000">
      <w:pPr>
        <w:pStyle w:val="FirstParagraph"/>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It comprises a 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 successful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33D26E1D" w14:textId="77777777" w:rsidR="00997432" w:rsidRDefault="00000000">
      <w:pPr>
        <w:pStyle w:val="BodyText"/>
      </w:pPr>
      <w:r>
        <w:t>The conditions in which organisms develop can be altered by the circumstances faced by their parents. For instance, exposing three-spined stickleback (</w:t>
      </w:r>
      <w:r>
        <w:rPr>
          <w:i/>
          <w:iCs/>
        </w:rPr>
        <w:t>Gasterosteus aculeatus</w:t>
      </w:r>
      <w:r>
        <w:t>) females to a model predator during ovulation, affected their offspring’s tedency to use social cues (</w:t>
      </w:r>
      <w:hyperlink w:anchor="ref-feng2015effect">
        <w:r>
          <w:rPr>
            <w:rStyle w:val="Hyperlink"/>
          </w:rPr>
          <w:t>Feng et al., 2015</w:t>
        </w:r>
      </w:hyperlink>
      <w:r>
        <w:t>). Under stressful situations, animal’s sensory systems detect and transmit environmental signals to instigate adaptive physiological and behavioural adjustments – responses that are mediated by glucocorticoids (GCs) (</w:t>
      </w:r>
      <w:hyperlink w:anchor="ref-sapolsky_how_2000">
        <w:r>
          <w:rPr>
            <w:rStyle w:val="Hyperlink"/>
          </w:rPr>
          <w:t>Sapolsky et al., 2000</w:t>
        </w:r>
      </w:hyperlink>
      <w:r>
        <w:t xml:space="preserve">). Glucocorticoids </w:t>
      </w:r>
      <w:r>
        <w:lastRenderedPageBreak/>
        <w:t>can be transmitted to offspring 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Animals’ responses to abrupt temperature changes are mediated by GCs (</w:t>
      </w:r>
      <w:hyperlink w:anchor="ref-Crino_2023">
        <w:r>
          <w:rPr>
            <w:rStyle w:val="Hyperlink"/>
          </w:rPr>
          <w:t>Crino et al., 2023</w:t>
        </w:r>
      </w:hyperlink>
      <w:r>
        <w:t>), which can influence animals’ decision-making while nesting (</w:t>
      </w:r>
      <w:hyperlink w:anchor="ref-kolbe2002impact">
        <w:r>
          <w:rPr>
            <w:rStyle w:val="Hyperlink"/>
          </w:rPr>
          <w:t>Kolbe &amp; Janzen, 2002</w:t>
        </w:r>
      </w:hyperlink>
      <w:r>
        <w:t>). As a result, GCs transmission and early thermal environment are expected to interact and shape offspring traits.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2AD72F7E" w14:textId="77777777" w:rsidR="00997432" w:rsidRDefault="00000000">
      <w:pPr>
        <w:pStyle w:val="BodyText"/>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 Disparities in behavioural flexibility may be driving the differences in invasion success between both skinks, a prediction supported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but uncertainty still exists about the interactive role of maternal CORT and early temperatures on behavioural flexibility. We manipulated CORT and incubation temperature in both species and then subjected hatchlings to a reversal learning task. Reversal learning, in particular, is a widely employed tool to measure behavioural flexibility (</w:t>
      </w:r>
      <w:hyperlink w:anchor="ref-gapp2014early">
        <w:r>
          <w:rPr>
            <w:rStyle w:val="Hyperlink"/>
          </w:rPr>
          <w:t>Gapp et al., 2014</w:t>
        </w:r>
      </w:hyperlink>
      <w:r>
        <w:t xml:space="preserve">; </w:t>
      </w:r>
      <w:hyperlink w:anchor="ref-hurtubise2017effects">
        <w:r>
          <w:rPr>
            <w:rStyle w:val="Hyperlink"/>
          </w:rPr>
          <w:t>Hurtubise &amp; Howland, 2017</w:t>
        </w:r>
      </w:hyperlink>
      <w:r>
        <w:t>), as it assesses an individual’s ability to reverse a previously learned behaviour providing researchers with a clear indicator of their ability to adjust to new conditions (</w:t>
      </w:r>
      <w:hyperlink w:anchor="ref-brown2010behavioral">
        <w:r>
          <w:rPr>
            <w:rStyle w:val="Hyperlink"/>
          </w:rPr>
          <w:t>Brown &amp; Tait, 2010</w:t>
        </w:r>
      </w:hyperlink>
      <w:r>
        <w:t>).</w:t>
      </w:r>
    </w:p>
    <w:p w14:paraId="1C45D043" w14:textId="77777777" w:rsidR="00997432" w:rsidRDefault="00000000">
      <w:pPr>
        <w:pStyle w:val="BodyText"/>
      </w:pPr>
      <w:r>
        <w:t>We predicted that both cold incubation 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3D536BDD" w14:textId="77777777" w:rsidR="00997432" w:rsidRDefault="00000000">
      <w:pPr>
        <w:pStyle w:val="Heading2"/>
      </w:pPr>
      <w:bookmarkStart w:id="2" w:name="methods"/>
      <w:bookmarkEnd w:id="1"/>
      <w:r>
        <w:lastRenderedPageBreak/>
        <w:t>Methods</w:t>
      </w:r>
    </w:p>
    <w:p w14:paraId="445DC8BD" w14:textId="77777777" w:rsidR="00997432" w:rsidRDefault="00000000">
      <w:pPr>
        <w:pStyle w:val="Heading4"/>
      </w:pPr>
      <w:bookmarkStart w:id="3" w:name="husbandry"/>
      <w:r>
        <w:t>Husbandry</w:t>
      </w:r>
    </w:p>
    <w:p w14:paraId="5CEAD120" w14:textId="77777777" w:rsidR="00997432" w:rsidRDefault="00000000">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the warm side of enclosures reached 32ºC.</w:t>
      </w:r>
    </w:p>
    <w:p w14:paraId="3765A9FE" w14:textId="77777777" w:rsidR="00997432"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on one side of the communal enclosures (see above). We checked for the presence of eggs in the boxes three days a week. After collection, we measured the length and width of eggs with a digital caliper to the nearest 0.1 mm and weighed them with a digital scale ± 0.001g error (OHAUS, Model spx123). We also assigned identities to the clutch and each egg.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237484B" w14:textId="77777777" w:rsidR="00997432"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 a shelter, and a small water dish. During this period, they were sprayed with water every day and received 3-6 small </w:t>
      </w:r>
      <w:r>
        <w:rPr>
          <w:i/>
          <w:iCs/>
        </w:rPr>
        <w:t>A. domestica</w:t>
      </w:r>
      <w:r>
        <w:t xml:space="preserve"> crickets three times a week. All care otherwise followed similar protocols to adults (see above). Two weeks before starting the training phase (see below), lizards were moved to an experimental arena for acclimatisation. The arenas were individual medium size (41 L x 29.7 W x 22 H cm) plastic containers with a shelter (9 L x 6 W x 1.5 H cm) on one of the </w:t>
      </w:r>
      <w:proofErr w:type="gramStart"/>
      <w:r>
        <w:t>side</w:t>
      </w:r>
      <w:proofErr w:type="gramEnd"/>
      <w:r>
        <w:t xml:space="preserve"> and a water dish on the other. These new enclosures were placed in two rooms across 7 different racks that were monitored by 7 different CCTV systems (device model DVR-HP210475) that allowed us to record their behaviour during the experiment (see details below). Conditions in these rooms where identical to the main room, but the number of lizards per species and treatment in each rack was counterbalanced to control for any potential effect of the room or the position of the lizard on the rack. During acclimatisation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22-24ºC.</w:t>
      </w:r>
    </w:p>
    <w:p w14:paraId="2DDD48FA" w14:textId="77777777" w:rsidR="00997432" w:rsidRDefault="00000000">
      <w:pPr>
        <w:pStyle w:val="Heading4"/>
      </w:pPr>
      <w:bookmarkStart w:id="4" w:name="X5a274fa4cacecb585d7c5e60344fa6f16959ba1"/>
      <w:bookmarkEnd w:id="3"/>
      <w:r>
        <w:lastRenderedPageBreak/>
        <w:t>Manipulating Early Thermal and CORT Environments</w:t>
      </w:r>
    </w:p>
    <w:p w14:paraId="1D456F98" w14:textId="77777777" w:rsidR="00997432" w:rsidRDefault="00000000">
      <w:pPr>
        <w:pStyle w:val="FirstParagraph"/>
      </w:pPr>
      <w:r>
        <w:t>To empirically test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This method has been validated before in </w:t>
      </w:r>
      <w:r>
        <w:rPr>
          <w:i/>
          <w:iCs/>
        </w:rPr>
        <w:t>L. delicata</w:t>
      </w:r>
      <w:r>
        <w:t xml:space="preserve"> (</w:t>
      </w:r>
      <w:hyperlink w:anchor="ref-crino2024eggs">
        <w:r>
          <w:rPr>
            <w:rStyle w:val="Hyperlink"/>
          </w:rPr>
          <w:t>O. Crino et al., 2024</w:t>
        </w:r>
      </w:hyperlink>
      <w:r>
        <w:t>), increasing CORT concentration in egg approximately 2 standard deviations above the mean natural concentration. After the hormone treatment,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 The number of eggs per clutch assigned to each hormone and temperature treatment were counterbalanced in both species.</w:t>
      </w:r>
    </w:p>
    <w:p w14:paraId="0BD6ECB8" w14:textId="77777777" w:rsidR="00997432" w:rsidRDefault="00000000">
      <w:pPr>
        <w:pStyle w:val="Heading4"/>
      </w:pPr>
      <w:bookmarkStart w:id="5" w:name="quantifying-behavioural-flexibility"/>
      <w:bookmarkEnd w:id="4"/>
      <w:r>
        <w:t>Quantifying Behavioural Flexibility</w:t>
      </w:r>
    </w:p>
    <w:p w14:paraId="4F4401CB" w14:textId="77777777" w:rsidR="00997432" w:rsidRDefault="00000000">
      <w:pPr>
        <w:pStyle w:val="FirstParagraph"/>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7F05B65D" w14:textId="77777777" w:rsidR="00997432" w:rsidRDefault="00000000">
      <w:pPr>
        <w:pStyle w:val="BodyText"/>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19320406" w14:textId="77777777" w:rsidR="00997432" w:rsidRDefault="00000000">
      <w:pPr>
        <w:pStyle w:val="BodyText"/>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was only accessible on one ramp. The food reward was placed on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2ED125C9" w14:textId="77777777" w:rsidR="00997432" w:rsidRDefault="00000000">
      <w:pPr>
        <w:pStyle w:val="BodyText"/>
      </w:pPr>
      <w:r>
        <w:lastRenderedPageBreak/>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997432" w14:paraId="5A62A12C" w14:textId="77777777">
        <w:tc>
          <w:tcPr>
            <w:tcW w:w="0" w:type="auto"/>
          </w:tcPr>
          <w:p w14:paraId="28A34E10" w14:textId="77777777" w:rsidR="00997432" w:rsidRDefault="00000000">
            <w:pPr>
              <w:jc w:val="center"/>
            </w:pPr>
            <w:bookmarkStart w:id="6" w:name="fig-Methods"/>
            <w:r>
              <w:rPr>
                <w:noProof/>
              </w:rPr>
              <w:drawing>
                <wp:inline distT="0" distB="0" distL="0" distR="0" wp14:anchorId="32C5C939" wp14:editId="68C56353">
                  <wp:extent cx="5943600" cy="631991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319910"/>
                          </a:xfrm>
                          <a:prstGeom prst="rect">
                            <a:avLst/>
                          </a:prstGeom>
                          <a:noFill/>
                          <a:ln w="9525">
                            <a:noFill/>
                            <a:headEnd/>
                            <a:tailEnd/>
                          </a:ln>
                        </pic:spPr>
                      </pic:pic>
                    </a:graphicData>
                  </a:graphic>
                </wp:inline>
              </w:drawing>
            </w:r>
          </w:p>
          <w:p w14:paraId="1BF67E93" w14:textId="77777777" w:rsidR="00997432" w:rsidRDefault="00000000">
            <w:pPr>
              <w:pStyle w:val="ImageCaption"/>
              <w:spacing w:before="200"/>
            </w:pPr>
            <w:r>
              <w:lastRenderedPageBreak/>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6"/>
      </w:tr>
    </w:tbl>
    <w:p w14:paraId="14CDF1AC" w14:textId="77777777" w:rsidR="00997432" w:rsidRDefault="00000000">
      <w:pPr>
        <w:pStyle w:val="Heading4"/>
      </w:pPr>
      <w:bookmarkStart w:id="7" w:name="statistical-analyses"/>
      <w:bookmarkEnd w:id="5"/>
      <w:r>
        <w:lastRenderedPageBreak/>
        <w:t>Statistical analyses</w:t>
      </w:r>
    </w:p>
    <w:p w14:paraId="3BBD2169" w14:textId="77777777" w:rsidR="00997432"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iterations for each model, with a warmup period of 1000 iterations. We modelled correct choices [correct (1) or not (0)] as the response variable, and trial, hormone (CORT versus Control), incubation temperature (Cold versus Hot), along with the three-way interaction between trial, hormone, and temperature. If early environments impact </w:t>
      </w:r>
      <w:proofErr w:type="gramStart"/>
      <w:r>
        <w:t>learning</w:t>
      </w:r>
      <w:proofErr w:type="gramEnd"/>
      <w:r>
        <w:t xml:space="preserve"> then we would predict that the rate of learning (i.e., trial slope) varies by treatment as captured by the interactions. The error structure was modelled using a Bernoulli distribution with a logit link function (family = </w:t>
      </w:r>
      <w:proofErr w:type="gramStart"/>
      <w:r>
        <w:t>Bernoulli(</w:t>
      </w:r>
      <w:proofErr w:type="gramEnd"/>
      <w:r>
        <w:t xml:space="preserve">link = ‘logit’)). We included a random intercept and slope (trial) for each lizard in our models. We also incorporated the clutch identity as a random factor. </w:t>
      </w:r>
      <w:r>
        <w:rPr>
          <w:i/>
          <w:iCs/>
        </w:rPr>
        <w:t>L. delicata</w:t>
      </w:r>
      <w:r>
        <w:t xml:space="preserve"> lays one clutch per year, while </w:t>
      </w:r>
      <w:r>
        <w:rPr>
          <w:i/>
          <w:iCs/>
        </w:rPr>
        <w:t>L. guichenoti</w:t>
      </w:r>
      <w:r>
        <w:t xml:space="preserve"> lays two (</w:t>
      </w:r>
      <w:hyperlink w:anchor="ref-chapple_know_2011">
        <w:r>
          <w:rPr>
            <w:rStyle w:val="Hyperlink"/>
          </w:rPr>
          <w:t>Chapple et al., 2011</w:t>
        </w:r>
      </w:hyperlink>
      <w:r>
        <w:t xml:space="preserve">, </w:t>
      </w:r>
      <w:hyperlink w:anchor="ref-chapple_biology_2014">
        <w:r>
          <w:rPr>
            <w:rStyle w:val="Hyperlink"/>
          </w:rPr>
          <w:t>2014</w:t>
        </w:r>
      </w:hyperlink>
      <w:r>
        <w:t>). Since eggs were collected during half of the breeding season, clutches likely come from different mothers. Additionally, previous research has shown that clutches are generally sired by a single male, but sperm storage can occur (</w:t>
      </w:r>
      <w:hyperlink w:anchor="ref-kar2023heritability">
        <w:r>
          <w:rPr>
            <w:rStyle w:val="Hyperlink"/>
          </w:rPr>
          <w:t>Kar et al., 2023</w:t>
        </w:r>
      </w:hyperlink>
      <w:r>
        <w:t xml:space="preserve">). Given our partial split-clutch design, and the fact that maternal effects are expected to be stronger than paternal effects in these species, including the clutch as a random factor would account for the effects of parental condition. Learning can also be age-dependent (see </w:t>
      </w:r>
      <w:hyperlink w:anchor="ref-noble_age-dependent_2014">
        <w:r>
          <w:rPr>
            <w:rStyle w:val="Hyperlink"/>
          </w:rPr>
          <w:t>Noble et al., 2014</w:t>
        </w:r>
      </w:hyperlink>
      <w:proofErr w:type="gramStart"/>
      <w:r>
        <w:t>), and</w:t>
      </w:r>
      <w:proofErr w:type="gramEnd"/>
      <w:r>
        <w:t xml:space="preserve">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variable was included in the </w:t>
      </w:r>
      <w:proofErr w:type="gramStart"/>
      <w:r>
        <w:t>models</w:t>
      </w:r>
      <w:proofErr w:type="gramEnd"/>
      <w:r>
        <w:t xml:space="preserve">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p</w:t>
      </w:r>
      <w:r>
        <w:rPr>
          <w:vertAlign w:val="subscript"/>
        </w:rPr>
        <w:t>mcmc</w:t>
      </w:r>
      <w:r>
        <w:t xml:space="preserve"> test the hypothesis that slopes and slopes contrasts are zero. We considered statistical significance if pmcmc &lt; 0.05.</w:t>
      </w:r>
    </w:p>
    <w:p w14:paraId="61B78F63" w14:textId="77777777" w:rsidR="00997432" w:rsidRDefault="00000000">
      <w:pPr>
        <w:pStyle w:val="Heading4"/>
      </w:pPr>
      <w:bookmarkStart w:id="8" w:name="ethical-note"/>
      <w:bookmarkEnd w:id="7"/>
      <w:r>
        <w:t>Ethical note</w:t>
      </w:r>
    </w:p>
    <w:p w14:paraId="5A04A56D" w14:textId="77777777" w:rsidR="00997432" w:rsidRDefault="00000000">
      <w:pPr>
        <w:pStyle w:val="FirstParagraph"/>
      </w:pPr>
      <w:r>
        <w:t xml:space="preserve">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stringent biosafety protocols across the states prohibit this. It is also not possible to rehome such </w:t>
      </w:r>
      <w:proofErr w:type="gramStart"/>
      <w:r>
        <w:t>a large number of</w:t>
      </w:r>
      <w:proofErr w:type="gramEnd"/>
      <w:r>
        <w:t xml:space="preserve"> </w:t>
      </w:r>
      <w:r>
        <w:lastRenderedPageBreak/>
        <w:t xml:space="preserve">animals. Therefore, upon completion of experimental trials, lizards were kept in their enclosure until they were humanely euthanized following approved procedures. To euthanise animals, we use an injection of sodium pentobarbital (i.e., Lethabarb) (diluted 1:4 </w:t>
      </w:r>
      <w:proofErr w:type="gramStart"/>
      <w:r>
        <w:t>ringers</w:t>
      </w:r>
      <w:proofErr w:type="gramEnd"/>
      <w:r>
        <w:t xml:space="preserve"> solution) at 60-100mg/kg, injected intrapleuroperitoneally. We monitored the animals to ensure there was no irritation from the agent as indicated by distressed animals. Gently pinching the toes was used to confirm the absence of a response before the animal was disposed of.</w:t>
      </w:r>
      <w:r>
        <w:br/>
        <w:t>Crickets were maintained in big communal enclosures (68.5 L x 49 W x 39 H cm) in the same room where the big colony is, and at the same temperature and light conditions. They were provided vegetables and water ad libitum, and they were given several egg carton shelters to refuge. All lizards were fed alive crickets except during the experiment, when we used crickets frozen at -21 ºC for 24 hours.</w:t>
      </w:r>
    </w:p>
    <w:p w14:paraId="7F4B25FA" w14:textId="77777777" w:rsidR="00997432" w:rsidRDefault="00000000">
      <w:pPr>
        <w:pStyle w:val="Heading2"/>
      </w:pPr>
      <w:bookmarkStart w:id="9" w:name="results"/>
      <w:bookmarkEnd w:id="2"/>
      <w:bookmarkEnd w:id="8"/>
      <w:r>
        <w:t>Results</w:t>
      </w:r>
    </w:p>
    <w:p w14:paraId="00FCF0CB" w14:textId="77777777" w:rsidR="00997432" w:rsidRDefault="00000000">
      <w:pPr>
        <w:pStyle w:val="FirstParagraph"/>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02AE50B9" w14:textId="77777777" w:rsidR="00997432"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(mean slopes per treatment for both species provided in Table 2 in Supplementary Material). For </w:t>
      </w:r>
      <w:r>
        <w:rPr>
          <w:i/>
          <w:iCs/>
        </w:rPr>
        <w:t>L. delicata</w:t>
      </w:r>
      <w:r>
        <w:t>, hormone treatment (β</w:t>
      </w:r>
      <w:r>
        <w:rPr>
          <w:vertAlign w:val="subscript"/>
        </w:rPr>
        <w:t>Control</w:t>
      </w:r>
      <w:r>
        <w:t xml:space="preserve"> - β</w:t>
      </w:r>
      <w:r>
        <w:rPr>
          <w:vertAlign w:val="subscript"/>
        </w:rPr>
        <w:t>CORT</w:t>
      </w:r>
      <w:r>
        <w:t xml:space="preserve"> = 0.005, p</w:t>
      </w:r>
      <w:r>
        <w:rPr>
          <w:vertAlign w:val="subscript"/>
        </w:rPr>
        <w:t>mcmc</w:t>
      </w:r>
      <w:r>
        <w:t xml:space="preserve"> = 0.873), incubation temperature (β</w:t>
      </w:r>
      <w:r>
        <w:rPr>
          <w:vertAlign w:val="subscript"/>
        </w:rPr>
        <w:t>Hot</w:t>
      </w:r>
      <w:r>
        <w:t xml:space="preserve"> - β</w:t>
      </w:r>
      <w:r>
        <w:rPr>
          <w:vertAlign w:val="subscript"/>
        </w:rPr>
        <w:t>Cold</w:t>
      </w:r>
      <w:r>
        <w:t xml:space="preserve"> = -0.001, p</w:t>
      </w:r>
      <w:r>
        <w:rPr>
          <w:vertAlign w:val="subscript"/>
        </w:rPr>
        <w:t>mcmc</w:t>
      </w:r>
      <w:r>
        <w:t xml:space="preserve"> = 0.989),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(β</w:t>
      </w:r>
      <w:r>
        <w:rPr>
          <w:vertAlign w:val="subscript"/>
        </w:rPr>
        <w:t>Control</w:t>
      </w:r>
      <w:r>
        <w:t xml:space="preserve"> - β</w:t>
      </w:r>
      <w:r>
        <w:rPr>
          <w:vertAlign w:val="subscript"/>
        </w:rPr>
        <w:t>CORT</w:t>
      </w:r>
      <w:r>
        <w:t xml:space="preserve"> = 0.005, p</w:t>
      </w:r>
      <w:r>
        <w:rPr>
          <w:vertAlign w:val="subscript"/>
        </w:rPr>
        <w:t>mcmc</w:t>
      </w:r>
      <w:r>
        <w:t xml:space="preserve"> = 0.810), incubation temperature (β</w:t>
      </w:r>
      <w:r>
        <w:rPr>
          <w:vertAlign w:val="subscript"/>
        </w:rPr>
        <w:t>Hot</w:t>
      </w:r>
      <w:r>
        <w:t xml:space="preserve"> - β</w:t>
      </w:r>
      <w:r>
        <w:rPr>
          <w:vertAlign w:val="subscript"/>
        </w:rPr>
        <w:t>Cold</w:t>
      </w:r>
      <w:r>
        <w:t xml:space="preserve"> = 0.009, p</w:t>
      </w:r>
      <w:r>
        <w:rPr>
          <w:vertAlign w:val="subscript"/>
        </w:rPr>
        <w:t>mcmc</w:t>
      </w:r>
      <w:r>
        <w:t xml:space="preserve"> = 0.629),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997432" w14:paraId="4D23B8F4" w14:textId="77777777">
        <w:tc>
          <w:tcPr>
            <w:tcW w:w="0" w:type="auto"/>
          </w:tcPr>
          <w:p w14:paraId="745B8CCA" w14:textId="77777777" w:rsidR="00997432" w:rsidRDefault="00000000">
            <w:pPr>
              <w:jc w:val="center"/>
            </w:pPr>
            <w:bookmarkStart w:id="10" w:name="fig-results"/>
            <w:r>
              <w:rPr>
                <w:noProof/>
              </w:rPr>
              <w:lastRenderedPageBreak/>
              <w:drawing>
                <wp:inline distT="0" distB="0" distL="0" distR="0" wp14:anchorId="77805C43" wp14:editId="126072E0">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773526F0" w14:textId="77777777" w:rsidR="00997432" w:rsidRDefault="00000000">
            <w:pPr>
              <w:pStyle w:val="ImageCaption"/>
              <w:spacing w:before="200"/>
            </w:pPr>
            <w:r>
              <w:t>Fig 2— Results for L. delicata (</w:t>
            </w:r>
            <w:proofErr w:type="gramStart"/>
            <w:r>
              <w:t>A,B</w:t>
            </w:r>
            <w:proofErr w:type="gramEnd"/>
            <w:r>
              <w:t>)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6E7B348A" w14:textId="77777777" w:rsidR="00997432"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β</w:t>
      </w:r>
      <w:r>
        <w:rPr>
          <w:i/>
          <w:iCs/>
          <w:vertAlign w:val="subscript"/>
        </w:rPr>
        <w:t>L. delicata</w:t>
      </w:r>
      <w:r>
        <w:t xml:space="preserve"> - β</w:t>
      </w:r>
      <w:r>
        <w:rPr>
          <w:i/>
          <w:iCs/>
          <w:vertAlign w:val="subscript"/>
        </w:rPr>
        <w:t>L. guichenoti</w:t>
      </w:r>
      <w:r>
        <w:t xml:space="preserve"> = -0.008, p</w:t>
      </w:r>
      <w:r>
        <w:rPr>
          <w:vertAlign w:val="subscript"/>
        </w:rPr>
        <w:t>mcmc</w:t>
      </w:r>
      <w:r>
        <w:t xml:space="preserve"> = 0.636). Figures for both species with the raw data were included in the Supplementary Material.</w:t>
      </w:r>
    </w:p>
    <w:p w14:paraId="079B926A" w14:textId="77777777" w:rsidR="00997432" w:rsidRDefault="00000000">
      <w:pPr>
        <w:pStyle w:val="Heading2"/>
      </w:pPr>
      <w:bookmarkStart w:id="11" w:name="discussion"/>
      <w:bookmarkEnd w:id="9"/>
      <w:r>
        <w:t>Discussion</w:t>
      </w:r>
    </w:p>
    <w:p w14:paraId="764C9EC8" w14:textId="77777777" w:rsidR="00997432" w:rsidRDefault="00000000">
      <w:pPr>
        <w:pStyle w:val="FirstParagraph"/>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the early environment to influence behavioural flexibility in both species. We also predicted that </w:t>
      </w:r>
      <w:r>
        <w:rPr>
          <w:i/>
          <w:iCs/>
        </w:rPr>
        <w:t>L. delicata</w:t>
      </w:r>
      <w:r>
        <w:t xml:space="preserve"> would be more flexible </w:t>
      </w:r>
      <w:r>
        <w:lastRenderedPageBreak/>
        <w:t xml:space="preserve">than </w:t>
      </w:r>
      <w:r>
        <w:rPr>
          <w:i/>
          <w:iCs/>
        </w:rPr>
        <w:t>L. guichenoti</w:t>
      </w:r>
      <w:r>
        <w:t xml:space="preserve"> and less affected by prenatal conditions.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74745A49" w14:textId="77777777" w:rsidR="00997432" w:rsidRDefault="00000000">
      <w:pPr>
        <w:pStyle w:val="BodyText"/>
      </w:pPr>
      <w:r>
        <w:t xml:space="preserve">Behavioural flexbility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with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in the brain that would result in impaired behavioural flexibility. We find this possibility unlikely since, in a previous experiment, we observed that a similar dose affected a multitude of other traits including growth and baseline CORT levels in </w:t>
      </w:r>
      <w:r>
        <w:rPr>
          <w:i/>
          <w:iCs/>
        </w:rPr>
        <w:t>L. delicata</w:t>
      </w:r>
      <w:r>
        <w:t xml:space="preserve"> (</w:t>
      </w:r>
      <w:hyperlink w:anchor="ref-crino2024eggs">
        <w:r>
          <w:rPr>
            <w:rStyle w:val="Hyperlink"/>
          </w:rPr>
          <w:t>O. Crino et al., 2024</w:t>
        </w:r>
      </w:hyperlink>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2EB8977C" w14:textId="77777777" w:rsidR="00997432" w:rsidRDefault="00000000">
      <w:pPr>
        <w:pStyle w:val="BodyText"/>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Studies that have reported cold-incubated lizards to learning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and it is unclear how such conditions relate to wild environments. Our results suggest that behavioural flexibility is robust to temperature in both species of skinks -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xml:space="preserve">). However, </w:t>
      </w:r>
      <w:r>
        <w:lastRenderedPageBreak/>
        <w:t>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It is possible that the temperatures used in our experiment did not affect the brain regions involved in coding reversal learning. Future studies should explore the effects of the 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incubation 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Further research should focus on the possible interactive effects of sex and incubation temperature on cognitive performance. However, such studies will be challenging given the large sample sizes required to execute these studies rigorously.</w:t>
      </w:r>
    </w:p>
    <w:p w14:paraId="7A983859" w14:textId="77777777" w:rsidR="00997432" w:rsidRDefault="00000000">
      <w:pPr>
        <w:pStyle w:val="BodyText"/>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However, Bezzina et al.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3CB6B966" w14:textId="77777777" w:rsidR="00997432"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w:t>
      </w:r>
      <w:r>
        <w:lastRenderedPageBreak/>
        <w:t xml:space="preserve">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48F35CB0" w14:textId="77777777" w:rsidR="00997432" w:rsidRDefault="00000000">
      <w:pPr>
        <w:pStyle w:val="Heading2"/>
      </w:pPr>
      <w:bookmarkStart w:id="12" w:name="data-accessibility"/>
      <w:bookmarkEnd w:id="11"/>
      <w:r>
        <w:t>Data accessibility</w:t>
      </w:r>
    </w:p>
    <w:p w14:paraId="3B37B596" w14:textId="77777777" w:rsidR="00997432" w:rsidRDefault="00000000">
      <w:pPr>
        <w:pStyle w:val="FirstParagraph"/>
      </w:pPr>
      <w:r>
        <w:t xml:space="preserve">All data, data description, and R code are available in public repository </w:t>
      </w:r>
      <w:hyperlink r:id="rId9">
        <w:r>
          <w:rPr>
            <w:rStyle w:val="Hyperlink"/>
          </w:rPr>
          <w:t>https://github.com/Pablo-Recio/CORT_Temp_Behavioural_flexibility</w:t>
        </w:r>
      </w:hyperlink>
      <w:r>
        <w:t>.</w:t>
      </w:r>
    </w:p>
    <w:p w14:paraId="633E19AD" w14:textId="77777777" w:rsidR="00997432" w:rsidRDefault="00000000">
      <w:pPr>
        <w:pStyle w:val="Heading2"/>
      </w:pPr>
      <w:bookmarkStart w:id="13" w:name="declaration-of-ai-use"/>
      <w:bookmarkEnd w:id="12"/>
      <w:r>
        <w:t>Declaration of AI use</w:t>
      </w:r>
    </w:p>
    <w:p w14:paraId="606BE80C" w14:textId="77777777" w:rsidR="00997432"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26B20B46" w14:textId="77777777" w:rsidR="00997432" w:rsidRDefault="00000000">
      <w:pPr>
        <w:pStyle w:val="Heading2"/>
      </w:pPr>
      <w:bookmarkStart w:id="14" w:name="authors-contributions"/>
      <w:bookmarkEnd w:id="13"/>
      <w:r>
        <w:t>Authors’ contributions</w:t>
      </w:r>
    </w:p>
    <w:p w14:paraId="17673A06" w14:textId="77777777" w:rsidR="00997432"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6E29B77E" w14:textId="77777777" w:rsidR="00997432" w:rsidRDefault="00000000">
      <w:pPr>
        <w:pStyle w:val="Heading2"/>
      </w:pPr>
      <w:bookmarkStart w:id="15" w:name="conflict-of-interest-declaration"/>
      <w:bookmarkEnd w:id="14"/>
      <w:r>
        <w:t>Conflict of interest declaration</w:t>
      </w:r>
    </w:p>
    <w:p w14:paraId="51714945" w14:textId="77777777" w:rsidR="00997432" w:rsidRDefault="00000000">
      <w:pPr>
        <w:pStyle w:val="FirstParagraph"/>
      </w:pPr>
      <w:r>
        <w:t>We declare we have no competing interests.</w:t>
      </w:r>
    </w:p>
    <w:p w14:paraId="0214B682" w14:textId="77777777" w:rsidR="00997432" w:rsidRDefault="00000000">
      <w:pPr>
        <w:pStyle w:val="Heading2"/>
      </w:pPr>
      <w:bookmarkStart w:id="16" w:name="funding"/>
      <w:bookmarkEnd w:id="15"/>
      <w:r>
        <w:t>Funding</w:t>
      </w:r>
    </w:p>
    <w:p w14:paraId="6FAA55EA" w14:textId="77777777" w:rsidR="00997432" w:rsidRDefault="00000000">
      <w:pPr>
        <w:pStyle w:val="FirstParagraph"/>
      </w:pPr>
      <w:r>
        <w:t>This work was supported by a National Australian University fellowship (P.R.), the Australian Research Council (grant no. DP210101152) to D.N. and C.F., and the ACT Herpetological Association grant to P.R.</w:t>
      </w:r>
    </w:p>
    <w:p w14:paraId="74AEF728" w14:textId="77777777" w:rsidR="00997432" w:rsidRDefault="00000000">
      <w:pPr>
        <w:pStyle w:val="Heading2"/>
      </w:pPr>
      <w:bookmarkStart w:id="17" w:name="acknowledgements"/>
      <w:bookmarkEnd w:id="16"/>
      <w:r>
        <w:t>Acknowledgements</w:t>
      </w:r>
    </w:p>
    <w:p w14:paraId="774CA1C1" w14:textId="77777777" w:rsidR="00997432"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51E65C6D" w14:textId="77777777" w:rsidR="00997432" w:rsidRDefault="00000000">
      <w:pPr>
        <w:pStyle w:val="Heading2"/>
      </w:pPr>
      <w:bookmarkStart w:id="18" w:name="references"/>
      <w:bookmarkEnd w:id="17"/>
      <w:r>
        <w:lastRenderedPageBreak/>
        <w:t>References</w:t>
      </w:r>
    </w:p>
    <w:p w14:paraId="0D74B06C" w14:textId="77777777" w:rsidR="00997432" w:rsidRDefault="00000000">
      <w:pPr>
        <w:pStyle w:val="Bibliography"/>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10">
        <w:r>
          <w:rPr>
            <w:rStyle w:val="Hyperlink"/>
          </w:rPr>
          <w:t>https://doi.org/10.1007/s10071-020-01365-4</w:t>
        </w:r>
      </w:hyperlink>
    </w:p>
    <w:p w14:paraId="50A0C526" w14:textId="77777777" w:rsidR="00997432" w:rsidRDefault="00000000">
      <w:pPr>
        <w:pStyle w:val="Bibliography"/>
      </w:pPr>
      <w:bookmarkStart w:id="21" w:name="ref-amiel_effects_2017"/>
      <w:bookmarkEnd w:id="1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1">
        <w:r>
          <w:rPr>
            <w:rStyle w:val="Hyperlink"/>
          </w:rPr>
          <w:t>https://doi.org/10.1007/s10071-016-0993-2</w:t>
        </w:r>
      </w:hyperlink>
    </w:p>
    <w:p w14:paraId="42B81932" w14:textId="77777777" w:rsidR="00997432" w:rsidRDefault="00000000">
      <w:pPr>
        <w:pStyle w:val="Bibliography"/>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2">
        <w:r>
          <w:rPr>
            <w:rStyle w:val="Hyperlink"/>
          </w:rPr>
          <w:t>https://doi.org/10.1007/s10071-013-0665-4</w:t>
        </w:r>
      </w:hyperlink>
    </w:p>
    <w:p w14:paraId="2BAB7D90" w14:textId="77777777" w:rsidR="00997432" w:rsidRDefault="00000000">
      <w:pPr>
        <w:pStyle w:val="Bibliography"/>
      </w:pPr>
      <w:bookmarkStart w:id="23" w:name="ref-amiel_hotter_2012"/>
      <w:bookmarkEnd w:id="22"/>
      <w:r>
        <w:t xml:space="preserve">Amiel, J. J., &amp; Shine, R. (2012). Hotter nests produce smarter young lizards. </w:t>
      </w:r>
      <w:r>
        <w:rPr>
          <w:i/>
          <w:iCs/>
        </w:rPr>
        <w:t>Biology Letters</w:t>
      </w:r>
      <w:r>
        <w:t xml:space="preserve">, </w:t>
      </w:r>
      <w:r>
        <w:rPr>
          <w:i/>
          <w:iCs/>
        </w:rPr>
        <w:t>8</w:t>
      </w:r>
      <w:r>
        <w:t xml:space="preserve">(3), 372–374. </w:t>
      </w:r>
      <w:hyperlink r:id="rId13">
        <w:r>
          <w:rPr>
            <w:rStyle w:val="Hyperlink"/>
          </w:rPr>
          <w:t>https://doi.org/10.1098/rsbl.2011.1161</w:t>
        </w:r>
      </w:hyperlink>
    </w:p>
    <w:p w14:paraId="6CFCD474" w14:textId="77777777" w:rsidR="00997432" w:rsidRDefault="00000000">
      <w:pPr>
        <w:pStyle w:val="Bibliography"/>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4">
        <w:r>
          <w:rPr>
            <w:rStyle w:val="Hyperlink"/>
          </w:rPr>
          <w:t>https://doi.org/10.1371/journal.pone.0018277</w:t>
        </w:r>
      </w:hyperlink>
    </w:p>
    <w:p w14:paraId="3A6F497F" w14:textId="77777777" w:rsidR="00997432" w:rsidRDefault="00000000">
      <w:pPr>
        <w:pStyle w:val="Bibliography"/>
      </w:pPr>
      <w:bookmarkStart w:id="25" w:name="ref-Baden_Osorio_2019_Vert_vision"/>
      <w:bookmarkEnd w:id="24"/>
      <w:r>
        <w:t xml:space="preserve">Baden, T., &amp; Osorio, D. (2019). The retinal basis of vertebrate color vision. </w:t>
      </w:r>
      <w:r>
        <w:rPr>
          <w:i/>
          <w:iCs/>
        </w:rPr>
        <w:t>Annual Review of Vision Science</w:t>
      </w:r>
      <w:r>
        <w:t>, 177–200.</w:t>
      </w:r>
    </w:p>
    <w:p w14:paraId="5A63616E" w14:textId="77777777" w:rsidR="00997432" w:rsidRDefault="00000000">
      <w:pPr>
        <w:pStyle w:val="Bibliography"/>
      </w:pPr>
      <w:bookmarkStart w:id="26" w:name="ref-baker1979rainbow"/>
      <w:bookmarkEnd w:id="25"/>
      <w:r>
        <w:t xml:space="preserve">Baker, J. K. (1979). </w:t>
      </w:r>
      <w:r>
        <w:rPr>
          <w:i/>
          <w:iCs/>
        </w:rPr>
        <w:t>The rainbow skink, lampropholis delicata, in hawaii</w:t>
      </w:r>
      <w:r>
        <w:t>.</w:t>
      </w:r>
    </w:p>
    <w:p w14:paraId="319DA010" w14:textId="77777777" w:rsidR="00997432" w:rsidRDefault="00000000">
      <w:pPr>
        <w:pStyle w:val="Bibliography"/>
      </w:pPr>
      <w:bookmarkStart w:id="27" w:name="ref-bebus_associative_2016"/>
      <w:bookmarkEnd w:id="2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5">
        <w:r>
          <w:rPr>
            <w:rStyle w:val="Hyperlink"/>
          </w:rPr>
          <w:t>https://doi.org/10.1016/j.anbehav.2015.10.027</w:t>
        </w:r>
      </w:hyperlink>
    </w:p>
    <w:p w14:paraId="07125D42" w14:textId="77777777" w:rsidR="00997432" w:rsidRDefault="00000000">
      <w:pPr>
        <w:pStyle w:val="Bibliography"/>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66905F7A" w14:textId="77777777" w:rsidR="00997432" w:rsidRDefault="00000000">
      <w:pPr>
        <w:pStyle w:val="Bibliography"/>
      </w:pPr>
      <w:bookmarkStart w:id="29" w:name="ref-brown2010behavioral"/>
      <w:bookmarkEnd w:id="28"/>
      <w:r>
        <w:t xml:space="preserve">Brown, V. J., &amp; Tait, D. S. (2010). Behavioral flexibility: Attentional shifting, rule switching and response reversal. </w:t>
      </w:r>
      <w:r>
        <w:rPr>
          <w:i/>
          <w:iCs/>
        </w:rPr>
        <w:t>Encyclopedia of Psychopharmacology, Springer-Verlag: Berlin</w:t>
      </w:r>
      <w:r>
        <w:t>, 209–213.</w:t>
      </w:r>
    </w:p>
    <w:p w14:paraId="4BABB57E" w14:textId="77777777" w:rsidR="00997432" w:rsidRDefault="00000000">
      <w:pPr>
        <w:pStyle w:val="Bibliography"/>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155E8B60" w14:textId="77777777" w:rsidR="00997432" w:rsidRDefault="00000000">
      <w:pPr>
        <w:pStyle w:val="Bibliography"/>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6715AB3A" w14:textId="77777777" w:rsidR="00997432" w:rsidRDefault="00000000">
      <w:pPr>
        <w:pStyle w:val="Bibliography"/>
      </w:pPr>
      <w:bookmarkStart w:id="32" w:name="ref-carrasco2023maternal"/>
      <w:bookmarkEnd w:id="31"/>
      <w:r>
        <w:t xml:space="preserve">Carrasco, M. I., Zhang, J., &amp; Noble, D. W. (2023). </w:t>
      </w:r>
      <w:r>
        <w:rPr>
          <w:i/>
          <w:iCs/>
        </w:rPr>
        <w:t>Maternal investment and early thermal conditions affect performance and antipredator responses</w:t>
      </w:r>
      <w:r>
        <w:t>.</w:t>
      </w:r>
    </w:p>
    <w:p w14:paraId="4556C99B" w14:textId="77777777" w:rsidR="00997432" w:rsidRDefault="00000000">
      <w:pPr>
        <w:pStyle w:val="Bibliography"/>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6">
        <w:r>
          <w:rPr>
            <w:rStyle w:val="Hyperlink"/>
          </w:rPr>
          <w:t>https://doi.org/10.1071/ZO14098</w:t>
        </w:r>
      </w:hyperlink>
    </w:p>
    <w:p w14:paraId="2D810A9D" w14:textId="77777777" w:rsidR="00997432" w:rsidRDefault="00000000">
      <w:pPr>
        <w:pStyle w:val="Bibliography"/>
      </w:pPr>
      <w:bookmarkStart w:id="34" w:name="ref-chapple2015deliinvLHI"/>
      <w:bookmarkEnd w:id="33"/>
      <w:r>
        <w:lastRenderedPageBreak/>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4A80F191" w14:textId="77777777" w:rsidR="00997432" w:rsidRDefault="00000000">
      <w:pPr>
        <w:pStyle w:val="Bibliography"/>
      </w:pPr>
      <w:bookmarkStart w:id="35" w:name="ref-chapple2013divergent"/>
      <w:bookmarkEnd w:id="34"/>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4FC01AEC" w14:textId="77777777" w:rsidR="00997432" w:rsidRDefault="00000000">
      <w:pPr>
        <w:pStyle w:val="Bibliography"/>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17D5A202" w14:textId="77777777" w:rsidR="00997432" w:rsidRDefault="00000000">
      <w:pPr>
        <w:pStyle w:val="Bibliography"/>
      </w:pPr>
      <w:bookmarkStart w:id="37" w:name="ref-chapple_know_2011"/>
      <w:bookmarkEnd w:id="36"/>
      <w:r>
        <w:t xml:space="preserve">Chapple, D. G., Simmonds, S. M., &amp; Wong, B. B. M. (2011). Know when to run, know when to hide: Can behavioral differences explain the divergent invasion success of two sympatric </w:t>
      </w:r>
      <w:proofErr w:type="gramStart"/>
      <w:r>
        <w:t>lizards?:</w:t>
      </w:r>
      <w:proofErr w:type="gramEnd"/>
      <w:r>
        <w:t xml:space="preserve"> Invasion Success of Two Sympatric Lizards. </w:t>
      </w:r>
      <w:r>
        <w:rPr>
          <w:i/>
          <w:iCs/>
        </w:rPr>
        <w:t>Ecology and Evolution</w:t>
      </w:r>
      <w:r>
        <w:t xml:space="preserve">, </w:t>
      </w:r>
      <w:r>
        <w:rPr>
          <w:i/>
          <w:iCs/>
        </w:rPr>
        <w:t>1</w:t>
      </w:r>
      <w:r>
        <w:t xml:space="preserve">(3), 278–289. </w:t>
      </w:r>
      <w:hyperlink r:id="rId17">
        <w:r>
          <w:rPr>
            <w:rStyle w:val="Hyperlink"/>
          </w:rPr>
          <w:t>https://doi.org/10.1002/ece3.22</w:t>
        </w:r>
      </w:hyperlink>
    </w:p>
    <w:p w14:paraId="79B4EB22" w14:textId="77777777" w:rsidR="00997432" w:rsidRDefault="00000000">
      <w:pPr>
        <w:pStyle w:val="Bibliography"/>
      </w:pPr>
      <w:bookmarkStart w:id="38" w:name="ref-chapple2013biosecurity"/>
      <w:bookmarkEnd w:id="37"/>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2CAD7156" w14:textId="77777777" w:rsidR="00997432" w:rsidRDefault="00000000">
      <w:pPr>
        <w:pStyle w:val="Bibliography"/>
      </w:pPr>
      <w:bookmarkStart w:id="39" w:name="ref-cheetham2011embryonic"/>
      <w:bookmarkEnd w:id="38"/>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14E1BEFF" w14:textId="77777777" w:rsidR="00997432" w:rsidRDefault="00000000">
      <w:pPr>
        <w:pStyle w:val="Bibliography"/>
      </w:pPr>
      <w:bookmarkStart w:id="40" w:name="ref-clark_colour_2014"/>
      <w:bookmarkEnd w:id="39"/>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hyperlink r:id="rId18">
        <w:r>
          <w:rPr>
            <w:rStyle w:val="Hyperlink"/>
          </w:rPr>
          <w:t>https://doi.org/10.1007/s00265-013-1639-x</w:t>
        </w:r>
      </w:hyperlink>
    </w:p>
    <w:p w14:paraId="3368EC71" w14:textId="77777777" w:rsidR="00997432" w:rsidRDefault="00000000">
      <w:pPr>
        <w:pStyle w:val="Bibliography"/>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19">
        <w:r>
          <w:rPr>
            <w:rStyle w:val="Hyperlink"/>
          </w:rPr>
          <w:t>https://doi.org/10.1002/(SICI)1096-9861(19970414)380:3&lt;409::AID-CNE9&gt;3.0.CO;2-6</w:t>
        </w:r>
      </w:hyperlink>
    </w:p>
    <w:p w14:paraId="5B43808B" w14:textId="77777777" w:rsidR="00997432" w:rsidRDefault="00000000">
      <w:pPr>
        <w:pStyle w:val="Bibliography"/>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47A73800" w14:textId="77777777" w:rsidR="00997432" w:rsidRDefault="00000000">
      <w:pPr>
        <w:pStyle w:val="Bibliography"/>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20">
        <w:r>
          <w:rPr>
            <w:rStyle w:val="Hyperlink"/>
          </w:rPr>
          <w:t>https://doi.org/10.1016/j.ygcen.2013.10.006</w:t>
        </w:r>
      </w:hyperlink>
    </w:p>
    <w:p w14:paraId="751C3A3A" w14:textId="77777777" w:rsidR="00997432" w:rsidRDefault="00000000">
      <w:pPr>
        <w:pStyle w:val="Bibliography"/>
      </w:pPr>
      <w:bookmarkStart w:id="44" w:name="ref-crino2024eggs"/>
      <w:bookmarkEnd w:id="43"/>
      <w:r>
        <w:t xml:space="preserve">Crino, O., Wild, K. H., Friesen, C. R., Leibold, D. C., Laven, N., Peardon, A. Y., Recio, P., Noble, D. W., et al. (2024). </w:t>
      </w:r>
      <w:r>
        <w:rPr>
          <w:i/>
          <w:iCs/>
        </w:rPr>
        <w:t>From eggs to adulthood: Sustained effects of early developmental temperature and corticosterone exposure on physiology and body size in an australian lizard</w:t>
      </w:r>
      <w:r>
        <w:t>.</w:t>
      </w:r>
    </w:p>
    <w:p w14:paraId="56F2C84B" w14:textId="77777777" w:rsidR="00997432" w:rsidRDefault="00000000">
      <w:pPr>
        <w:pStyle w:val="Bibliography"/>
      </w:pPr>
      <w:bookmarkStart w:id="45" w:name="ref-dayananda_incubation_2017"/>
      <w:bookmarkEnd w:id="44"/>
      <w:r>
        <w:lastRenderedPageBreak/>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1">
        <w:r>
          <w:rPr>
            <w:rStyle w:val="Hyperlink"/>
          </w:rPr>
          <w:t>https://doi.org/10.1098/rsbl.2017.0002</w:t>
        </w:r>
      </w:hyperlink>
    </w:p>
    <w:p w14:paraId="3AFABD70" w14:textId="77777777" w:rsidR="00997432" w:rsidRDefault="00000000">
      <w:pPr>
        <w:pStyle w:val="Bibliography"/>
      </w:pPr>
      <w:bookmarkStart w:id="46" w:name="ref-dissanayake2021effects"/>
      <w:bookmarkEnd w:id="45"/>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40424382" w14:textId="77777777" w:rsidR="00997432" w:rsidRDefault="00000000">
      <w:pPr>
        <w:pStyle w:val="Bibliography"/>
      </w:pPr>
      <w:bookmarkStart w:id="47" w:name="ref-du_dynamic_2009"/>
      <w:bookmarkEnd w:id="46"/>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hyperlink r:id="rId22">
        <w:r>
          <w:rPr>
            <w:rStyle w:val="Hyperlink"/>
          </w:rPr>
          <w:t>https://doi.org/10.1073/pnas.0812671106</w:t>
        </w:r>
      </w:hyperlink>
    </w:p>
    <w:p w14:paraId="4924B98D" w14:textId="77777777" w:rsidR="00997432" w:rsidRDefault="00000000">
      <w:pPr>
        <w:pStyle w:val="Bibliography"/>
      </w:pPr>
      <w:bookmarkStart w:id="48" w:name="ref-farrell_developmental_2016"/>
      <w:bookmarkEnd w:id="47"/>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hyperlink r:id="rId23">
        <w:r>
          <w:rPr>
            <w:rStyle w:val="Hyperlink"/>
          </w:rPr>
          <w:t>https://doi.org/10.1007/s10071-015-0908-7</w:t>
        </w:r>
      </w:hyperlink>
    </w:p>
    <w:p w14:paraId="20EF4292" w14:textId="77777777" w:rsidR="00997432" w:rsidRDefault="00000000">
      <w:pPr>
        <w:pStyle w:val="Bibliography"/>
      </w:pPr>
      <w:bookmarkStart w:id="49" w:name="ref-feng2015effect"/>
      <w:bookmarkEnd w:id="48"/>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15D9A78B" w14:textId="77777777" w:rsidR="00997432" w:rsidRDefault="00000000">
      <w:pPr>
        <w:pStyle w:val="Bibliography"/>
      </w:pPr>
      <w:bookmarkStart w:id="50" w:name="ref-gapp2014early"/>
      <w:bookmarkEnd w:id="49"/>
      <w:r>
        <w:t xml:space="preserve">Gapp, K., Soldado-Magraner, S., Alvarez-Sánchez, M., Bohacek, J., Vernaz, G., Shu, H., Franklin, T. B., Wolfer, D., &amp; Mansuy, I. M. (2014). Early life stress in fathers improves behavioural flexibility in their offspring. </w:t>
      </w:r>
      <w:r>
        <w:rPr>
          <w:i/>
          <w:iCs/>
        </w:rPr>
        <w:t>Nature Communications</w:t>
      </w:r>
      <w:r>
        <w:t xml:space="preserve">, </w:t>
      </w:r>
      <w:r>
        <w:rPr>
          <w:i/>
          <w:iCs/>
        </w:rPr>
        <w:t>5</w:t>
      </w:r>
      <w:r>
        <w:t>(1), 5466.</w:t>
      </w:r>
    </w:p>
    <w:p w14:paraId="59FD446E" w14:textId="77777777" w:rsidR="00997432" w:rsidRDefault="00000000">
      <w:pPr>
        <w:pStyle w:val="Bibliography"/>
      </w:pPr>
      <w:bookmarkStart w:id="51" w:name="ref-hurtubise2017effects"/>
      <w:bookmarkEnd w:id="50"/>
      <w:r>
        <w:t xml:space="preserve">Hurtubise, J. L., &amp; Howland, J. G. (2017). Effects of stress on behavioral flexibility in rodents. </w:t>
      </w:r>
      <w:r>
        <w:rPr>
          <w:i/>
          <w:iCs/>
        </w:rPr>
        <w:t>Neuroscience</w:t>
      </w:r>
      <w:r>
        <w:t xml:space="preserve">, </w:t>
      </w:r>
      <w:r>
        <w:rPr>
          <w:i/>
          <w:iCs/>
        </w:rPr>
        <w:t>345</w:t>
      </w:r>
      <w:r>
        <w:t>, 176–192.</w:t>
      </w:r>
    </w:p>
    <w:p w14:paraId="64370DFE" w14:textId="77777777" w:rsidR="00997432" w:rsidRDefault="00000000">
      <w:pPr>
        <w:pStyle w:val="Bibliography"/>
      </w:pPr>
      <w:bookmarkStart w:id="52" w:name="ref-jonson1976effect"/>
      <w:bookmarkEnd w:id="51"/>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2F20C7E7" w14:textId="77777777" w:rsidR="00997432" w:rsidRDefault="00000000">
      <w:pPr>
        <w:pStyle w:val="Bibliography"/>
      </w:pPr>
      <w:bookmarkStart w:id="53" w:name="ref-kar2023heritability"/>
      <w:bookmarkEnd w:id="52"/>
      <w:r>
        <w:t xml:space="preserve">Kar, F., Nakagawa, S., &amp; Noble, D. W. (2023). Heritability and developmental plasticity of growth in an oviparous lizard. </w:t>
      </w:r>
      <w:r>
        <w:rPr>
          <w:i/>
          <w:iCs/>
        </w:rPr>
        <w:t>Heredity</w:t>
      </w:r>
      <w:r>
        <w:t>, 1–10.</w:t>
      </w:r>
    </w:p>
    <w:p w14:paraId="17A1C1B6" w14:textId="77777777" w:rsidR="00997432" w:rsidRDefault="00000000">
      <w:pPr>
        <w:pStyle w:val="Bibliography"/>
      </w:pPr>
      <w:bookmarkStart w:id="54" w:name="ref-kolbe2002impact"/>
      <w:bookmarkEnd w:id="53"/>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33911FF6" w14:textId="77777777" w:rsidR="00997432" w:rsidRDefault="00000000">
      <w:pPr>
        <w:pStyle w:val="Bibliography"/>
      </w:pPr>
      <w:bookmarkStart w:id="55" w:name="ref-lemaire_prenatal_2000"/>
      <w:bookmarkEnd w:id="54"/>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4">
        <w:r>
          <w:rPr>
            <w:rStyle w:val="Hyperlink"/>
          </w:rPr>
          <w:t>https://doi.org/10.1073/pnas.97.20.11032</w:t>
        </w:r>
      </w:hyperlink>
    </w:p>
    <w:p w14:paraId="6183E6B9" w14:textId="77777777" w:rsidR="00997432" w:rsidRDefault="00000000">
      <w:pPr>
        <w:pStyle w:val="Bibliography"/>
      </w:pPr>
      <w:bookmarkStart w:id="56" w:name="ref-lui2017chronic"/>
      <w:bookmarkEnd w:id="55"/>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1C37368E" w14:textId="77777777" w:rsidR="00997432" w:rsidRDefault="00000000">
      <w:pPr>
        <w:pStyle w:val="Bibliography"/>
      </w:pPr>
      <w:bookmarkStart w:id="57" w:name="ref-noble_age-dependent_2014"/>
      <w:bookmarkEnd w:id="56"/>
      <w:r>
        <w:t xml:space="preserve">Noble, D. W. A., Byrne, R. W., &amp; Whiting, M. J. (2014). Age-dependent social learning in a lizard. </w:t>
      </w:r>
      <w:r>
        <w:rPr>
          <w:i/>
          <w:iCs/>
        </w:rPr>
        <w:t>Biology Letters</w:t>
      </w:r>
      <w:r>
        <w:t xml:space="preserve">, </w:t>
      </w:r>
      <w:r>
        <w:rPr>
          <w:i/>
          <w:iCs/>
        </w:rPr>
        <w:t>10</w:t>
      </w:r>
      <w:r>
        <w:t xml:space="preserve">(7), 20140430. </w:t>
      </w:r>
      <w:hyperlink r:id="rId25">
        <w:r>
          <w:rPr>
            <w:rStyle w:val="Hyperlink"/>
          </w:rPr>
          <w:t>https://doi.org/10.1098/rsbl.2014.0430</w:t>
        </w:r>
      </w:hyperlink>
    </w:p>
    <w:p w14:paraId="0D3495EB" w14:textId="77777777" w:rsidR="00997432" w:rsidRDefault="00000000">
      <w:pPr>
        <w:pStyle w:val="Bibliography"/>
      </w:pPr>
      <w:bookmarkStart w:id="58" w:name="ref-qualls2000post"/>
      <w:bookmarkEnd w:id="57"/>
      <w:r>
        <w:lastRenderedPageBreak/>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356811EB" w14:textId="77777777" w:rsidR="00997432" w:rsidRDefault="00000000">
      <w:pPr>
        <w:pStyle w:val="Bibliography"/>
      </w:pPr>
      <w:bookmarkStart w:id="59" w:name="ref-R"/>
      <w:bookmarkEnd w:id="58"/>
      <w:r>
        <w:t xml:space="preserve">R Core Team. (2021). </w:t>
      </w:r>
      <w:r>
        <w:rPr>
          <w:i/>
          <w:iCs/>
        </w:rPr>
        <w:t>R: A language and environment for statistical computing</w:t>
      </w:r>
      <w:r>
        <w:t xml:space="preserve">. R Foundation for Statistical Computing. </w:t>
      </w:r>
      <w:hyperlink r:id="rId26">
        <w:r>
          <w:rPr>
            <w:rStyle w:val="Hyperlink"/>
          </w:rPr>
          <w:t>https://www.R-project.org/</w:t>
        </w:r>
      </w:hyperlink>
    </w:p>
    <w:p w14:paraId="74842B07" w14:textId="77777777" w:rsidR="00997432" w:rsidRDefault="00000000">
      <w:pPr>
        <w:pStyle w:val="Bibliography"/>
      </w:pPr>
      <w:bookmarkStart w:id="60" w:name="ref-sakata_neural_2000"/>
      <w:bookmarkEnd w:id="59"/>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0D739066" w14:textId="77777777" w:rsidR="00997432" w:rsidRDefault="00000000">
      <w:pPr>
        <w:pStyle w:val="Bibliography"/>
      </w:pPr>
      <w:bookmarkStart w:id="61" w:name="ref-sapolsky_how_2000"/>
      <w:bookmarkEnd w:id="60"/>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25775F44" w14:textId="77777777" w:rsidR="00997432" w:rsidRDefault="00000000">
      <w:pPr>
        <w:pStyle w:val="Bibliography"/>
      </w:pPr>
      <w:bookmarkStart w:id="62" w:name="ref-sol2008brain"/>
      <w:bookmarkEnd w:id="61"/>
      <w:r>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6F8E6EBE" w14:textId="77777777" w:rsidR="00997432" w:rsidRDefault="00000000">
      <w:pPr>
        <w:pStyle w:val="Bibliography"/>
      </w:pPr>
      <w:bookmarkStart w:id="63" w:name="ref-sol2000behavioural"/>
      <w:bookmarkEnd w:id="62"/>
      <w:r>
        <w:t xml:space="preserve">Sol, D., &amp; Lefebvre, L. (2000). Behavioural flexibility predicts invasion success in birds introduced to new zealand. </w:t>
      </w:r>
      <w:r>
        <w:rPr>
          <w:i/>
          <w:iCs/>
        </w:rPr>
        <w:t>Oikos</w:t>
      </w:r>
      <w:r>
        <w:t xml:space="preserve">, </w:t>
      </w:r>
      <w:r>
        <w:rPr>
          <w:i/>
          <w:iCs/>
        </w:rPr>
        <w:t>90</w:t>
      </w:r>
      <w:r>
        <w:t>(3), 599–605.</w:t>
      </w:r>
    </w:p>
    <w:p w14:paraId="463B7452" w14:textId="77777777" w:rsidR="00997432" w:rsidRDefault="00000000">
      <w:pPr>
        <w:pStyle w:val="Bibliography"/>
      </w:pPr>
      <w:bookmarkStart w:id="64" w:name="ref-szabo2020can"/>
      <w:bookmarkEnd w:id="63"/>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71EA4D05" w14:textId="77777777" w:rsidR="00997432" w:rsidRDefault="00000000">
      <w:pPr>
        <w:pStyle w:val="Bibliography"/>
      </w:pPr>
      <w:bookmarkStart w:id="65" w:name="ref-szabo2019sex"/>
      <w:bookmarkEnd w:id="64"/>
      <w:r>
        <w:t xml:space="preserve">Szabo, B., Whiting, M. J., &amp; Noble, D. W. (2019). Sex-dependent discrimination learning in lizards: A meta-analysis. </w:t>
      </w:r>
      <w:r>
        <w:rPr>
          <w:i/>
          <w:iCs/>
        </w:rPr>
        <w:t>Behavioural Processes</w:t>
      </w:r>
      <w:r>
        <w:t xml:space="preserve">, </w:t>
      </w:r>
      <w:r>
        <w:rPr>
          <w:i/>
          <w:iCs/>
        </w:rPr>
        <w:t>164</w:t>
      </w:r>
      <w:r>
        <w:t>, 10–16.</w:t>
      </w:r>
    </w:p>
    <w:p w14:paraId="4499B3D9" w14:textId="77777777" w:rsidR="00997432" w:rsidRDefault="00000000">
      <w:pPr>
        <w:pStyle w:val="Bibliography"/>
      </w:pPr>
      <w:bookmarkStart w:id="66" w:name="ref-szulkin2020urban"/>
      <w:bookmarkEnd w:id="65"/>
      <w:r>
        <w:t xml:space="preserve">Szulkin, M., Munshi-South, J., &amp; Charmantier, A. (2020). </w:t>
      </w:r>
      <w:r>
        <w:rPr>
          <w:i/>
          <w:iCs/>
        </w:rPr>
        <w:t>Urban evolutionary biology</w:t>
      </w:r>
      <w:r>
        <w:t>. Oxford University Press, USA.</w:t>
      </w:r>
    </w:p>
    <w:p w14:paraId="57956F69" w14:textId="77777777" w:rsidR="00997432" w:rsidRDefault="00000000">
      <w:pPr>
        <w:pStyle w:val="Bibliography"/>
      </w:pPr>
      <w:bookmarkStart w:id="67" w:name="ref-szuran_water_1994"/>
      <w:bookmarkEnd w:id="66"/>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7">
        <w:r>
          <w:rPr>
            <w:rStyle w:val="Hyperlink"/>
          </w:rPr>
          <w:t>https://doi.org/10.1016/0166-4328(94)90100-7</w:t>
        </w:r>
      </w:hyperlink>
    </w:p>
    <w:p w14:paraId="1ADFF859" w14:textId="77777777" w:rsidR="00997432" w:rsidRDefault="00000000">
      <w:pPr>
        <w:pStyle w:val="Bibliography"/>
      </w:pPr>
      <w:bookmarkStart w:id="68" w:name="ref-taborsky2021towards"/>
      <w:bookmarkEnd w:id="67"/>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1D4722B6" w14:textId="77777777" w:rsidR="00997432" w:rsidRDefault="00000000">
      <w:pPr>
        <w:pStyle w:val="Bibliography"/>
      </w:pPr>
      <w:bookmarkStart w:id="69" w:name="ref-wright2010behavioral"/>
      <w:bookmarkEnd w:id="68"/>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4D0B5252" w14:textId="77777777" w:rsidR="00997432" w:rsidRDefault="00000000">
      <w:pPr>
        <w:pStyle w:val="Bibliography"/>
      </w:pPr>
      <w:bookmarkStart w:id="70" w:name="ref-zhu_prenatal_2004"/>
      <w:bookmarkEnd w:id="69"/>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8">
        <w:r>
          <w:rPr>
            <w:rStyle w:val="Hyperlink"/>
          </w:rPr>
          <w:t>https://doi.org/10.1002/jnr.20338</w:t>
        </w:r>
      </w:hyperlink>
    </w:p>
    <w:bookmarkEnd w:id="20"/>
    <w:bookmarkEnd w:id="70"/>
    <w:p w14:paraId="4661E217" w14:textId="77777777" w:rsidR="00997432" w:rsidRDefault="00000000">
      <w:r>
        <w:br w:type="page"/>
      </w:r>
    </w:p>
    <w:p w14:paraId="342B5F14" w14:textId="77777777" w:rsidR="00997432" w:rsidRDefault="00000000">
      <w:pPr>
        <w:pStyle w:val="Heading1"/>
      </w:pPr>
      <w:bookmarkStart w:id="71" w:name="suplementary-material"/>
      <w:bookmarkEnd w:id="18"/>
      <w:r>
        <w:lastRenderedPageBreak/>
        <w:t>Suplementary Material</w:t>
      </w:r>
    </w:p>
    <w:p w14:paraId="7EEB4A1E" w14:textId="77777777" w:rsidR="00997432" w:rsidRDefault="00000000">
      <w:pPr>
        <w:pStyle w:val="Heading4"/>
      </w:pPr>
      <w:bookmarkStart w:id="72" w:name="Xc012a426aa80adb6c670b93a3977aae725087ad"/>
      <w:r>
        <w:t>Estimates of reversal learning slopes for all the different treatments per each task, specie, and group.</w:t>
      </w:r>
    </w:p>
    <w:p w14:paraId="23876885" w14:textId="77777777" w:rsidR="00997432" w:rsidRDefault="00000000">
      <w:pPr>
        <w:pStyle w:val="FirstParagraph"/>
      </w:pPr>
      <w:r>
        <w:t xml:space="preserve">Table 1. Estimates of Reversal learning </w:t>
      </w:r>
      <w:proofErr w:type="gramStart"/>
      <w:r>
        <w:t>slope</w:t>
      </w:r>
      <w:proofErr w:type="gramEnd"/>
      <w:r>
        <w:t xml:space="preserve"> for all the different treatments per each task, specie, and group. Mean shows the arithmetic means of the estimates obtained from the posteriors of the model, and 95% CI indicates the 95% confidence interval of the mean. All pmcmc tested the hypothesis that the mean equals zero.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997432" w14:paraId="6678F313"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C1875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3"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70EF7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F752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5F547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37D1D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997432" w14:paraId="49D425B2"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209E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3A3C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E417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1381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25C8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6CF4E87E"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6ED2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4A6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818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D999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95B6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535BE74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14B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ED24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67B1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CCDC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F8D4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2892DE96"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C3D999"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7F776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14ACC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35C3A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A0E58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387F361A"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1F93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2427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DA64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FD43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D428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0B2C0F6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483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ECF8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C74E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E23F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7080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7E0F55E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8670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4FAE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AC38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B76F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D88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01BA78F3"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5EAAB3"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7689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03972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CBC05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F84E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69BEAC63" w14:textId="174DB977" w:rsidR="00997432" w:rsidRDefault="00997432">
      <w:pPr>
        <w:pStyle w:val="BodyText"/>
      </w:pPr>
    </w:p>
    <w:bookmarkEnd w:id="73"/>
    <w:p w14:paraId="52E82EF4" w14:textId="77777777" w:rsidR="00997432" w:rsidRDefault="00000000">
      <w:r>
        <w:br w:type="page"/>
      </w:r>
    </w:p>
    <w:p w14:paraId="305E2115" w14:textId="77777777" w:rsidR="00997432" w:rsidRDefault="00000000">
      <w:pPr>
        <w:pStyle w:val="BodyText"/>
      </w:pPr>
      <w:r>
        <w:lastRenderedPageBreak/>
        <w:t xml:space="preserve">Table 2. Estimates of Reversal learning </w:t>
      </w:r>
      <w:proofErr w:type="gramStart"/>
      <w:r>
        <w:t>slope</w:t>
      </w:r>
      <w:proofErr w:type="gramEnd"/>
      <w:r>
        <w:t xml:space="preserv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997432" w14:paraId="1BF8055E"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27DF5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4"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AF2B9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27779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250B1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26723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997432" w14:paraId="05099534"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29DC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B785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573E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C693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E40D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997432" w14:paraId="5DF4E3CD"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DA85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9B4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2B68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260C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730B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13A9140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40AF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50E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D064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CEA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19B2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1CE698E6"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717474"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8D7D4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0BDF4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81F33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5BB2C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997432" w14:paraId="0827216E"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604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104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11D3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96B4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5E03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997432" w14:paraId="48ACE9AA"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A3A1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2BED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F68E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9EB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C34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997432" w14:paraId="21CDDF48"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CFB4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1529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A961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BE5E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1BE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997432" w14:paraId="764EFBE2"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BA4BF"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EC1A3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B5855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CA507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7F00C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4F220283" w14:textId="7CF20274" w:rsidR="00997432" w:rsidRDefault="00997432">
      <w:pPr>
        <w:pStyle w:val="BodyText"/>
      </w:pPr>
    </w:p>
    <w:bookmarkEnd w:id="74"/>
    <w:p w14:paraId="66C74DB4" w14:textId="77777777" w:rsidR="00997432" w:rsidRDefault="00000000">
      <w:r>
        <w:br w:type="page"/>
      </w:r>
    </w:p>
    <w:p w14:paraId="06FCE4BC" w14:textId="77777777" w:rsidR="00997432" w:rsidRDefault="00000000">
      <w:pPr>
        <w:pStyle w:val="Heading4"/>
      </w:pPr>
      <w:bookmarkStart w:id="75" w:name="figures-with-raw-data"/>
      <w:bookmarkEnd w:id="72"/>
      <w:r>
        <w:lastRenderedPageBreak/>
        <w:t>Figures with raw data</w:t>
      </w:r>
    </w:p>
    <w:tbl>
      <w:tblPr>
        <w:tblStyle w:val="Table"/>
        <w:tblW w:w="5000" w:type="pct"/>
        <w:tblLook w:val="0000" w:firstRow="0" w:lastRow="0" w:firstColumn="0" w:lastColumn="0" w:noHBand="0" w:noVBand="0"/>
      </w:tblPr>
      <w:tblGrid>
        <w:gridCol w:w="9360"/>
      </w:tblGrid>
      <w:tr w:rsidR="00997432" w14:paraId="47C6C30F" w14:textId="77777777">
        <w:tc>
          <w:tcPr>
            <w:tcW w:w="0" w:type="auto"/>
          </w:tcPr>
          <w:p w14:paraId="2EDFBAD1" w14:textId="77777777" w:rsidR="00997432" w:rsidRDefault="00000000">
            <w:pPr>
              <w:jc w:val="center"/>
            </w:pPr>
            <w:r>
              <w:rPr>
                <w:noProof/>
              </w:rPr>
              <w:drawing>
                <wp:inline distT="0" distB="0" distL="0" distR="0" wp14:anchorId="1923AA82" wp14:editId="0850FA5F">
                  <wp:extent cx="5943600" cy="4278788"/>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output/figures/plot_raw.png"/>
                          <pic:cNvPicPr>
                            <a:picLocks noChangeAspect="1" noChangeArrowheads="1"/>
                          </pic:cNvPicPr>
                        </pic:nvPicPr>
                        <pic:blipFill>
                          <a:blip r:embed="rId29"/>
                          <a:stretch>
                            <a:fillRect/>
                          </a:stretch>
                        </pic:blipFill>
                        <pic:spPr bwMode="auto">
                          <a:xfrm>
                            <a:off x="0" y="0"/>
                            <a:ext cx="5943600" cy="4278788"/>
                          </a:xfrm>
                          <a:prstGeom prst="rect">
                            <a:avLst/>
                          </a:prstGeom>
                          <a:noFill/>
                          <a:ln w="9525">
                            <a:noFill/>
                            <a:headEnd/>
                            <a:tailEnd/>
                          </a:ln>
                        </pic:spPr>
                      </pic:pic>
                    </a:graphicData>
                  </a:graphic>
                </wp:inline>
              </w:drawing>
            </w:r>
          </w:p>
          <w:p w14:paraId="580EB872" w14:textId="77777777" w:rsidR="00997432" w:rsidRDefault="00000000">
            <w:pPr>
              <w:pStyle w:val="ImageCaption"/>
              <w:spacing w:before="200"/>
            </w:pPr>
            <w:r>
              <w:t>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p>
        </w:tc>
      </w:tr>
    </w:tbl>
    <w:p w14:paraId="2F35E187" w14:textId="77777777" w:rsidR="00997432" w:rsidRDefault="00000000">
      <w:r>
        <w:br w:type="page"/>
      </w:r>
    </w:p>
    <w:p w14:paraId="4119D208" w14:textId="77777777" w:rsidR="00997432" w:rsidRDefault="00000000">
      <w:pPr>
        <w:pStyle w:val="Heading4"/>
      </w:pPr>
      <w:bookmarkStart w:id="76" w:name="X1b2454c61dc658aba6d0c10b8c86c43985c3057"/>
      <w:bookmarkEnd w:id="75"/>
      <w:r>
        <w:lastRenderedPageBreak/>
        <w:t>Results using a standard learning criterion of 5 consecutive correct choices</w:t>
      </w:r>
    </w:p>
    <w:p w14:paraId="169B5C85" w14:textId="77777777" w:rsidR="00997432" w:rsidRDefault="00000000">
      <w:pPr>
        <w:pStyle w:val="FirstParagraph"/>
      </w:pPr>
      <w:r>
        <w:t>Table 3. Number of individuals per treatment and species that reached a learning criterion of 5 consecutive correct choices (n lizards), and the average of trials taken (Trial) together with the standard deviation (sd).</w:t>
      </w:r>
    </w:p>
    <w:tbl>
      <w:tblPr>
        <w:tblW w:w="0" w:type="auto"/>
        <w:jc w:val="center"/>
        <w:tblLayout w:type="fixed"/>
        <w:tblLook w:val="0420" w:firstRow="1" w:lastRow="0" w:firstColumn="0" w:lastColumn="0" w:noHBand="0" w:noVBand="1"/>
      </w:tblPr>
      <w:tblGrid>
        <w:gridCol w:w="1466"/>
        <w:gridCol w:w="1477"/>
        <w:gridCol w:w="1094"/>
        <w:gridCol w:w="866"/>
        <w:gridCol w:w="861"/>
      </w:tblGrid>
      <w:tr w:rsidR="00997432" w14:paraId="61F27CCA"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39051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85856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5C44F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n lizards</w:t>
            </w:r>
          </w:p>
        </w:tc>
        <w:tc>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CDC10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73A7A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sd</w:t>
            </w:r>
          </w:p>
        </w:tc>
      </w:tr>
      <w:tr w:rsidR="00997432" w14:paraId="1CA359E4"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A3F2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598F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A988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w:t>
            </w:r>
          </w:p>
        </w:tc>
        <w:tc>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AF1A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25.89</w:t>
            </w:r>
          </w:p>
        </w:tc>
        <w:tc>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54F6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5.84</w:t>
            </w:r>
          </w:p>
        </w:tc>
      </w:tr>
      <w:tr w:rsidR="00997432" w14:paraId="6CB625D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C39E6"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5FDA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FD17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4BE0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21.17</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B7BB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8.80</w:t>
            </w:r>
          </w:p>
        </w:tc>
      </w:tr>
      <w:tr w:rsidR="00997432" w14:paraId="790B0CCD"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7C8A9"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9BD6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199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6BBC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33.50</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DA54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9.19</w:t>
            </w:r>
          </w:p>
        </w:tc>
      </w:tr>
      <w:tr w:rsidR="00997432" w14:paraId="00A2D37F"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F71D84"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34335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A230A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322CC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24.25</w:t>
            </w:r>
          </w:p>
        </w:tc>
        <w:tc>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ED60A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13.20</w:t>
            </w:r>
          </w:p>
        </w:tc>
      </w:tr>
      <w:tr w:rsidR="00997432" w14:paraId="3A67BE58"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8725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7978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DCBA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w:t>
            </w:r>
          </w:p>
        </w:tc>
        <w:tc>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C06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28.00</w:t>
            </w:r>
          </w:p>
        </w:tc>
        <w:tc>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1D3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5.20</w:t>
            </w:r>
          </w:p>
        </w:tc>
      </w:tr>
      <w:tr w:rsidR="00997432" w14:paraId="691891E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F702"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D4A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0DF9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E8F8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26.00</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51F9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12.36</w:t>
            </w:r>
          </w:p>
        </w:tc>
      </w:tr>
      <w:tr w:rsidR="00997432" w14:paraId="1FA204B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24CC4"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7F31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584C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w:t>
            </w:r>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CFA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22.62</w:t>
            </w:r>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F9E2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9.47</w:t>
            </w:r>
          </w:p>
        </w:tc>
      </w:tr>
      <w:tr w:rsidR="00997432" w14:paraId="6F8128D5"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BF18B" w14:textId="77777777" w:rsidR="00997432" w:rsidRDefault="00997432">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8E2E2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8D3AA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10D4A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28.33</w:t>
            </w:r>
          </w:p>
        </w:tc>
        <w:tc>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A70A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9.69</w:t>
            </w:r>
          </w:p>
        </w:tc>
      </w:tr>
    </w:tbl>
    <w:p w14:paraId="490875FB" w14:textId="77777777" w:rsidR="00997432" w:rsidRDefault="00000000">
      <w:r>
        <w:br w:type="page"/>
      </w:r>
    </w:p>
    <w:p w14:paraId="64A2E8BC" w14:textId="77777777" w:rsidR="00997432" w:rsidRDefault="00000000">
      <w:pPr>
        <w:pStyle w:val="Heading4"/>
      </w:pPr>
      <w:bookmarkStart w:id="77" w:name="checking-the-main-models-plots"/>
      <w:bookmarkEnd w:id="76"/>
      <w:r>
        <w:lastRenderedPageBreak/>
        <w:t xml:space="preserve">Checking the main </w:t>
      </w:r>
      <w:proofErr w:type="gramStart"/>
      <w:r>
        <w:t>models</w:t>
      </w:r>
      <w:proofErr w:type="gramEnd"/>
      <w:r>
        <w:t xml:space="preserve"> plots</w:t>
      </w:r>
    </w:p>
    <w:p w14:paraId="58C76A3C" w14:textId="77777777" w:rsidR="00997432" w:rsidRDefault="00000000">
      <w:pPr>
        <w:pStyle w:val="FirstParagraph"/>
      </w:pPr>
      <w:r>
        <w:t>Model formula for the reversal task is:</w:t>
      </w:r>
    </w:p>
    <w:p w14:paraId="754355E3" w14:textId="77777777" w:rsidR="00997432" w:rsidRDefault="00000000">
      <w:pPr>
        <w:pStyle w:val="BodyText"/>
      </w:pPr>
      <w:r>
        <w:t>Choice ~ trial_reversal</w:t>
      </w:r>
      <w:r>
        <w:rPr>
          <w:i/>
          <w:iCs/>
        </w:rPr>
        <w:t>cort</w:t>
      </w:r>
      <w:r>
        <w:t>temp + (1 + trial_reversal|lizard_id)</w:t>
      </w:r>
    </w:p>
    <w:p w14:paraId="3342DA5B" w14:textId="77777777" w:rsidR="00997432" w:rsidRDefault="00000000">
      <w:pPr>
        <w:pStyle w:val="BodyText"/>
      </w:pPr>
      <w:r>
        <w:t>Plots for the different models of the reversal task:</w:t>
      </w:r>
      <w:r>
        <w:br/>
        <w:t xml:space="preserve">1.- </w:t>
      </w:r>
      <w:r>
        <w:rPr>
          <w:i/>
          <w:iCs/>
        </w:rPr>
        <w:t>L. delicata</w:t>
      </w:r>
    </w:p>
    <w:p w14:paraId="26BF9653" w14:textId="77777777" w:rsidR="00997432" w:rsidRDefault="00000000">
      <w:pPr>
        <w:pStyle w:val="SourceCode"/>
      </w:pPr>
      <w:r>
        <w:rPr>
          <w:rStyle w:val="VerbatimChar"/>
        </w:rPr>
        <w:t xml:space="preserve">    </w:t>
      </w:r>
      <w:proofErr w:type="gramStart"/>
      <w:r>
        <w:rPr>
          <w:rStyle w:val="VerbatimChar"/>
        </w:rPr>
        <w:t>Estimate  Est.Error</w:t>
      </w:r>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997432" w14:paraId="0E5A9397" w14:textId="77777777">
        <w:tc>
          <w:tcPr>
            <w:tcW w:w="0" w:type="auto"/>
          </w:tcPr>
          <w:p w14:paraId="1EF6A9A6" w14:textId="77777777" w:rsidR="00997432" w:rsidRDefault="00000000">
            <w:pPr>
              <w:jc w:val="center"/>
            </w:pPr>
            <w:r>
              <w:rPr>
                <w:noProof/>
              </w:rPr>
              <w:drawing>
                <wp:inline distT="0" distB="0" distL="0" distR="0" wp14:anchorId="25A1CA62" wp14:editId="4ADDCA19">
                  <wp:extent cx="4160520" cy="3328416"/>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s_files/figure-docx/plotmod_drr-1.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77D70152" w14:textId="77777777" w:rsidR="00997432" w:rsidRDefault="00997432">
            <w:pPr>
              <w:pStyle w:val="ImageCaption"/>
              <w:spacing w:before="200"/>
            </w:pPr>
          </w:p>
        </w:tc>
      </w:tr>
      <w:tr w:rsidR="00997432" w14:paraId="258DCA0C" w14:textId="77777777">
        <w:tc>
          <w:tcPr>
            <w:tcW w:w="0" w:type="auto"/>
          </w:tcPr>
          <w:p w14:paraId="43DCB171" w14:textId="77777777" w:rsidR="00997432" w:rsidRDefault="00000000">
            <w:pPr>
              <w:jc w:val="center"/>
            </w:pPr>
            <w:r>
              <w:rPr>
                <w:noProof/>
              </w:rPr>
              <w:lastRenderedPageBreak/>
              <w:drawing>
                <wp:inline distT="0" distB="0" distL="0" distR="0" wp14:anchorId="399EF946" wp14:editId="22CDC441">
                  <wp:extent cx="4160520" cy="332841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plotmod_drr-2.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04900EA0" w14:textId="77777777" w:rsidR="00997432" w:rsidRDefault="00997432">
            <w:pPr>
              <w:pStyle w:val="ImageCaption"/>
              <w:spacing w:before="200"/>
            </w:pPr>
          </w:p>
        </w:tc>
      </w:tr>
      <w:tr w:rsidR="00997432" w14:paraId="5E534F0B" w14:textId="77777777">
        <w:tc>
          <w:tcPr>
            <w:tcW w:w="0" w:type="auto"/>
          </w:tcPr>
          <w:p w14:paraId="4B8CF17F" w14:textId="77777777" w:rsidR="00997432" w:rsidRDefault="00000000">
            <w:pPr>
              <w:jc w:val="center"/>
            </w:pPr>
            <w:r>
              <w:rPr>
                <w:noProof/>
              </w:rPr>
              <w:drawing>
                <wp:inline distT="0" distB="0" distL="0" distR="0" wp14:anchorId="4AEEB293" wp14:editId="42459DC0">
                  <wp:extent cx="4160520" cy="3328416"/>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plotmod_drr-3.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79196562" w14:textId="77777777" w:rsidR="00997432" w:rsidRDefault="00997432">
            <w:pPr>
              <w:pStyle w:val="ImageCaption"/>
              <w:spacing w:before="200"/>
            </w:pPr>
          </w:p>
        </w:tc>
      </w:tr>
    </w:tbl>
    <w:p w14:paraId="3D0C4F29" w14:textId="77777777" w:rsidR="00997432" w:rsidRDefault="00000000">
      <w:r>
        <w:br w:type="page"/>
      </w:r>
    </w:p>
    <w:p w14:paraId="1C459C88" w14:textId="77777777" w:rsidR="00997432" w:rsidRDefault="00000000">
      <w:pPr>
        <w:pStyle w:val="BodyText"/>
      </w:pPr>
      <w:r>
        <w:lastRenderedPageBreak/>
        <w:t xml:space="preserve">2.- </w:t>
      </w:r>
      <w:r>
        <w:rPr>
          <w:i/>
          <w:iCs/>
        </w:rPr>
        <w:t>L. guichenoti</w:t>
      </w:r>
    </w:p>
    <w:p w14:paraId="3592CF92" w14:textId="77777777" w:rsidR="00997432" w:rsidRDefault="00000000">
      <w:pPr>
        <w:pStyle w:val="SourceCode"/>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997432" w14:paraId="216EF7C2" w14:textId="77777777">
        <w:tc>
          <w:tcPr>
            <w:tcW w:w="0" w:type="auto"/>
          </w:tcPr>
          <w:p w14:paraId="5C31D66D" w14:textId="77777777" w:rsidR="00997432" w:rsidRDefault="00000000">
            <w:pPr>
              <w:jc w:val="center"/>
            </w:pPr>
            <w:r>
              <w:rPr>
                <w:noProof/>
              </w:rPr>
              <w:drawing>
                <wp:inline distT="0" distB="0" distL="0" distR="0" wp14:anchorId="03C19B41" wp14:editId="356DD18C">
                  <wp:extent cx="4160520" cy="3328416"/>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plotmod_grr-1.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7EFBEAE3" w14:textId="77777777" w:rsidR="00997432" w:rsidRDefault="00997432">
            <w:pPr>
              <w:pStyle w:val="ImageCaption"/>
              <w:spacing w:before="200"/>
            </w:pPr>
          </w:p>
        </w:tc>
      </w:tr>
      <w:tr w:rsidR="00997432" w14:paraId="2D2C9C97" w14:textId="77777777">
        <w:tc>
          <w:tcPr>
            <w:tcW w:w="0" w:type="auto"/>
          </w:tcPr>
          <w:p w14:paraId="39239988" w14:textId="77777777" w:rsidR="00997432" w:rsidRDefault="00000000">
            <w:pPr>
              <w:jc w:val="center"/>
            </w:pPr>
            <w:r>
              <w:rPr>
                <w:noProof/>
              </w:rPr>
              <w:drawing>
                <wp:inline distT="0" distB="0" distL="0" distR="0" wp14:anchorId="510CC5E5" wp14:editId="7210BA74">
                  <wp:extent cx="4160520" cy="3328416"/>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plotmod_grr-2.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p>
          <w:p w14:paraId="25C5B7E5" w14:textId="77777777" w:rsidR="00997432" w:rsidRDefault="00997432">
            <w:pPr>
              <w:pStyle w:val="ImageCaption"/>
              <w:spacing w:before="200"/>
            </w:pPr>
          </w:p>
        </w:tc>
      </w:tr>
      <w:tr w:rsidR="00997432" w14:paraId="32CB4035" w14:textId="77777777">
        <w:tc>
          <w:tcPr>
            <w:tcW w:w="0" w:type="auto"/>
          </w:tcPr>
          <w:p w14:paraId="238022E0" w14:textId="77777777" w:rsidR="00997432" w:rsidRDefault="00000000">
            <w:pPr>
              <w:jc w:val="center"/>
            </w:pPr>
            <w:r>
              <w:rPr>
                <w:noProof/>
              </w:rPr>
              <w:lastRenderedPageBreak/>
              <w:drawing>
                <wp:inline distT="0" distB="0" distL="0" distR="0" wp14:anchorId="06CDF34C" wp14:editId="25FB6787">
                  <wp:extent cx="4160520" cy="3328416"/>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plotmod_grr-3.png"/>
                          <pic:cNvPicPr>
                            <a:picLocks noChangeAspect="1" noChangeArrowheads="1"/>
                          </pic:cNvPicPr>
                        </pic:nvPicPr>
                        <pic:blipFill>
                          <a:blip r:embed="rId35"/>
                          <a:stretch>
                            <a:fillRect/>
                          </a:stretch>
                        </pic:blipFill>
                        <pic:spPr bwMode="auto">
                          <a:xfrm>
                            <a:off x="0" y="0"/>
                            <a:ext cx="4160520" cy="3328416"/>
                          </a:xfrm>
                          <a:prstGeom prst="rect">
                            <a:avLst/>
                          </a:prstGeom>
                          <a:noFill/>
                          <a:ln w="9525">
                            <a:noFill/>
                            <a:headEnd/>
                            <a:tailEnd/>
                          </a:ln>
                        </pic:spPr>
                      </pic:pic>
                    </a:graphicData>
                  </a:graphic>
                </wp:inline>
              </w:drawing>
            </w:r>
          </w:p>
          <w:p w14:paraId="05C6B2EF" w14:textId="77777777" w:rsidR="00997432" w:rsidRDefault="00997432">
            <w:pPr>
              <w:pStyle w:val="ImageCaption"/>
              <w:spacing w:before="200"/>
            </w:pPr>
          </w:p>
        </w:tc>
      </w:tr>
    </w:tbl>
    <w:p w14:paraId="3A6B12BC" w14:textId="77777777" w:rsidR="00997432" w:rsidRDefault="00000000">
      <w:r>
        <w:br w:type="page"/>
      </w:r>
    </w:p>
    <w:p w14:paraId="38BA9C33" w14:textId="77777777" w:rsidR="00997432" w:rsidRDefault="00000000">
      <w:pPr>
        <w:pStyle w:val="Heading4"/>
      </w:pPr>
      <w:bookmarkStart w:id="78" w:name="X86bc18e80ace84ce6a9d1b1baec8f3e0f15d58d"/>
      <w:bookmarkEnd w:id="77"/>
      <w:r>
        <w:lastRenderedPageBreak/>
        <w:t>Checking the effect of age on the learning rate in the associative task.</w:t>
      </w:r>
    </w:p>
    <w:p w14:paraId="6A072B90" w14:textId="77777777" w:rsidR="00997432" w:rsidRDefault="00000000">
      <w:pPr>
        <w:pStyle w:val="FirstParagraph"/>
      </w:pPr>
      <w:r>
        <w:t xml:space="preserve">Model formula: Choice ~ </w:t>
      </w:r>
      <w:proofErr w:type="gramStart"/>
      <w:r>
        <w:t>age.start</w:t>
      </w:r>
      <w:proofErr w:type="gramEnd"/>
      <w:r>
        <w:t xml:space="preserve"> + trial_associative * cort * temp + (1 + trial_associative|lizard_id) + (1|clutch)</w:t>
      </w:r>
    </w:p>
    <w:p w14:paraId="301F27C1" w14:textId="77777777" w:rsidR="00997432" w:rsidRDefault="00000000">
      <w:pPr>
        <w:pStyle w:val="BodyText"/>
      </w:pPr>
      <w:r>
        <w:t xml:space="preserve">Table 4.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997432" w14:paraId="65632F95"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4D4E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9"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982A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072D5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63648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148DE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477F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CAF64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5E5F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997432" w14:paraId="53E0D262"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5499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4CCE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5390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47C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E0A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228B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09C1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2083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997432" w14:paraId="5F5B5BB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3D53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8649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8EAF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B29A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A95C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1F67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861E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1E49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997432" w14:paraId="639943A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AFDD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8B99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5585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8E3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C019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5D26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828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FF36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997432" w14:paraId="797DBB2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49E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DAE4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4D78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E27A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B71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0FAB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041D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B71E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997432" w14:paraId="3067388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1BA4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34FD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9D69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A84F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C12A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58F5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8557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4A3A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997432" w14:paraId="3EB2A0A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14ED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B65B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6A8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6E68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7EA7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D47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942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51A6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997432" w14:paraId="601C672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A328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2768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93BE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C159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5015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07AD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61C1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18EB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997432" w14:paraId="3B9446F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D51C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8062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005F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B6B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3A9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17D9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BDA8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451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997432" w14:paraId="5A7B68BD"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73855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CF2E0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24963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A351C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5607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D283E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1B2A7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398A4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tbl>
    <w:p w14:paraId="4B6E006A" w14:textId="18576EA9" w:rsidR="00997432" w:rsidRDefault="00997432">
      <w:pPr>
        <w:pStyle w:val="BodyText"/>
      </w:pPr>
    </w:p>
    <w:bookmarkEnd w:id="79"/>
    <w:p w14:paraId="5612AF9C" w14:textId="77777777" w:rsidR="00997432" w:rsidRDefault="00000000">
      <w:r>
        <w:br w:type="page"/>
      </w:r>
    </w:p>
    <w:p w14:paraId="25E7C9FE" w14:textId="77777777" w:rsidR="00997432" w:rsidRDefault="00000000">
      <w:pPr>
        <w:pStyle w:val="BodyText"/>
      </w:pPr>
      <w:r>
        <w:lastRenderedPageBreak/>
        <w:t xml:space="preserve">Table 5.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997432" w14:paraId="5ED9EB4B"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3CD25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0"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5E2ED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38DDA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9B414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522A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B042C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EB6C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B65B5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997432" w14:paraId="2049AA97"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4974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C626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6BFB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583D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411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36E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AF4E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1C40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997432" w14:paraId="394A940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2343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A78F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EE0F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A142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4696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C353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32E1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B11E6"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997432" w14:paraId="14C2D96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E74F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AE59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262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343C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CAC7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15CB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FED7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5E58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997432" w14:paraId="444BF96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A7C1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8338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CED4D"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6C1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8061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DDE9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04E7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E493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997432" w14:paraId="6854CF4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CD61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EF89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9652"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7A83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D63C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9B7A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7D49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38AE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997432" w14:paraId="0337BB3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FDCD0"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6D62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17D2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B918C"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B60E1"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7A5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25D4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2634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997432" w14:paraId="7E0C5DE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602B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25F1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648C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24ED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7341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65A1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A978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4870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997432" w14:paraId="690AE3C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0CC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363F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FF379"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C278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50CDA"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B0AD8"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BDFDB"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790CE"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997432" w14:paraId="080B269F"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2662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5937F"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86B37"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D61564"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FF734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F6050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2B5A53"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34DCE5" w14:textId="77777777" w:rsidR="00997432"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tbl>
    <w:p w14:paraId="2ED544C1" w14:textId="6D3CFED1" w:rsidR="00997432" w:rsidRDefault="00997432">
      <w:pPr>
        <w:pStyle w:val="BodyText"/>
      </w:pPr>
    </w:p>
    <w:bookmarkEnd w:id="80"/>
    <w:p w14:paraId="46BB7349" w14:textId="77777777" w:rsidR="00997432" w:rsidRDefault="00000000">
      <w:r>
        <w:br w:type="page"/>
      </w:r>
    </w:p>
    <w:tbl>
      <w:tblPr>
        <w:tblStyle w:val="Table"/>
        <w:tblW w:w="5000" w:type="pct"/>
        <w:tblLook w:val="0000" w:firstRow="0" w:lastRow="0" w:firstColumn="0" w:lastColumn="0" w:noHBand="0" w:noVBand="0"/>
      </w:tblPr>
      <w:tblGrid>
        <w:gridCol w:w="9360"/>
      </w:tblGrid>
      <w:tr w:rsidR="00997432" w14:paraId="7DB15B51" w14:textId="77777777">
        <w:tc>
          <w:tcPr>
            <w:tcW w:w="0" w:type="auto"/>
          </w:tcPr>
          <w:p w14:paraId="204282D3" w14:textId="77777777" w:rsidR="00997432" w:rsidRDefault="00000000">
            <w:pPr>
              <w:jc w:val="center"/>
            </w:pPr>
            <w:bookmarkStart w:id="81" w:name="fig-age"/>
            <w:r>
              <w:rPr>
                <w:noProof/>
              </w:rPr>
              <w:lastRenderedPageBreak/>
              <w:drawing>
                <wp:inline distT="0" distB="0" distL="0" distR="0" wp14:anchorId="38BF735F" wp14:editId="23B9C85F">
                  <wp:extent cx="5943600" cy="4278788"/>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output/figures/plot_age.png"/>
                          <pic:cNvPicPr>
                            <a:picLocks noChangeAspect="1" noChangeArrowheads="1"/>
                          </pic:cNvPicPr>
                        </pic:nvPicPr>
                        <pic:blipFill>
                          <a:blip r:embed="rId36"/>
                          <a:stretch>
                            <a:fillRect/>
                          </a:stretch>
                        </pic:blipFill>
                        <pic:spPr bwMode="auto">
                          <a:xfrm>
                            <a:off x="0" y="0"/>
                            <a:ext cx="5943600" cy="4278788"/>
                          </a:xfrm>
                          <a:prstGeom prst="rect">
                            <a:avLst/>
                          </a:prstGeom>
                          <a:noFill/>
                          <a:ln w="9525">
                            <a:noFill/>
                            <a:headEnd/>
                            <a:tailEnd/>
                          </a:ln>
                        </pic:spPr>
                      </pic:pic>
                    </a:graphicData>
                  </a:graphic>
                </wp:inline>
              </w:drawing>
            </w:r>
          </w:p>
          <w:p w14:paraId="32A1A12F" w14:textId="77777777" w:rsidR="00997432" w:rsidRDefault="00000000">
            <w:pPr>
              <w:pStyle w:val="ImageCaption"/>
              <w:spacing w:before="200"/>
            </w:pPr>
            <w:r>
              <w:t>Fig 3— Distribution of the age of the lizards by treatment and species</w:t>
            </w:r>
          </w:p>
        </w:tc>
        <w:bookmarkEnd w:id="81"/>
      </w:tr>
      <w:bookmarkEnd w:id="71"/>
      <w:bookmarkEnd w:id="78"/>
    </w:tbl>
    <w:p w14:paraId="18092B10" w14:textId="77777777" w:rsidR="00CC20ED" w:rsidRDefault="00CC20ED"/>
    <w:sectPr w:rsidR="00CC20ED"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6D795" w14:textId="77777777" w:rsidR="00CC20ED" w:rsidRDefault="00CC20ED">
      <w:pPr>
        <w:spacing w:after="0"/>
      </w:pPr>
      <w:r>
        <w:separator/>
      </w:r>
    </w:p>
  </w:endnote>
  <w:endnote w:type="continuationSeparator" w:id="0">
    <w:p w14:paraId="4F6D96D7" w14:textId="77777777" w:rsidR="00CC20ED" w:rsidRDefault="00CC20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5C286" w14:textId="77777777" w:rsidR="00CC20ED" w:rsidRDefault="00CC20ED">
      <w:r>
        <w:separator/>
      </w:r>
    </w:p>
  </w:footnote>
  <w:footnote w:type="continuationSeparator" w:id="0">
    <w:p w14:paraId="01680365" w14:textId="77777777" w:rsidR="00CC20ED" w:rsidRDefault="00CC2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494953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432"/>
    <w:rsid w:val="00997432"/>
    <w:rsid w:val="00CC20ED"/>
    <w:rsid w:val="00D47099"/>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C7639F"/>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07/s00265-013-1639-x" TargetMode="External"/><Relationship Id="rId26" Type="http://schemas.openxmlformats.org/officeDocument/2006/relationships/hyperlink" Target="https://www.R-project.org/" TargetMode="External"/><Relationship Id="rId21" Type="http://schemas.openxmlformats.org/officeDocument/2006/relationships/hyperlink" Target="https://doi.org/10.1098/rsbl.2017.0002"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7/s10071-013-0665-4" TargetMode="External"/><Relationship Id="rId17" Type="http://schemas.openxmlformats.org/officeDocument/2006/relationships/hyperlink" Target="https://doi.org/10.1002/ece3.22" TargetMode="External"/><Relationship Id="rId25" Type="http://schemas.openxmlformats.org/officeDocument/2006/relationships/hyperlink" Target="https://doi.org/10.1098/rsbl.2014.0430"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j.ygcen.2013.10.00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73/pnas.97.20.11032"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anbehav.2015.10.027" TargetMode="External"/><Relationship Id="rId23" Type="http://schemas.openxmlformats.org/officeDocument/2006/relationships/hyperlink" Target="https://doi.org/10.1007/s10071-015-0908-7" TargetMode="External"/><Relationship Id="rId28" Type="http://schemas.openxmlformats.org/officeDocument/2006/relationships/hyperlink" Target="https://doi.org/10.1002/jnr.20338" TargetMode="External"/><Relationship Id="rId36" Type="http://schemas.openxmlformats.org/officeDocument/2006/relationships/image" Target="media/image10.png"/><Relationship Id="rId10" Type="http://schemas.openxmlformats.org/officeDocument/2006/relationships/hyperlink" Target="https://doi.org/10.1007/s10071-020-01365-4" TargetMode="External"/><Relationship Id="rId19" Type="http://schemas.openxmlformats.org/officeDocument/2006/relationships/hyperlink" Target="https://doi.org/10.1002/(SICI)1096-9861(19970414)380:3%3c409::AID-CNE9%3e3.0.CO;2-6"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Pablo-Recio/CORT_Temp_Behavioural_flexibility" TargetMode="External"/><Relationship Id="rId14" Type="http://schemas.openxmlformats.org/officeDocument/2006/relationships/hyperlink" Target="https://doi.org/10.1371/journal.pone.0018277"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16/0166-4328(94)90100-7"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12</TotalTime>
  <Pages>27</Pages>
  <Words>8525</Words>
  <Characters>48597</Characters>
  <Application>Microsoft Office Word</Application>
  <DocSecurity>0</DocSecurity>
  <Lines>404</Lines>
  <Paragraphs>114</Paragraphs>
  <ScaleCrop>false</ScaleCrop>
  <Company/>
  <LinksUpToDate>false</LinksUpToDate>
  <CharactersWithSpaces>57008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2024-09-02T00:37:00Z</dcterms:created>
  <dcterms:modified xsi:type="dcterms:W3CDTF">2024-09-02T00:39:00Z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