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A95E" w14:textId="77777777" w:rsidR="00DD1083" w:rsidRDefault="00000000">
      <w:pPr>
        <w:pStyle w:val="Heading2"/>
      </w:pPr>
      <w:bookmarkStart w:id="0" w:name="abstract"/>
      <w:r>
        <w:t>Abstract</w:t>
      </w:r>
    </w:p>
    <w:p w14:paraId="496E4793" w14:textId="77777777" w:rsidR="00DD1083" w:rsidRDefault="00000000">
      <w:pPr>
        <w:pStyle w:val="FirstParagraph"/>
      </w:pPr>
      <w:r>
        <w:t xml:space="preserve">Behavioural flexibility is expected to be crucial for animals adapting to environmental changes. However, the conditions experienced during early development can profoundly impact behavioural flexibility making it unclear how populations will respond to novel circumstances. Stressful situations faced by the parents can have a direct impact on animals’ cognition through the transmission of glucocorticoids - stress-related hormones that affect offspring cognition. At the same time, stressful conditions can influence parental behaviour during nesting and consequently the thermal developmental conditions they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26BCB6BC" w14:textId="77777777" w:rsidR="00DD1083" w:rsidRDefault="00000000">
      <w:pPr>
        <w:pStyle w:val="Heading2"/>
      </w:pPr>
      <w:bookmarkStart w:id="1" w:name="introduction"/>
      <w:bookmarkEnd w:id="0"/>
      <w:r>
        <w:t>Introduction</w:t>
      </w:r>
    </w:p>
    <w:p w14:paraId="30BB0617" w14:textId="77777777" w:rsidR="00DD1083"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survival of cane toads in semi-arid regions of Australia depend on adjusting their hydration activities to include daytime hours, rather than relying solely on nighttime (</w:t>
      </w:r>
      <w:hyperlink w:anchor="ref-webb2014behavioural">
        <w:r>
          <w:rPr>
            <w:rStyle w:val="Hyperlink"/>
          </w:rPr>
          <w:t>Webb et al., 2014</w:t>
        </w:r>
      </w:hyperlink>
      <w:r>
        <w:t>); while succesful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11E57840" w14:textId="77777777" w:rsidR="00DD1083" w:rsidRDefault="00000000">
      <w:pPr>
        <w:pStyle w:val="BodyText"/>
      </w:pPr>
      <w:r>
        <w:t>The conditions in which organisms develop can be altered by the circumstances faced by their parents. For instance, exposing threespine sticklebacks females to a model predator during ovulation, affected their offspring’s tedency to use social cues (</w:t>
      </w:r>
      <w:hyperlink w:anchor="ref-feng2015effect">
        <w:r>
          <w:rPr>
            <w:rStyle w:val="Hyperlink"/>
          </w:rPr>
          <w:t>Feng et al., 2015</w:t>
        </w:r>
      </w:hyperlink>
      <w:r>
        <w:t xml:space="preserve">). Under stressful situations, animal’s sensory systems detect and transmit environmental signals to instigate </w:t>
      </w:r>
      <w:r>
        <w:lastRenderedPageBreak/>
        <w:t>adaptive physiological and behavioural adjustments – responses that are mediated by glucocorticoids (GCs) (</w:t>
      </w:r>
      <w:hyperlink w:anchor="ref-sapolsky_how_2000">
        <w:r>
          <w:rPr>
            <w:rStyle w:val="Hyperlink"/>
          </w:rPr>
          <w:t>Sapolsky et al., 2000</w:t>
        </w:r>
      </w:hyperlink>
      <w:r>
        <w:t>). Glucocorticoids 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Because animals’ responses to abrupt changes in temperature are mediated by GCs (</w:t>
      </w:r>
      <w:hyperlink w:anchor="ref-Crino_2023">
        <w:r>
          <w:rPr>
            <w:rStyle w:val="Hyperlink"/>
          </w:rPr>
          <w:t>Crino et al., 2023</w:t>
        </w:r>
      </w:hyperlink>
      <w:r>
        <w:t>), and this response can affect animals’ decision-making while nesting, GCs transmission and early therma environment are predicted to interact to shape offspring phenotype.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2B42E533" w14:textId="77777777" w:rsidR="00DD1083"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The differences in invassion success between both skinks may be driven by disparities in behavioural flexibility - a prediction supperted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but we are uncertain about the interactive role of maternal CORT and early temperatures on behavioural flexibility. We manipulated CORT and incubation temperature in both species and then subjected hatchlings to a reversal learning task. 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05FA6FA" w14:textId="77777777" w:rsidR="00DD1083" w:rsidRDefault="00000000">
      <w:pPr>
        <w:pStyle w:val="Heading2"/>
      </w:pPr>
      <w:bookmarkStart w:id="2" w:name="methods"/>
      <w:bookmarkEnd w:id="1"/>
      <w:r>
        <w:t>Methods</w:t>
      </w:r>
    </w:p>
    <w:p w14:paraId="3095894E" w14:textId="77777777" w:rsidR="00DD1083" w:rsidRDefault="00000000">
      <w:pPr>
        <w:pStyle w:val="Heading4"/>
      </w:pPr>
      <w:bookmarkStart w:id="3" w:name="husbandry"/>
      <w:r>
        <w:t>Husbandry</w:t>
      </w:r>
    </w:p>
    <w:p w14:paraId="73C14FEC" w14:textId="77777777" w:rsidR="00DD1083"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w:t>
      </w:r>
      <w:r>
        <w:lastRenderedPageBreak/>
        <w:t>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warm side of enclosures reached 32ºC.</w:t>
      </w:r>
    </w:p>
    <w:p w14:paraId="5A2401BA" w14:textId="77777777" w:rsidR="00DD1083"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in one extreme of the communal enclosures (see above). We checked for the presence of eggs in the boxes three days a week. After collection, we measured the length and width of eggs with a digital caliper to the nearest 0.1 mm and weighed them with a digital scale ± 0.001g error (OHAUS, Model spx123). We also recorded the clutch and egg identities.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3263131D" w14:textId="77777777" w:rsidR="00DD1083" w:rsidRDefault="00000000">
      <w:pPr>
        <w:pStyle w:val="BodyText"/>
      </w:pPr>
      <w:r>
        <w:t>Hatchlings –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 and a small water dish. During this period, they were sprayed with water every day and received 3-6 small A. domestica crickets three times a week. All care otherwise followed similar protocols to adults (see above). Two weeks before starting the training phase (see below), lizards were moved to an experimental arena for acclimatation. The arenas were individual medium size (41 L x 29.7 W x 22 H cm) plastic containers with a shelter (9 L x 6 W x 1.5 H cm) on one of the side and a water dish on the other. These new enclosures were placed in two rooms across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1DE11182" w14:textId="77777777" w:rsidR="00DD1083" w:rsidRDefault="00000000">
      <w:pPr>
        <w:pStyle w:val="Heading4"/>
      </w:pPr>
      <w:bookmarkStart w:id="4" w:name="X5a274fa4cacecb585d7c5e60344fa6f16959ba1"/>
      <w:bookmarkEnd w:id="3"/>
      <w:r>
        <w:t>Manipulating Early Thermal and CORT Environments</w:t>
      </w:r>
    </w:p>
    <w:p w14:paraId="5E697720" w14:textId="77777777" w:rsidR="00DD1083" w:rsidRDefault="00000000">
      <w:pPr>
        <w:pStyle w:val="FirstParagraph"/>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CORT concentration employed in the CORT treatment represents 2 standard deviations above the mean natural concentration obtained in eggs from both species (non-published data). Eggs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 xml:space="preserve">Qualls &amp; </w:t>
        </w:r>
        <w:r>
          <w:rPr>
            <w:rStyle w:val="Hyperlink"/>
          </w:rPr>
          <w:lastRenderedPageBreak/>
          <w:t>Shine, 2000</w:t>
        </w:r>
      </w:hyperlink>
      <w:r>
        <w:t>). The number of eggs per clutch assigned to each hormone and temperature treatment were counterbalanced in both species.</w:t>
      </w:r>
    </w:p>
    <w:p w14:paraId="0F0BEABC" w14:textId="77777777" w:rsidR="00DD1083" w:rsidRDefault="00000000">
      <w:pPr>
        <w:pStyle w:val="Heading4"/>
      </w:pPr>
      <w:bookmarkStart w:id="5" w:name="quantifying-behavioural-flexibility"/>
      <w:bookmarkEnd w:id="4"/>
      <w:r>
        <w:t>Quantifying Behavioural Flexibility</w:t>
      </w:r>
    </w:p>
    <w:p w14:paraId="5738D52F" w14:textId="77777777" w:rsidR="00DD1083"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3A575054" w14:textId="77777777" w:rsidR="00DD1083" w:rsidRDefault="00000000">
      <w:pPr>
        <w:pStyle w:val="BodyText"/>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2B181B4" w14:textId="77777777" w:rsidR="00DD1083" w:rsidRDefault="00000000">
      <w:pPr>
        <w:pStyle w:val="BodyText"/>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in one ramp. The food reward was placed in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2EC9B267" w14:textId="77777777" w:rsidR="00DD1083" w:rsidRDefault="00000000">
      <w:pPr>
        <w:pStyle w:val="BodyText"/>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DD1083" w14:paraId="3611DAA2" w14:textId="77777777">
        <w:tc>
          <w:tcPr>
            <w:tcW w:w="0" w:type="auto"/>
          </w:tcPr>
          <w:p w14:paraId="0ACDF55C" w14:textId="77777777" w:rsidR="00DD1083" w:rsidRDefault="00000000">
            <w:pPr>
              <w:jc w:val="center"/>
            </w:pPr>
            <w:bookmarkStart w:id="6" w:name="fig-Methods"/>
            <w:r>
              <w:rPr>
                <w:noProof/>
              </w:rPr>
              <w:lastRenderedPageBreak/>
              <w:drawing>
                <wp:inline distT="0" distB="0" distL="0" distR="0" wp14:anchorId="2A34C54D" wp14:editId="4581D198">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1A4A7908" w14:textId="77777777" w:rsidR="00DD1083" w:rsidRDefault="00000000">
            <w:pPr>
              <w:pStyle w:val="ImageCaption"/>
              <w:spacing w:before="200"/>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65FD5191" w14:textId="77777777" w:rsidR="00DD1083" w:rsidRDefault="00000000">
      <w:pPr>
        <w:pStyle w:val="Heading4"/>
      </w:pPr>
      <w:bookmarkStart w:id="7" w:name="statistical-analyses"/>
      <w:bookmarkEnd w:id="5"/>
      <w:r>
        <w:t>Statistical analyses</w:t>
      </w:r>
    </w:p>
    <w:p w14:paraId="422F03EA" w14:textId="77777777" w:rsidR="00DD1083"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w:t>
      </w:r>
      <w:r>
        <w:lastRenderedPageBreak/>
        <w:t>iterations for each model, with 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also incorporated the clutch identity as a random factor. Learning can also be age-dependent (see Noble et al. (</w:t>
      </w:r>
      <w:hyperlink w:anchor="ref-noble_age-dependent_2014">
        <w:r>
          <w:rPr>
            <w:rStyle w:val="Hyperlink"/>
          </w:rPr>
          <w:t>2014</w:t>
        </w:r>
      </w:hyperlink>
      <w:r>
        <w:t xml:space="preserve">)), and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20B5F27D" w14:textId="77777777" w:rsidR="00DD1083" w:rsidRDefault="00000000">
      <w:pPr>
        <w:pStyle w:val="Heading4"/>
      </w:pPr>
      <w:bookmarkStart w:id="8" w:name="ethical-note"/>
      <w:bookmarkEnd w:id="7"/>
      <w:r>
        <w:t>Ethical note</w:t>
      </w:r>
    </w:p>
    <w:p w14:paraId="7F246E03" w14:textId="77777777" w:rsidR="00DD1083" w:rsidRDefault="00000000">
      <w:pPr>
        <w:pStyle w:val="FirstParagraph"/>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until they were humanely euthanized following approved procedures.</w:t>
      </w:r>
    </w:p>
    <w:p w14:paraId="339D69AB" w14:textId="77777777" w:rsidR="00DD1083" w:rsidRDefault="00000000">
      <w:pPr>
        <w:pStyle w:val="Heading2"/>
      </w:pPr>
      <w:bookmarkStart w:id="9" w:name="results"/>
      <w:bookmarkEnd w:id="2"/>
      <w:bookmarkEnd w:id="8"/>
      <w:r>
        <w:t>Results</w:t>
      </w:r>
    </w:p>
    <w:p w14:paraId="38EB9346" w14:textId="77777777" w:rsidR="00DD1083" w:rsidRDefault="00000000">
      <w:pPr>
        <w:pStyle w:val="FirstParagraph"/>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407DA937" w14:textId="77777777" w:rsidR="00DD1083"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0.873), incubation temperature (Hot - Cold = -0.001, p</w:t>
      </w:r>
      <w:r>
        <w:rPr>
          <w:vertAlign w:val="subscript"/>
        </w:rPr>
        <w:t>mcmc</w:t>
      </w:r>
      <w:r>
        <w:t xml:space="preserve"> = 0.989), or the interaction ([(Control-Hot - CORT-Hot) - (Control-Cold - CORT-Cold)]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0.810), incubation temperature (Hot - Cold = 0.009, p</w:t>
      </w:r>
      <w:r>
        <w:rPr>
          <w:vertAlign w:val="subscript"/>
        </w:rPr>
        <w:t>mcmc</w:t>
      </w:r>
      <w:r>
        <w:t xml:space="preserve"> = 0.629), or the interaction ([(Control-Hot - CORT-Hot) - (Control-Cold - CORT-Cold)]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DD1083" w14:paraId="4562D1F8" w14:textId="77777777">
        <w:tc>
          <w:tcPr>
            <w:tcW w:w="0" w:type="auto"/>
          </w:tcPr>
          <w:p w14:paraId="2FD17315" w14:textId="77777777" w:rsidR="00DD1083" w:rsidRDefault="00000000">
            <w:pPr>
              <w:jc w:val="center"/>
            </w:pPr>
            <w:bookmarkStart w:id="10" w:name="fig-results"/>
            <w:r>
              <w:rPr>
                <w:noProof/>
              </w:rPr>
              <w:lastRenderedPageBreak/>
              <w:drawing>
                <wp:inline distT="0" distB="0" distL="0" distR="0" wp14:anchorId="20529E05" wp14:editId="1C84EB94">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1138A6C7" w14:textId="77777777" w:rsidR="00DD1083" w:rsidRDefault="00000000">
            <w:pPr>
              <w:pStyle w:val="ImageCaption"/>
              <w:spacing w:before="200"/>
            </w:pPr>
            <w:r>
              <w:t>Fig 2— Results for L. delicata (A,B)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7B1E0157" w14:textId="77777777" w:rsidR="00DD1083"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r>
        <w:rPr>
          <w:i/>
          <w:iCs/>
        </w:rPr>
        <w:t>L. delicata</w:t>
      </w:r>
      <w:r>
        <w:t xml:space="preserve"> - </w:t>
      </w:r>
      <w:r>
        <w:rPr>
          <w:i/>
          <w:iCs/>
        </w:rPr>
        <w:t>L. guichenoti</w:t>
      </w:r>
      <w:r>
        <w:t xml:space="preserve"> = -0.008, p</w:t>
      </w:r>
      <w:r>
        <w:rPr>
          <w:vertAlign w:val="subscript"/>
        </w:rPr>
        <w:t>mcmc</w:t>
      </w:r>
      <w:r>
        <w:t xml:space="preserve"> = 0.636).</w:t>
      </w:r>
    </w:p>
    <w:p w14:paraId="4926562C" w14:textId="77777777" w:rsidR="00DD1083" w:rsidRDefault="00000000">
      <w:pPr>
        <w:pStyle w:val="Heading2"/>
      </w:pPr>
      <w:bookmarkStart w:id="11" w:name="discussion"/>
      <w:bookmarkEnd w:id="9"/>
      <w:r>
        <w:t>Discussion</w:t>
      </w:r>
    </w:p>
    <w:p w14:paraId="5EC4C1A8" w14:textId="77777777" w:rsidR="00DD1083"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the early environment. Nevertheless, we did not find significant </w:t>
      </w:r>
      <w:r>
        <w:lastRenderedPageBreak/>
        <w:t>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3D46248C" w14:textId="77777777" w:rsidR="00DD1083" w:rsidRDefault="00000000">
      <w:pPr>
        <w:pStyle w:val="BodyText"/>
      </w:pPr>
      <w:r>
        <w:t xml:space="preserve">Behavioural flexbility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to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to the brain that would result in impaired behavioural flexibility. We find this possibility unlikely since, in a previous experiment, we observed that a similar dose affected a multitude of other traits including growth and mortality in </w:t>
      </w:r>
      <w:r>
        <w:rPr>
          <w:i/>
          <w:iCs/>
        </w:rPr>
        <w:t>L. delicata</w:t>
      </w:r>
      <w:r>
        <w:t xml:space="preserve"> (unpublished data).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46F4D285" w14:textId="77777777" w:rsidR="00DD1083" w:rsidRDefault="00000000">
      <w:pPr>
        <w:pStyle w:val="BodyText"/>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xml:space="preserve">). However, several studies have shown that the effects of temperature on brain structure and physiology are </w:t>
      </w:r>
      <w:r>
        <w:lastRenderedPageBreak/>
        <w:t>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It is possible that the temperatures used in our experiment did not affect the brain regions involved in coding reversal learning. Future studies should explore the effects of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Future studies should explore the possible interactive effects of sex and incubation temperature on cognitive performance. However, such studies will be challenging given the large sample sizes required to execute these studies rigorously.</w:t>
      </w:r>
    </w:p>
    <w:p w14:paraId="393D12FB" w14:textId="77777777" w:rsidR="00DD1083" w:rsidRDefault="00000000">
      <w:pPr>
        <w:pStyle w:val="BodyText"/>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770DF8C7" w14:textId="77777777" w:rsidR="00DD1083"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w:t>
      </w:r>
      <w:r>
        <w:lastRenderedPageBreak/>
        <w:t xml:space="preserve">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6E0DE313" w14:textId="77777777" w:rsidR="00DD1083" w:rsidRDefault="00000000">
      <w:pPr>
        <w:pStyle w:val="Heading2"/>
      </w:pPr>
      <w:bookmarkStart w:id="12" w:name="data-accessibility"/>
      <w:bookmarkEnd w:id="11"/>
      <w:r>
        <w:t>Data accessibility</w:t>
      </w:r>
    </w:p>
    <w:p w14:paraId="25CD489D" w14:textId="77777777" w:rsidR="00DD1083" w:rsidRDefault="00000000">
      <w:pPr>
        <w:pStyle w:val="FirstParagraph"/>
      </w:pPr>
      <w:r>
        <w:t>All data, data description, and R code are available in public repository https://github.com/Pablo-Recio/CORT_Temp_Behavioural_flexibility</w:t>
      </w:r>
    </w:p>
    <w:p w14:paraId="4F677A7D" w14:textId="77777777" w:rsidR="00DD1083" w:rsidRDefault="00000000">
      <w:pPr>
        <w:pStyle w:val="Heading2"/>
      </w:pPr>
      <w:bookmarkStart w:id="13" w:name="declaration-of-ai-use"/>
      <w:bookmarkEnd w:id="12"/>
      <w:r>
        <w:t>Declaration of AI use</w:t>
      </w:r>
    </w:p>
    <w:p w14:paraId="4FD2E3E0" w14:textId="77777777" w:rsidR="00DD1083"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687CF9BD" w14:textId="77777777" w:rsidR="00DD1083" w:rsidRDefault="00000000">
      <w:pPr>
        <w:pStyle w:val="Heading2"/>
      </w:pPr>
      <w:bookmarkStart w:id="14" w:name="authors-contributions"/>
      <w:bookmarkEnd w:id="13"/>
      <w:r>
        <w:t>Authors’ contributions</w:t>
      </w:r>
    </w:p>
    <w:p w14:paraId="1D85C10C" w14:textId="77777777" w:rsidR="00DD1083"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F4BA6BA" w14:textId="77777777" w:rsidR="00DD1083" w:rsidRDefault="00000000">
      <w:pPr>
        <w:pStyle w:val="Heading2"/>
      </w:pPr>
      <w:bookmarkStart w:id="15" w:name="conflict-of-interest-declaration"/>
      <w:bookmarkEnd w:id="14"/>
      <w:r>
        <w:t>Conflict of interest declaration</w:t>
      </w:r>
    </w:p>
    <w:p w14:paraId="0447FE59" w14:textId="77777777" w:rsidR="00DD1083" w:rsidRDefault="00000000">
      <w:pPr>
        <w:pStyle w:val="FirstParagraph"/>
      </w:pPr>
      <w:r>
        <w:t>We declare we have no competing interests.</w:t>
      </w:r>
    </w:p>
    <w:p w14:paraId="58F54877" w14:textId="77777777" w:rsidR="00DD1083" w:rsidRDefault="00000000">
      <w:pPr>
        <w:pStyle w:val="Heading2"/>
      </w:pPr>
      <w:bookmarkStart w:id="16" w:name="funding"/>
      <w:bookmarkEnd w:id="15"/>
      <w:r>
        <w:t>Funding</w:t>
      </w:r>
    </w:p>
    <w:p w14:paraId="54E9D68B" w14:textId="77777777" w:rsidR="00DD1083" w:rsidRDefault="00000000">
      <w:pPr>
        <w:pStyle w:val="FirstParagraph"/>
      </w:pPr>
      <w:r>
        <w:t>This work was supported by a National Australian University fellowship (P.R.), the Australian Research Council (grant no. DP210101152) to D.N. and C.F., and the ACT Herpetological Association grant to P.R.</w:t>
      </w:r>
    </w:p>
    <w:p w14:paraId="29D8801E" w14:textId="77777777" w:rsidR="00DD1083" w:rsidRDefault="00000000">
      <w:pPr>
        <w:pStyle w:val="Heading2"/>
      </w:pPr>
      <w:bookmarkStart w:id="17" w:name="acknowledgements"/>
      <w:bookmarkEnd w:id="16"/>
      <w:r>
        <w:t>Acknowledgements</w:t>
      </w:r>
    </w:p>
    <w:p w14:paraId="71B7CEC5" w14:textId="77777777" w:rsidR="00DD1083"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33844D89" w14:textId="77777777" w:rsidR="00DD1083" w:rsidRDefault="00000000">
      <w:pPr>
        <w:pStyle w:val="Heading2"/>
      </w:pPr>
      <w:bookmarkStart w:id="18" w:name="references"/>
      <w:bookmarkEnd w:id="17"/>
      <w:r>
        <w:lastRenderedPageBreak/>
        <w:t>References</w:t>
      </w:r>
    </w:p>
    <w:p w14:paraId="759F3EE2" w14:textId="77777777" w:rsidR="00DD1083"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9">
        <w:r>
          <w:rPr>
            <w:rStyle w:val="Hyperlink"/>
          </w:rPr>
          <w:t>https://doi.org/10.1007/s10071-020-01365-4</w:t>
        </w:r>
      </w:hyperlink>
    </w:p>
    <w:p w14:paraId="793C5431" w14:textId="77777777" w:rsidR="00DD1083" w:rsidRDefault="00000000">
      <w:pPr>
        <w:pStyle w:val="Bibliography"/>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0">
        <w:r>
          <w:rPr>
            <w:rStyle w:val="Hyperlink"/>
          </w:rPr>
          <w:t>https://doi.org/10.1007/s10071-016-0993-2</w:t>
        </w:r>
      </w:hyperlink>
    </w:p>
    <w:p w14:paraId="1A76D1D1" w14:textId="77777777" w:rsidR="00DD1083"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1">
        <w:r>
          <w:rPr>
            <w:rStyle w:val="Hyperlink"/>
          </w:rPr>
          <w:t>https://doi.org/10.1007/s10071-013-0665-4</w:t>
        </w:r>
      </w:hyperlink>
    </w:p>
    <w:p w14:paraId="5B5BF5B2" w14:textId="77777777" w:rsidR="00DD1083"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2">
        <w:r>
          <w:rPr>
            <w:rStyle w:val="Hyperlink"/>
          </w:rPr>
          <w:t>https://doi.org/10.1098/rsbl.2011.1161</w:t>
        </w:r>
      </w:hyperlink>
    </w:p>
    <w:p w14:paraId="71EDA566" w14:textId="77777777" w:rsidR="00DD1083"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3">
        <w:r>
          <w:rPr>
            <w:rStyle w:val="Hyperlink"/>
          </w:rPr>
          <w:t>https://doi.org/10.1371/journal.pone.0018277</w:t>
        </w:r>
      </w:hyperlink>
    </w:p>
    <w:p w14:paraId="44EF1DEF" w14:textId="77777777" w:rsidR="00DD1083"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177–200.</w:t>
      </w:r>
    </w:p>
    <w:p w14:paraId="245C389C" w14:textId="77777777" w:rsidR="00DD1083" w:rsidRDefault="00000000">
      <w:pPr>
        <w:pStyle w:val="Bibliography"/>
      </w:pPr>
      <w:bookmarkStart w:id="26" w:name="ref-baker1979rainbow"/>
      <w:bookmarkEnd w:id="25"/>
      <w:r>
        <w:t xml:space="preserve">Baker, J. K. (1979). </w:t>
      </w:r>
      <w:r>
        <w:rPr>
          <w:i/>
          <w:iCs/>
        </w:rPr>
        <w:t>The rainbow skink, lampropholis delicata, in hawaii</w:t>
      </w:r>
      <w:r>
        <w:t>.</w:t>
      </w:r>
    </w:p>
    <w:p w14:paraId="00F489E6" w14:textId="77777777" w:rsidR="00DD1083" w:rsidRDefault="00000000">
      <w:pPr>
        <w:pStyle w:val="Bibliography"/>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4">
        <w:r>
          <w:rPr>
            <w:rStyle w:val="Hyperlink"/>
          </w:rPr>
          <w:t>https://doi.org/10.1016/j.anbehav.2015.10.027</w:t>
        </w:r>
      </w:hyperlink>
    </w:p>
    <w:p w14:paraId="405AEC22" w14:textId="77777777" w:rsidR="00DD1083"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7B21BB4D" w14:textId="77777777" w:rsidR="00DD1083" w:rsidRDefault="00000000">
      <w:pPr>
        <w:pStyle w:val="Bibliography"/>
      </w:pPr>
      <w:bookmarkStart w:id="29" w:name="ref-brown2010behavioral"/>
      <w:bookmarkEnd w:id="28"/>
      <w:r>
        <w:t xml:space="preserve">Brown, V. J., &amp; Tait, D. S. (2010). Behavioral flexibility: Attentional shifting, rule switching and response reversal. </w:t>
      </w:r>
      <w:r>
        <w:rPr>
          <w:i/>
          <w:iCs/>
        </w:rPr>
        <w:t>Encyclopedia of Psychopharmacology, Springer-Verlag: Berlin</w:t>
      </w:r>
      <w:r>
        <w:t>, 209–213.</w:t>
      </w:r>
    </w:p>
    <w:p w14:paraId="581B744E" w14:textId="77777777" w:rsidR="00DD1083"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3049AD6D" w14:textId="77777777" w:rsidR="00DD1083"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158F0751" w14:textId="77777777" w:rsidR="00DD1083" w:rsidRDefault="00000000">
      <w:pPr>
        <w:pStyle w:val="Bibliography"/>
      </w:pPr>
      <w:bookmarkStart w:id="32" w:name="ref-carrasco2023maternal"/>
      <w:bookmarkEnd w:id="31"/>
      <w:r>
        <w:t xml:space="preserve">Carrasco, M. I., Zhang, J., &amp; Noble, D. W. (2023). </w:t>
      </w:r>
      <w:r>
        <w:rPr>
          <w:i/>
          <w:iCs/>
        </w:rPr>
        <w:t>Maternal investment and early thermal conditions affect performance and antipredator responses</w:t>
      </w:r>
      <w:r>
        <w:t>.</w:t>
      </w:r>
    </w:p>
    <w:p w14:paraId="2B18644D" w14:textId="77777777" w:rsidR="00DD1083"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5">
        <w:r>
          <w:rPr>
            <w:rStyle w:val="Hyperlink"/>
          </w:rPr>
          <w:t>https://doi.org/10.1071/ZO14098</w:t>
        </w:r>
      </w:hyperlink>
    </w:p>
    <w:p w14:paraId="61CCA873" w14:textId="77777777" w:rsidR="00DD1083" w:rsidRDefault="00000000">
      <w:pPr>
        <w:pStyle w:val="Bibliography"/>
      </w:pPr>
      <w:bookmarkStart w:id="34" w:name="ref-chapple2015deliinvLHI"/>
      <w:bookmarkEnd w:id="33"/>
      <w:r>
        <w:lastRenderedPageBreak/>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36732C0" w14:textId="77777777" w:rsidR="00DD1083"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2912A39A" w14:textId="77777777" w:rsidR="00DD1083"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4B1B1918" w14:textId="77777777" w:rsidR="00DD1083"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lizards?: Invasion Success of Two Sympatric Lizards. </w:t>
      </w:r>
      <w:r>
        <w:rPr>
          <w:i/>
          <w:iCs/>
        </w:rPr>
        <w:t>Ecology and Evolution</w:t>
      </w:r>
      <w:r>
        <w:t xml:space="preserve">, </w:t>
      </w:r>
      <w:r>
        <w:rPr>
          <w:i/>
          <w:iCs/>
        </w:rPr>
        <w:t>1</w:t>
      </w:r>
      <w:r>
        <w:t xml:space="preserve">(3), 278–289. </w:t>
      </w:r>
      <w:hyperlink r:id="rId16">
        <w:r>
          <w:rPr>
            <w:rStyle w:val="Hyperlink"/>
          </w:rPr>
          <w:t>https://doi.org/10.1002/ece3.22</w:t>
        </w:r>
      </w:hyperlink>
    </w:p>
    <w:p w14:paraId="699E98DD" w14:textId="77777777" w:rsidR="00DD1083"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045B4CC0" w14:textId="77777777" w:rsidR="00DD1083" w:rsidRDefault="00000000">
      <w:pPr>
        <w:pStyle w:val="Bibliography"/>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3D9C1BE5" w14:textId="77777777" w:rsidR="00DD1083"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17">
        <w:r>
          <w:rPr>
            <w:rStyle w:val="Hyperlink"/>
          </w:rPr>
          <w:t>https://doi.org/10.1007/s00265-013-1639-x</w:t>
        </w:r>
      </w:hyperlink>
    </w:p>
    <w:p w14:paraId="28E6F83C" w14:textId="77777777" w:rsidR="00DD1083"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8">
        <w:r>
          <w:rPr>
            <w:rStyle w:val="Hyperlink"/>
          </w:rPr>
          <w:t>https://doi.org/10.1002/(SICI)1096-9861(19970414)380:3&lt;409::AID-CNE9&gt;3.0.CO;2-6</w:t>
        </w:r>
      </w:hyperlink>
    </w:p>
    <w:p w14:paraId="3FCDD9AF" w14:textId="77777777" w:rsidR="00DD1083"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5724D7C7" w14:textId="77777777" w:rsidR="00DD1083"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19">
        <w:r>
          <w:rPr>
            <w:rStyle w:val="Hyperlink"/>
          </w:rPr>
          <w:t>https://doi.org/10.1016/j.ygcen.2013.10.006</w:t>
        </w:r>
      </w:hyperlink>
    </w:p>
    <w:p w14:paraId="3B76D8E4" w14:textId="77777777" w:rsidR="00DD1083" w:rsidRDefault="00000000">
      <w:pPr>
        <w:pStyle w:val="Bibliography"/>
      </w:pPr>
      <w:bookmarkStart w:id="44" w:name="ref-dayananda_incubation_2017"/>
      <w:bookmarkEnd w:id="43"/>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0">
        <w:r>
          <w:rPr>
            <w:rStyle w:val="Hyperlink"/>
          </w:rPr>
          <w:t>https://doi.org/10.1098/rsbl.2017.0002</w:t>
        </w:r>
      </w:hyperlink>
    </w:p>
    <w:p w14:paraId="596B765F" w14:textId="77777777" w:rsidR="00DD1083" w:rsidRDefault="00000000">
      <w:pPr>
        <w:pStyle w:val="Bibliography"/>
      </w:pPr>
      <w:bookmarkStart w:id="45" w:name="ref-dissanayake2021effects"/>
      <w:bookmarkEnd w:id="44"/>
      <w:r>
        <w:lastRenderedPageBreak/>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0AA908A9" w14:textId="77777777" w:rsidR="00DD1083" w:rsidRDefault="00000000">
      <w:pPr>
        <w:pStyle w:val="Bibliography"/>
      </w:pPr>
      <w:bookmarkStart w:id="46" w:name="ref-du_dynamic_2009"/>
      <w:bookmarkEnd w:id="45"/>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21">
        <w:r>
          <w:rPr>
            <w:rStyle w:val="Hyperlink"/>
          </w:rPr>
          <w:t>https://doi.org/10.1073/pnas.0812671106</w:t>
        </w:r>
      </w:hyperlink>
    </w:p>
    <w:p w14:paraId="11BDEF53" w14:textId="77777777" w:rsidR="00DD1083" w:rsidRDefault="00000000">
      <w:pPr>
        <w:pStyle w:val="Bibliography"/>
      </w:pPr>
      <w:bookmarkStart w:id="47" w:name="ref-farrell_developmental_2016"/>
      <w:bookmarkEnd w:id="46"/>
      <w:r>
        <w:t xml:space="preserve">Farrell, T. M., Morgan, A., &amp; MacDougall-Shackleton, S. A. (2016). Developmental stress impairs performance on an association task in male and female songbirds, but impairs auditory learning in females only. </w:t>
      </w:r>
      <w:r>
        <w:rPr>
          <w:i/>
          <w:iCs/>
        </w:rPr>
        <w:t>Animal Cognition</w:t>
      </w:r>
      <w:r>
        <w:t xml:space="preserve">, </w:t>
      </w:r>
      <w:r>
        <w:rPr>
          <w:i/>
          <w:iCs/>
        </w:rPr>
        <w:t>19</w:t>
      </w:r>
      <w:r>
        <w:t xml:space="preserve">(1), 1–14. </w:t>
      </w:r>
      <w:hyperlink r:id="rId22">
        <w:r>
          <w:rPr>
            <w:rStyle w:val="Hyperlink"/>
          </w:rPr>
          <w:t>https://doi.org/10.1007/s10071-015-0908-7</w:t>
        </w:r>
      </w:hyperlink>
    </w:p>
    <w:p w14:paraId="3E92F1E8" w14:textId="77777777" w:rsidR="00DD1083" w:rsidRDefault="00000000">
      <w:pPr>
        <w:pStyle w:val="Bibliography"/>
      </w:pPr>
      <w:bookmarkStart w:id="48" w:name="ref-feng2015effect"/>
      <w:bookmarkEnd w:id="47"/>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2657384F" w14:textId="77777777" w:rsidR="00DD1083" w:rsidRDefault="00000000">
      <w:pPr>
        <w:pStyle w:val="Bibliography"/>
      </w:pPr>
      <w:bookmarkStart w:id="49" w:name="ref-jonson1976effect"/>
      <w:bookmarkEnd w:id="48"/>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7B17FF2B" w14:textId="77777777" w:rsidR="00DD1083" w:rsidRDefault="00000000">
      <w:pPr>
        <w:pStyle w:val="Bibliography"/>
      </w:pPr>
      <w:bookmarkStart w:id="50" w:name="ref-kar2023heritability"/>
      <w:bookmarkEnd w:id="49"/>
      <w:r>
        <w:t xml:space="preserve">Kar, F., Nakagawa, S., &amp; Noble, D. W. (2023). Heritability and developmental plasticity of growth in an oviparous lizard. </w:t>
      </w:r>
      <w:r>
        <w:rPr>
          <w:i/>
          <w:iCs/>
        </w:rPr>
        <w:t>Heredity</w:t>
      </w:r>
      <w:r>
        <w:t>, 1–10.</w:t>
      </w:r>
    </w:p>
    <w:p w14:paraId="62A517F8" w14:textId="77777777" w:rsidR="00DD1083" w:rsidRDefault="00000000">
      <w:pPr>
        <w:pStyle w:val="Bibliography"/>
      </w:pPr>
      <w:bookmarkStart w:id="51" w:name="ref-kolbe2002impact"/>
      <w:bookmarkEnd w:id="50"/>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72956EF7" w14:textId="77777777" w:rsidR="00DD1083" w:rsidRDefault="00000000">
      <w:pPr>
        <w:pStyle w:val="Bibliography"/>
      </w:pPr>
      <w:bookmarkStart w:id="52" w:name="ref-lemaire_prenatal_2000"/>
      <w:bookmarkEnd w:id="51"/>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3">
        <w:r>
          <w:rPr>
            <w:rStyle w:val="Hyperlink"/>
          </w:rPr>
          <w:t>https://doi.org/10.1073/pnas.97.20.11032</w:t>
        </w:r>
      </w:hyperlink>
    </w:p>
    <w:p w14:paraId="69CEECD1" w14:textId="77777777" w:rsidR="00DD1083" w:rsidRDefault="00000000">
      <w:pPr>
        <w:pStyle w:val="Bibliography"/>
      </w:pPr>
      <w:bookmarkStart w:id="53" w:name="ref-lui2017chronic"/>
      <w:bookmarkEnd w:id="52"/>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42600E21" w14:textId="77777777" w:rsidR="00DD1083" w:rsidRDefault="00000000">
      <w:pPr>
        <w:pStyle w:val="Bibliography"/>
      </w:pPr>
      <w:bookmarkStart w:id="54" w:name="ref-noble_age-dependent_2014"/>
      <w:bookmarkEnd w:id="53"/>
      <w:r>
        <w:t xml:space="preserve">Noble, D. W. A., Byrne, R. W., &amp; Whiting, M. J. (2014). Age-dependent social learning in a lizard. </w:t>
      </w:r>
      <w:r>
        <w:rPr>
          <w:i/>
          <w:iCs/>
        </w:rPr>
        <w:t>Biology Letters</w:t>
      </w:r>
      <w:r>
        <w:t xml:space="preserve">, </w:t>
      </w:r>
      <w:r>
        <w:rPr>
          <w:i/>
          <w:iCs/>
        </w:rPr>
        <w:t>10</w:t>
      </w:r>
      <w:r>
        <w:t xml:space="preserve">(7), 20140430. </w:t>
      </w:r>
      <w:hyperlink r:id="rId24">
        <w:r>
          <w:rPr>
            <w:rStyle w:val="Hyperlink"/>
          </w:rPr>
          <w:t>https://doi.org/10.1098/rsbl.2014.0430</w:t>
        </w:r>
      </w:hyperlink>
    </w:p>
    <w:p w14:paraId="7A0AD9A8" w14:textId="77777777" w:rsidR="00DD1083" w:rsidRDefault="00000000">
      <w:pPr>
        <w:pStyle w:val="Bibliography"/>
      </w:pPr>
      <w:bookmarkStart w:id="55" w:name="ref-qualls2000post"/>
      <w:bookmarkEnd w:id="54"/>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0D4D01CA" w14:textId="77777777" w:rsidR="00DD1083" w:rsidRDefault="00000000">
      <w:pPr>
        <w:pStyle w:val="Bibliography"/>
      </w:pPr>
      <w:bookmarkStart w:id="56" w:name="ref-R"/>
      <w:bookmarkEnd w:id="55"/>
      <w:r>
        <w:t xml:space="preserve">R Core Team. (2021). </w:t>
      </w:r>
      <w:r>
        <w:rPr>
          <w:i/>
          <w:iCs/>
        </w:rPr>
        <w:t>R: A language and environment for statistical computing</w:t>
      </w:r>
      <w:r>
        <w:t xml:space="preserve">. R Foundation for Statistical Computing. </w:t>
      </w:r>
      <w:hyperlink r:id="rId25">
        <w:r>
          <w:rPr>
            <w:rStyle w:val="Hyperlink"/>
          </w:rPr>
          <w:t>https://www.R-project.org/</w:t>
        </w:r>
      </w:hyperlink>
    </w:p>
    <w:p w14:paraId="5E4A4A51" w14:textId="77777777" w:rsidR="00DD1083" w:rsidRDefault="00000000">
      <w:pPr>
        <w:pStyle w:val="Bibliography"/>
      </w:pPr>
      <w:bookmarkStart w:id="57" w:name="ref-sakata_neural_2000"/>
      <w:bookmarkEnd w:id="56"/>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6311FE82" w14:textId="77777777" w:rsidR="00DD1083" w:rsidRDefault="00000000">
      <w:pPr>
        <w:pStyle w:val="Bibliography"/>
      </w:pPr>
      <w:bookmarkStart w:id="58" w:name="ref-sapolsky_how_2000"/>
      <w:bookmarkEnd w:id="57"/>
      <w:r>
        <w:lastRenderedPageBreak/>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45DAF72" w14:textId="77777777" w:rsidR="00DD1083" w:rsidRDefault="00000000">
      <w:pPr>
        <w:pStyle w:val="Bibliography"/>
      </w:pPr>
      <w:bookmarkStart w:id="59" w:name="ref-sol2008brain"/>
      <w:bookmarkEnd w:id="58"/>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592089AB" w14:textId="77777777" w:rsidR="00DD1083" w:rsidRDefault="00000000">
      <w:pPr>
        <w:pStyle w:val="Bibliography"/>
      </w:pPr>
      <w:bookmarkStart w:id="60" w:name="ref-sol2000behavioural"/>
      <w:bookmarkEnd w:id="59"/>
      <w:r>
        <w:t xml:space="preserve">Sol, D., &amp; Lefebvre, L. (2000). Behavioural flexibility predicts invasion success in birds introduced to new zealand. </w:t>
      </w:r>
      <w:r>
        <w:rPr>
          <w:i/>
          <w:iCs/>
        </w:rPr>
        <w:t>Oikos</w:t>
      </w:r>
      <w:r>
        <w:t xml:space="preserve">, </w:t>
      </w:r>
      <w:r>
        <w:rPr>
          <w:i/>
          <w:iCs/>
        </w:rPr>
        <w:t>90</w:t>
      </w:r>
      <w:r>
        <w:t>(3), 599–605.</w:t>
      </w:r>
    </w:p>
    <w:p w14:paraId="504E5C7B" w14:textId="77777777" w:rsidR="00DD1083" w:rsidRDefault="00000000">
      <w:pPr>
        <w:pStyle w:val="Bibliography"/>
      </w:pPr>
      <w:bookmarkStart w:id="61" w:name="ref-szabo2020can"/>
      <w:bookmarkEnd w:id="60"/>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693EC215" w14:textId="77777777" w:rsidR="00DD1083" w:rsidRDefault="00000000">
      <w:pPr>
        <w:pStyle w:val="Bibliography"/>
      </w:pPr>
      <w:bookmarkStart w:id="62" w:name="ref-szabo2019sex"/>
      <w:bookmarkEnd w:id="61"/>
      <w:r>
        <w:t xml:space="preserve">Szabo, B., Whiting, M. J., &amp; Noble, D. W. (2019). Sex-dependent discrimination learning in lizards: A meta-analysis. </w:t>
      </w:r>
      <w:r>
        <w:rPr>
          <w:i/>
          <w:iCs/>
        </w:rPr>
        <w:t>Behavioural Processes</w:t>
      </w:r>
      <w:r>
        <w:t xml:space="preserve">, </w:t>
      </w:r>
      <w:r>
        <w:rPr>
          <w:i/>
          <w:iCs/>
        </w:rPr>
        <w:t>164</w:t>
      </w:r>
      <w:r>
        <w:t>, 10–16.</w:t>
      </w:r>
    </w:p>
    <w:p w14:paraId="27A892F2" w14:textId="77777777" w:rsidR="00DD1083" w:rsidRDefault="00000000">
      <w:pPr>
        <w:pStyle w:val="Bibliography"/>
      </w:pPr>
      <w:bookmarkStart w:id="63" w:name="ref-szulkin2020urban"/>
      <w:bookmarkEnd w:id="62"/>
      <w:r>
        <w:t xml:space="preserve">Szulkin, M., Munshi-South, J., &amp; Charmantier, A. (2020). </w:t>
      </w:r>
      <w:r>
        <w:rPr>
          <w:i/>
          <w:iCs/>
        </w:rPr>
        <w:t>Urban evolutionary biology</w:t>
      </w:r>
      <w:r>
        <w:t>. Oxford University Press, USA.</w:t>
      </w:r>
    </w:p>
    <w:p w14:paraId="091A164C" w14:textId="77777777" w:rsidR="00DD1083" w:rsidRDefault="00000000">
      <w:pPr>
        <w:pStyle w:val="Bibliography"/>
      </w:pPr>
      <w:bookmarkStart w:id="64" w:name="ref-szuran_water_1994"/>
      <w:bookmarkEnd w:id="63"/>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6">
        <w:r>
          <w:rPr>
            <w:rStyle w:val="Hyperlink"/>
          </w:rPr>
          <w:t>https://doi.org/10.1016/0166-4328(94)90100-7</w:t>
        </w:r>
      </w:hyperlink>
    </w:p>
    <w:p w14:paraId="48D626EB" w14:textId="77777777" w:rsidR="00DD1083" w:rsidRDefault="00000000">
      <w:pPr>
        <w:pStyle w:val="Bibliography"/>
      </w:pPr>
      <w:bookmarkStart w:id="65" w:name="ref-taborsky2021towards"/>
      <w:bookmarkEnd w:id="64"/>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5A9FDFE2" w14:textId="77777777" w:rsidR="00DD1083" w:rsidRDefault="00000000">
      <w:pPr>
        <w:pStyle w:val="Bibliography"/>
      </w:pPr>
      <w:bookmarkStart w:id="66" w:name="ref-webb2014behavioural"/>
      <w:bookmarkEnd w:id="65"/>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25CCB20" w14:textId="77777777" w:rsidR="00DD1083" w:rsidRDefault="00000000">
      <w:pPr>
        <w:pStyle w:val="Bibliography"/>
      </w:pPr>
      <w:bookmarkStart w:id="67" w:name="ref-wright2010behavioral"/>
      <w:bookmarkEnd w:id="66"/>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7CE96549" w14:textId="77777777" w:rsidR="00DD1083" w:rsidRDefault="00000000">
      <w:pPr>
        <w:pStyle w:val="Bibliography"/>
      </w:pPr>
      <w:bookmarkStart w:id="68" w:name="ref-zhu_prenatal_2004"/>
      <w:bookmarkEnd w:id="67"/>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7">
        <w:r>
          <w:rPr>
            <w:rStyle w:val="Hyperlink"/>
          </w:rPr>
          <w:t>https://doi.org/10.1002/jnr.20338</w:t>
        </w:r>
      </w:hyperlink>
    </w:p>
    <w:bookmarkEnd w:id="20"/>
    <w:bookmarkEnd w:id="68"/>
    <w:p w14:paraId="20DF997B" w14:textId="77777777" w:rsidR="00DD1083" w:rsidRDefault="00000000">
      <w:r>
        <w:br w:type="page"/>
      </w:r>
    </w:p>
    <w:p w14:paraId="3D0FD62E" w14:textId="77777777" w:rsidR="00DD1083" w:rsidRDefault="00000000">
      <w:pPr>
        <w:pStyle w:val="Heading1"/>
      </w:pPr>
      <w:bookmarkStart w:id="69" w:name="suplementary-material"/>
      <w:bookmarkEnd w:id="18"/>
      <w:r>
        <w:lastRenderedPageBreak/>
        <w:t>Suplementary Material</w:t>
      </w:r>
    </w:p>
    <w:p w14:paraId="23987C07" w14:textId="77777777" w:rsidR="00DD1083" w:rsidRDefault="00000000">
      <w:pPr>
        <w:pStyle w:val="Heading4"/>
      </w:pPr>
      <w:bookmarkStart w:id="70" w:name="checking-the-models-plots"/>
      <w:r>
        <w:t>Checking the models plots</w:t>
      </w:r>
    </w:p>
    <w:p w14:paraId="2BDADFCD" w14:textId="77777777" w:rsidR="00DD1083" w:rsidRDefault="00000000">
      <w:pPr>
        <w:pStyle w:val="FirstParagraph"/>
      </w:pPr>
      <w:r>
        <w:t>Model formula for the reversal task is:</w:t>
      </w:r>
    </w:p>
    <w:p w14:paraId="06C88B5A" w14:textId="77777777" w:rsidR="00DD1083" w:rsidRDefault="00000000">
      <w:pPr>
        <w:pStyle w:val="BodyText"/>
      </w:pPr>
      <w:r>
        <w:t>Choice ~ trial_reversal</w:t>
      </w:r>
      <w:r>
        <w:rPr>
          <w:i/>
          <w:iCs/>
        </w:rPr>
        <w:t>cort</w:t>
      </w:r>
      <w:r>
        <w:t>temp + (1 + trial_reversal|lizard_id)</w:t>
      </w:r>
    </w:p>
    <w:p w14:paraId="5696A0EF" w14:textId="77777777" w:rsidR="00DD1083" w:rsidRDefault="00000000">
      <w:pPr>
        <w:pStyle w:val="BodyText"/>
      </w:pPr>
      <w:r>
        <w:t>Plots for the different models of the associative task:</w:t>
      </w:r>
      <w:r>
        <w:br/>
        <w:t xml:space="preserve">1.- </w:t>
      </w:r>
      <w:r>
        <w:rPr>
          <w:i/>
          <w:iCs/>
        </w:rPr>
        <w:t>L. delicata</w:t>
      </w:r>
    </w:p>
    <w:p w14:paraId="6BA8D53A" w14:textId="77777777" w:rsidR="00DD1083" w:rsidRDefault="00000000">
      <w:pPr>
        <w:pStyle w:val="SourceCode"/>
      </w:pPr>
      <w:r>
        <w:rPr>
          <w:rStyle w:val="VerbatimChar"/>
        </w:rPr>
        <w:t xml:space="preserve">    Estimate  Est.Error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DD1083" w14:paraId="21F70D62" w14:textId="77777777">
        <w:tc>
          <w:tcPr>
            <w:tcW w:w="0" w:type="auto"/>
          </w:tcPr>
          <w:p w14:paraId="4708FB32" w14:textId="77777777" w:rsidR="00DD1083" w:rsidRDefault="00000000">
            <w:pPr>
              <w:jc w:val="center"/>
            </w:pPr>
            <w:r>
              <w:rPr>
                <w:noProof/>
              </w:rPr>
              <w:drawing>
                <wp:inline distT="0" distB="0" distL="0" distR="0" wp14:anchorId="324E445D" wp14:editId="7FA17514">
                  <wp:extent cx="4160520" cy="3328416"/>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ms_files/figure-docx/plotmod_drr-1.png"/>
                          <pic:cNvPicPr>
                            <a:picLocks noChangeAspect="1" noChangeArrowheads="1"/>
                          </pic:cNvPicPr>
                        </pic:nvPicPr>
                        <pic:blipFill>
                          <a:blip r:embed="rId28"/>
                          <a:stretch>
                            <a:fillRect/>
                          </a:stretch>
                        </pic:blipFill>
                        <pic:spPr bwMode="auto">
                          <a:xfrm>
                            <a:off x="0" y="0"/>
                            <a:ext cx="4160520" cy="3328416"/>
                          </a:xfrm>
                          <a:prstGeom prst="rect">
                            <a:avLst/>
                          </a:prstGeom>
                          <a:noFill/>
                          <a:ln w="9525">
                            <a:noFill/>
                            <a:headEnd/>
                            <a:tailEnd/>
                          </a:ln>
                        </pic:spPr>
                      </pic:pic>
                    </a:graphicData>
                  </a:graphic>
                </wp:inline>
              </w:drawing>
            </w:r>
          </w:p>
          <w:p w14:paraId="3E998102" w14:textId="77777777" w:rsidR="00DD1083" w:rsidRDefault="00DD1083">
            <w:pPr>
              <w:pStyle w:val="ImageCaption"/>
              <w:spacing w:before="200"/>
            </w:pPr>
          </w:p>
        </w:tc>
      </w:tr>
      <w:tr w:rsidR="00DD1083" w14:paraId="67599FFE" w14:textId="77777777">
        <w:tc>
          <w:tcPr>
            <w:tcW w:w="0" w:type="auto"/>
          </w:tcPr>
          <w:p w14:paraId="1DC93269" w14:textId="77777777" w:rsidR="00DD1083" w:rsidRDefault="00000000">
            <w:pPr>
              <w:jc w:val="center"/>
            </w:pPr>
            <w:r>
              <w:rPr>
                <w:noProof/>
              </w:rPr>
              <w:lastRenderedPageBreak/>
              <w:drawing>
                <wp:inline distT="0" distB="0" distL="0" distR="0" wp14:anchorId="7015838A" wp14:editId="046427F8">
                  <wp:extent cx="4160520" cy="3328416"/>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ms_files/figure-docx/plotmod_drr-2.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4A9F9666" w14:textId="77777777" w:rsidR="00DD1083" w:rsidRDefault="00DD1083">
            <w:pPr>
              <w:pStyle w:val="ImageCaption"/>
              <w:spacing w:before="200"/>
            </w:pPr>
          </w:p>
        </w:tc>
      </w:tr>
      <w:tr w:rsidR="00DD1083" w14:paraId="11CB85B8" w14:textId="77777777">
        <w:tc>
          <w:tcPr>
            <w:tcW w:w="0" w:type="auto"/>
          </w:tcPr>
          <w:p w14:paraId="745BC46A" w14:textId="77777777" w:rsidR="00DD1083" w:rsidRDefault="00000000">
            <w:pPr>
              <w:jc w:val="center"/>
            </w:pPr>
            <w:r>
              <w:rPr>
                <w:noProof/>
              </w:rPr>
              <w:drawing>
                <wp:inline distT="0" distB="0" distL="0" distR="0" wp14:anchorId="115DF8B0" wp14:editId="5D1A3620">
                  <wp:extent cx="4160520" cy="3328416"/>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ms_files/figure-docx/plotmod_drr-3.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7F8AFAFC" w14:textId="77777777" w:rsidR="00DD1083" w:rsidRDefault="00DD1083">
            <w:pPr>
              <w:pStyle w:val="ImageCaption"/>
              <w:spacing w:before="200"/>
            </w:pPr>
          </w:p>
        </w:tc>
      </w:tr>
    </w:tbl>
    <w:p w14:paraId="47D5942C" w14:textId="77777777" w:rsidR="00DD1083" w:rsidRDefault="00000000">
      <w:r>
        <w:br w:type="page"/>
      </w:r>
    </w:p>
    <w:p w14:paraId="67A23BE4" w14:textId="77777777" w:rsidR="00DD1083" w:rsidRDefault="00000000">
      <w:pPr>
        <w:pStyle w:val="BodyText"/>
      </w:pPr>
      <w:r>
        <w:lastRenderedPageBreak/>
        <w:t xml:space="preserve">2.- </w:t>
      </w:r>
      <w:r>
        <w:rPr>
          <w:i/>
          <w:iCs/>
        </w:rPr>
        <w:t>L. guichenoti</w:t>
      </w:r>
    </w:p>
    <w:p w14:paraId="55E086D9" w14:textId="77777777" w:rsidR="00DD1083"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DD1083" w14:paraId="042E49DA" w14:textId="77777777">
        <w:tc>
          <w:tcPr>
            <w:tcW w:w="0" w:type="auto"/>
          </w:tcPr>
          <w:p w14:paraId="21A217B0" w14:textId="77777777" w:rsidR="00DD1083" w:rsidRDefault="00000000">
            <w:pPr>
              <w:jc w:val="center"/>
            </w:pPr>
            <w:r>
              <w:rPr>
                <w:noProof/>
              </w:rPr>
              <w:drawing>
                <wp:inline distT="0" distB="0" distL="0" distR="0" wp14:anchorId="519B60AF" wp14:editId="50D90B77">
                  <wp:extent cx="4160520" cy="3328416"/>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ms_files/figure-docx/plotmod_grr-1.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62738125" w14:textId="77777777" w:rsidR="00DD1083" w:rsidRDefault="00DD1083">
            <w:pPr>
              <w:pStyle w:val="ImageCaption"/>
              <w:spacing w:before="200"/>
            </w:pPr>
          </w:p>
        </w:tc>
      </w:tr>
      <w:tr w:rsidR="00DD1083" w14:paraId="5D506B7C" w14:textId="77777777">
        <w:tc>
          <w:tcPr>
            <w:tcW w:w="0" w:type="auto"/>
          </w:tcPr>
          <w:p w14:paraId="7ED3E8C3" w14:textId="77777777" w:rsidR="00DD1083" w:rsidRDefault="00000000">
            <w:pPr>
              <w:jc w:val="center"/>
            </w:pPr>
            <w:r>
              <w:rPr>
                <w:noProof/>
              </w:rPr>
              <w:drawing>
                <wp:inline distT="0" distB="0" distL="0" distR="0" wp14:anchorId="3199B1AB" wp14:editId="7041B400">
                  <wp:extent cx="4160520" cy="3328416"/>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ms_files/figure-docx/plotmod_grr-2.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2295865D" w14:textId="77777777" w:rsidR="00DD1083" w:rsidRDefault="00DD1083">
            <w:pPr>
              <w:pStyle w:val="ImageCaption"/>
              <w:spacing w:before="200"/>
            </w:pPr>
          </w:p>
        </w:tc>
      </w:tr>
      <w:tr w:rsidR="00DD1083" w14:paraId="08C9D0F5" w14:textId="77777777">
        <w:tc>
          <w:tcPr>
            <w:tcW w:w="0" w:type="auto"/>
          </w:tcPr>
          <w:p w14:paraId="71385BBF" w14:textId="77777777" w:rsidR="00DD1083" w:rsidRDefault="00000000">
            <w:pPr>
              <w:jc w:val="center"/>
            </w:pPr>
            <w:r>
              <w:rPr>
                <w:noProof/>
              </w:rPr>
              <w:lastRenderedPageBreak/>
              <w:drawing>
                <wp:inline distT="0" distB="0" distL="0" distR="0" wp14:anchorId="23A35DC3" wp14:editId="4D50BBC2">
                  <wp:extent cx="4160520" cy="332841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ms_files/figure-docx/plotmod_grr-3.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1A249737" w14:textId="77777777" w:rsidR="00DD1083" w:rsidRDefault="00DD1083">
            <w:pPr>
              <w:pStyle w:val="ImageCaption"/>
              <w:spacing w:before="200"/>
            </w:pPr>
          </w:p>
        </w:tc>
      </w:tr>
    </w:tbl>
    <w:p w14:paraId="4161EE6B" w14:textId="77777777" w:rsidR="00DD1083" w:rsidRDefault="00000000">
      <w:r>
        <w:br w:type="page"/>
      </w:r>
    </w:p>
    <w:p w14:paraId="6504472D" w14:textId="77777777" w:rsidR="00DD1083" w:rsidRDefault="00000000">
      <w:pPr>
        <w:pStyle w:val="BodyText"/>
      </w:pPr>
      <w:r>
        <w:lastRenderedPageBreak/>
        <w:t>Table 1. Estimates of Reversal learning slope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DD1083" w14:paraId="32363E14"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B6E0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1"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9C75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D1D7C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FF8C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8FF4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DD1083" w14:paraId="0CA4D4C5"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865B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2551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78E7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0C0F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93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746DD72B"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34F7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CC0D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F5A9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416B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0.044 , 0.081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7867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455A425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4945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BF7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0227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791E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49D1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3C9FC395"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B08B34" w14:textId="77777777" w:rsidR="00DD1083" w:rsidRDefault="00DD108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D9242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4DCDD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E250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3FE77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02D98994"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EEE9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2F66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4DE4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067D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0.024 , 0.073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99D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5B30E79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F964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525B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5D5D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9A7E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BC42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7E38E1AE"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09A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D4E2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BDDE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8F1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9D9E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025F61D8"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6D8F4" w14:textId="77777777" w:rsidR="00DD1083" w:rsidRDefault="00DD108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DF58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30798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23EA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1B538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1"/>
    </w:tbl>
    <w:p w14:paraId="52CFBD7E" w14:textId="77777777" w:rsidR="00DD1083" w:rsidRDefault="00000000">
      <w:r>
        <w:br w:type="page"/>
      </w:r>
    </w:p>
    <w:p w14:paraId="06A55FF9" w14:textId="77777777" w:rsidR="00DD1083" w:rsidRDefault="00000000">
      <w:pPr>
        <w:pStyle w:val="BodyText"/>
      </w:pPr>
      <w:r>
        <w:lastRenderedPageBreak/>
        <w:t>Table 2. 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DD1083" w14:paraId="4643E200"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5F74B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2"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0DCFE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E6E1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2750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4F322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DD1083" w14:paraId="06BB30CD"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000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8DBB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127D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307D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0.021 , 0.084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1035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DD1083" w14:paraId="16D6602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E17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816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E419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68E5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66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701C381A"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25E4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79B8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6DD7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BF4E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0.036 , 0.113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E27D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596EA19E"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A13017" w14:textId="77777777" w:rsidR="00DD1083" w:rsidRDefault="00DD108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BE926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02A40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5A6B2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CD277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DD1083" w14:paraId="0266A761"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B118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B3E6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5ECA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3B5F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0.012 , 0.124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826D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DD1083" w14:paraId="24E1E06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FDA3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C06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A393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2CDF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4AA3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DD1083" w14:paraId="10382B9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9ED7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9EB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E99B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AFDC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5C8E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DD1083" w14:paraId="39A0EFDF"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EC2C9F" w14:textId="77777777" w:rsidR="00DD1083" w:rsidRDefault="00DD1083">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78BAE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A694C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A7130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0.031 , 0.104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1C0D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72"/>
    </w:tbl>
    <w:p w14:paraId="397B5C86" w14:textId="77777777" w:rsidR="00DD1083" w:rsidRDefault="00000000">
      <w:r>
        <w:br w:type="page"/>
      </w:r>
    </w:p>
    <w:p w14:paraId="4C9954F9" w14:textId="77777777" w:rsidR="00DD1083" w:rsidRDefault="00000000">
      <w:pPr>
        <w:pStyle w:val="BodyText"/>
      </w:pPr>
      <w:r>
        <w:lastRenderedPageBreak/>
        <w:t>Checking the effect of age on the learning rate in the associative task.</w:t>
      </w:r>
    </w:p>
    <w:p w14:paraId="315DBB8F" w14:textId="77777777" w:rsidR="00DD1083" w:rsidRDefault="00000000">
      <w:pPr>
        <w:pStyle w:val="BodyText"/>
      </w:pPr>
      <w:r>
        <w:t>Model formula: Choice ~ age.start + trial_associative * cort * temp + (1 + trial_associative|lizard_id) + (1|clutch)</w:t>
      </w:r>
    </w:p>
    <w:p w14:paraId="73F13463" w14:textId="77777777" w:rsidR="00DD1083" w:rsidRDefault="00000000">
      <w:pPr>
        <w:pStyle w:val="BodyText"/>
      </w:pPr>
      <w:r>
        <w:t xml:space="preserve">Table 3.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D1083" w14:paraId="7422761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73B93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3"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476F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A5170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263C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6BA90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F7D0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AC647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5EFE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D1083" w14:paraId="02B8A198"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9617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DF27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BBB5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DBE1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30E0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E759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FC0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B52E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DD1083" w14:paraId="55C81D1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FBB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5725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0DEB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D4EB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10DA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5BDB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436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6D72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DD1083" w14:paraId="0AAB375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0470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C62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9309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04C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04E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DCF1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E7AD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BBA6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DD1083" w14:paraId="0B48180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705B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2C95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21D1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2CE1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9D2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08F8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EB25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B8E8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DD1083" w14:paraId="52146AD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FA0E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BE91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4C9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9BF0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379B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38F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B4B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3E92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DD1083" w14:paraId="64D58A8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4772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AF47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846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0161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D3C1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105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EEF3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B0D2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DD1083" w14:paraId="4B5D80C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F6D2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C29E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0FCA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7C2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D4DD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12C1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5648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E06F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DD1083" w14:paraId="16936A8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213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E5F0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F4DE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D6F8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DC7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AB7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230C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6C9A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DD1083" w14:paraId="7D3534E0"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9B85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D1EDD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9F5F0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E43C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4BCD4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0F641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0199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21E6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bookmarkEnd w:id="73"/>
    </w:tbl>
    <w:p w14:paraId="43596792" w14:textId="77777777" w:rsidR="00DD1083" w:rsidRDefault="00000000">
      <w:r>
        <w:br w:type="page"/>
      </w:r>
    </w:p>
    <w:p w14:paraId="57E7170B" w14:textId="77777777" w:rsidR="00DD1083" w:rsidRDefault="00000000">
      <w:pPr>
        <w:pStyle w:val="BodyText"/>
      </w:pPr>
      <w:r>
        <w:lastRenderedPageBreak/>
        <w:t xml:space="preserve">Table 4.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D1083" w14:paraId="3EE44569"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6BD40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4"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B1812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B5B8D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12F5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0182D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04ECA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F6F91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BEB2F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DD1083" w14:paraId="6B233F61"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8FE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88B0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B4E6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BE01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FE8C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21D3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6C72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01A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DD1083" w14:paraId="6E7531F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352A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7294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7B41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445F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C373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F452B"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7D0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544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DD1083" w14:paraId="17882C5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A821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E3AA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C66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7DCD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052D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6CC1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F400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7371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DD1083" w14:paraId="7EE5916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9E30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7E3E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E022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4B29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FA7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0150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481C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41C1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DD1083" w14:paraId="6F7D06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8762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9D6E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5B40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650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4FB74"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F896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6FC6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AA6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DD1083" w14:paraId="632EF97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782B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E26B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FB622"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B220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51AC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0C23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6CEB5"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4C7B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DD1083" w14:paraId="739A368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554B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F244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F9C0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2538C"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BFDE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72FF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7523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B13F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DD1083" w14:paraId="21BE4C25"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B020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8D148"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86CE"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D69E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466F6"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EAD01"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DDB3"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8E9CD"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DD1083" w14:paraId="35F6E2E7"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BE5C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2B084A"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E9E88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A879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80920F"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01A00"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A22F97"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89989" w14:textId="77777777" w:rsidR="00DD10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bookmarkEnd w:id="74"/>
    </w:tbl>
    <w:p w14:paraId="48DA901D" w14:textId="77777777" w:rsidR="00DD1083" w:rsidRDefault="00000000">
      <w:r>
        <w:br w:type="page"/>
      </w:r>
    </w:p>
    <w:tbl>
      <w:tblPr>
        <w:tblStyle w:val="Table"/>
        <w:tblW w:w="5000" w:type="pct"/>
        <w:tblLook w:val="0000" w:firstRow="0" w:lastRow="0" w:firstColumn="0" w:lastColumn="0" w:noHBand="0" w:noVBand="0"/>
      </w:tblPr>
      <w:tblGrid>
        <w:gridCol w:w="9360"/>
      </w:tblGrid>
      <w:tr w:rsidR="00DD1083" w14:paraId="09121709" w14:textId="77777777">
        <w:tc>
          <w:tcPr>
            <w:tcW w:w="0" w:type="auto"/>
          </w:tcPr>
          <w:p w14:paraId="03D78753" w14:textId="77777777" w:rsidR="00DD1083" w:rsidRDefault="00000000">
            <w:pPr>
              <w:jc w:val="center"/>
            </w:pPr>
            <w:bookmarkStart w:id="75" w:name="fig-age"/>
            <w:r>
              <w:rPr>
                <w:noProof/>
              </w:rPr>
              <w:lastRenderedPageBreak/>
              <w:drawing>
                <wp:inline distT="0" distB="0" distL="0" distR="0" wp14:anchorId="2D3FEAFA" wp14:editId="08264912">
                  <wp:extent cx="5943600" cy="427878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output/figures/plot_age.png"/>
                          <pic:cNvPicPr>
                            <a:picLocks noChangeAspect="1" noChangeArrowheads="1"/>
                          </pic:cNvPicPr>
                        </pic:nvPicPr>
                        <pic:blipFill>
                          <a:blip r:embed="rId34"/>
                          <a:stretch>
                            <a:fillRect/>
                          </a:stretch>
                        </pic:blipFill>
                        <pic:spPr bwMode="auto">
                          <a:xfrm>
                            <a:off x="0" y="0"/>
                            <a:ext cx="5943600" cy="4278788"/>
                          </a:xfrm>
                          <a:prstGeom prst="rect">
                            <a:avLst/>
                          </a:prstGeom>
                          <a:noFill/>
                          <a:ln w="9525">
                            <a:noFill/>
                            <a:headEnd/>
                            <a:tailEnd/>
                          </a:ln>
                        </pic:spPr>
                      </pic:pic>
                    </a:graphicData>
                  </a:graphic>
                </wp:inline>
              </w:drawing>
            </w:r>
          </w:p>
          <w:p w14:paraId="7E6F2602" w14:textId="77777777" w:rsidR="00DD1083" w:rsidRDefault="00000000">
            <w:pPr>
              <w:pStyle w:val="ImageCaption"/>
              <w:spacing w:before="200"/>
            </w:pPr>
            <w:r>
              <w:t>Fig 3— Distribution of the age of the lizards by treatment and species</w:t>
            </w:r>
          </w:p>
        </w:tc>
        <w:bookmarkEnd w:id="75"/>
      </w:tr>
      <w:bookmarkEnd w:id="69"/>
      <w:bookmarkEnd w:id="70"/>
    </w:tbl>
    <w:p w14:paraId="160A74EF" w14:textId="77777777" w:rsidR="00BE5730" w:rsidRDefault="00BE5730"/>
    <w:sectPr w:rsidR="00BE5730"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36B40" w14:textId="77777777" w:rsidR="00BE5730" w:rsidRDefault="00BE5730">
      <w:pPr>
        <w:spacing w:after="0"/>
      </w:pPr>
      <w:r>
        <w:separator/>
      </w:r>
    </w:p>
  </w:endnote>
  <w:endnote w:type="continuationSeparator" w:id="0">
    <w:p w14:paraId="056E3A0E" w14:textId="77777777" w:rsidR="00BE5730" w:rsidRDefault="00BE5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951BE" w14:textId="77777777" w:rsidR="00BE5730" w:rsidRDefault="00BE5730">
      <w:r>
        <w:separator/>
      </w:r>
    </w:p>
  </w:footnote>
  <w:footnote w:type="continuationSeparator" w:id="0">
    <w:p w14:paraId="53E9CC2D" w14:textId="77777777" w:rsidR="00BE5730" w:rsidRDefault="00BE57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10046730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083"/>
    <w:rsid w:val="001F36F6"/>
    <w:rsid w:val="002428D1"/>
    <w:rsid w:val="00BE5730"/>
    <w:rsid w:val="00DD108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303416"/>
  <w15:docId w15:val="{3CDCD2ED-4EC8-224A-8005-47CD45A8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371/journal.pone.0018277" TargetMode="External"/><Relationship Id="rId18" Type="http://schemas.openxmlformats.org/officeDocument/2006/relationships/hyperlink" Target="https://doi.org/10.1002/(SICI)1096-9861(19970414)380:3%3c409::AID-CNE9%3e3.0.CO;2-6" TargetMode="External"/><Relationship Id="rId26" Type="http://schemas.openxmlformats.org/officeDocument/2006/relationships/hyperlink" Target="https://doi.org/10.1016/0166-4328(94)90100-7" TargetMode="External"/><Relationship Id="rId3" Type="http://schemas.openxmlformats.org/officeDocument/2006/relationships/settings" Target="settings.xml"/><Relationship Id="rId21" Type="http://schemas.openxmlformats.org/officeDocument/2006/relationships/hyperlink" Target="https://doi.org/10.1073/pnas.0812671106"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i.org/10.1098/rsbl.2011.1161" TargetMode="External"/><Relationship Id="rId17" Type="http://schemas.openxmlformats.org/officeDocument/2006/relationships/hyperlink" Target="https://doi.org/10.1007/s00265-013-1639-x" TargetMode="External"/><Relationship Id="rId25" Type="http://schemas.openxmlformats.org/officeDocument/2006/relationships/hyperlink" Target="https://www.R-project.org/"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02/ece3.22" TargetMode="External"/><Relationship Id="rId20" Type="http://schemas.openxmlformats.org/officeDocument/2006/relationships/hyperlink" Target="https://doi.org/10.1098/rsbl.2017.000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3-0665-4" TargetMode="External"/><Relationship Id="rId24" Type="http://schemas.openxmlformats.org/officeDocument/2006/relationships/hyperlink" Target="https://doi.org/10.1098/rsbl.2014.0430"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71/ZO14098" TargetMode="External"/><Relationship Id="rId23" Type="http://schemas.openxmlformats.org/officeDocument/2006/relationships/hyperlink" Target="https://doi.org/10.1073/pnas.97.20.11032"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doi.org/10.1007/s10071-016-0993-2" TargetMode="External"/><Relationship Id="rId19" Type="http://schemas.openxmlformats.org/officeDocument/2006/relationships/hyperlink" Target="https://doi.org/10.1016/j.ygcen.2013.10.006"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007/s10071-020-01365-4"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007/s10071-015-0908-7" TargetMode="External"/><Relationship Id="rId27" Type="http://schemas.openxmlformats.org/officeDocument/2006/relationships/hyperlink" Target="https://doi.org/10.1002/jnr.20338" TargetMode="Externa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11</TotalTime>
  <Pages>24</Pages>
  <Words>7724</Words>
  <Characters>44032</Characters>
  <Application>Microsoft Office Word</Application>
  <DocSecurity>0</DocSecurity>
  <Lines>366</Lines>
  <Paragraphs>103</Paragraphs>
  <ScaleCrop>false</ScaleCrop>
  <Company/>
  <LinksUpToDate>false</LinksUpToDate>
  <CharactersWithSpaces>51653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2024-05-30T05:40:00Z</dcterms:created>
  <dcterms:modified xsi:type="dcterms:W3CDTF">2024-05-30T05:44:00Z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