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227C" w14:textId="0573C49B" w:rsidR="009D03E2" w:rsidRDefault="001B2D07">
      <w:r>
        <w:t>VALIDATION NEURONS</w:t>
      </w:r>
    </w:p>
    <w:p w14:paraId="47F08E56" w14:textId="77777777" w:rsidR="001B2D07" w:rsidRDefault="001B2D07"/>
    <w:p w14:paraId="53D17D81" w14:textId="157EF07A" w:rsidR="001B2D07" w:rsidRDefault="001B2D07" w:rsidP="001B2D07">
      <w:pPr>
        <w:jc w:val="both"/>
      </w:pPr>
      <w:r>
        <w:t xml:space="preserve"> Which </w:t>
      </w:r>
      <w:proofErr w:type="spellStart"/>
      <w:r>
        <w:t>NeuN</w:t>
      </w:r>
      <w:proofErr w:type="spellEnd"/>
      <w:r>
        <w:t>?</w:t>
      </w:r>
    </w:p>
    <w:p w14:paraId="2762D9BA" w14:textId="65E8536C" w:rsidR="001B2D07" w:rsidRDefault="001B2D07" w:rsidP="001B2D07">
      <w:pPr>
        <w:pStyle w:val="ListParagraph"/>
        <w:numPr>
          <w:ilvl w:val="0"/>
          <w:numId w:val="3"/>
        </w:numPr>
        <w:jc w:val="both"/>
      </w:pPr>
      <w:r>
        <w:t xml:space="preserve">Storks et al. 2023 made homogenates and </w:t>
      </w:r>
      <w:r w:rsidRPr="001B2D07">
        <w:t xml:space="preserve">then resuspended </w:t>
      </w:r>
      <w:r>
        <w:t xml:space="preserve">the pellet </w:t>
      </w:r>
      <w:r w:rsidRPr="001B2D07">
        <w:t xml:space="preserve">in a 1:100 dilution of </w:t>
      </w:r>
      <w:proofErr w:type="spellStart"/>
      <w:r w:rsidRPr="001B2D07">
        <w:rPr>
          <w:b/>
          <w:bCs/>
        </w:rPr>
        <w:t>NeuN</w:t>
      </w:r>
      <w:proofErr w:type="spellEnd"/>
      <w:r w:rsidRPr="001B2D07">
        <w:rPr>
          <w:b/>
          <w:bCs/>
        </w:rPr>
        <w:t xml:space="preserve"> (ABN78C3, Millipore Sigma)</w:t>
      </w:r>
      <w:r w:rsidRPr="001B2D07">
        <w:t xml:space="preserve"> and incubated under agitation overnight in the dark at 4°C. We then centrifuged the nuclei, rinsed with PBS, and then resuspended in 200–400 </w:t>
      </w:r>
      <w:proofErr w:type="spellStart"/>
      <w:r w:rsidRPr="001B2D07">
        <w:t>uL</w:t>
      </w:r>
      <w:proofErr w:type="spellEnd"/>
      <w:r w:rsidRPr="001B2D07">
        <w:t xml:space="preserve"> for counting</w:t>
      </w:r>
      <w:r>
        <w:t xml:space="preserve">. Everything was fixed with 4% paraformaldehyde for at least three days. Check if fixing with our method may work. </w:t>
      </w:r>
    </w:p>
    <w:p w14:paraId="553C9F39" w14:textId="19657FE6" w:rsidR="001B2D07" w:rsidRDefault="001B2D07" w:rsidP="001B2D07">
      <w:pPr>
        <w:pStyle w:val="ListParagraph"/>
        <w:ind w:left="1800"/>
        <w:jc w:val="both"/>
      </w:pPr>
      <w:r>
        <w:t xml:space="preserve">What was the dissolvent in the </w:t>
      </w:r>
      <w:proofErr w:type="spellStart"/>
      <w:r>
        <w:t>NeuN</w:t>
      </w:r>
      <w:proofErr w:type="spellEnd"/>
      <w:r>
        <w:t xml:space="preserve"> dilution?</w:t>
      </w:r>
    </w:p>
    <w:p w14:paraId="3E9B8149" w14:textId="31969D53" w:rsidR="001B2D07" w:rsidRPr="001B2D07" w:rsidRDefault="001B2D07" w:rsidP="001B2D07">
      <w:pPr>
        <w:pStyle w:val="ListParagraph"/>
        <w:numPr>
          <w:ilvl w:val="0"/>
          <w:numId w:val="3"/>
        </w:numPr>
        <w:jc w:val="both"/>
        <w:rPr>
          <w:sz w:val="21"/>
          <w:szCs w:val="21"/>
        </w:rPr>
      </w:pPr>
      <w:r>
        <w:t>Farrow et al. 2021</w:t>
      </w:r>
      <w:r w:rsidRPr="001B2D07">
        <w:t xml:space="preserve"> dissected</w:t>
      </w:r>
      <w:r>
        <w:t xml:space="preserve"> brains</w:t>
      </w:r>
      <w:r w:rsidRPr="001B2D07">
        <w:t xml:space="preserve"> and post-fixed for 1</w:t>
      </w:r>
      <w:r w:rsidRPr="001B2D07">
        <w:rPr>
          <w:rFonts w:ascii="Arial" w:hAnsi="Arial" w:cs="Arial"/>
        </w:rPr>
        <w:t> </w:t>
      </w:r>
      <w:r w:rsidRPr="001B2D07">
        <w:t>h in 4 % paraformaldehyde in 0.1</w:t>
      </w:r>
      <w:r w:rsidRPr="001B2D07">
        <w:rPr>
          <w:rFonts w:ascii="Arial" w:hAnsi="Arial" w:cs="Arial"/>
        </w:rPr>
        <w:t> </w:t>
      </w:r>
      <w:r w:rsidRPr="001B2D07">
        <w:t>M phosphate buffer (PB), pH 7.4 before being placed in 1% NaN3 in 0.1</w:t>
      </w:r>
      <w:r w:rsidRPr="001B2D07">
        <w:rPr>
          <w:rFonts w:ascii="Arial" w:hAnsi="Arial" w:cs="Arial"/>
        </w:rPr>
        <w:t> </w:t>
      </w:r>
      <w:r w:rsidRPr="001B2D07">
        <w:t>M PBS for a minimum of three days.</w:t>
      </w:r>
      <w:r>
        <w:t xml:space="preserve"> Later, they resuspended the pellet in 100</w:t>
      </w:r>
      <w:r w:rsidRPr="001B2D07">
        <w:rPr>
          <w:rFonts w:ascii="Arial" w:hAnsi="Arial" w:cs="Arial"/>
        </w:rPr>
        <w:t> </w:t>
      </w:r>
      <w:proofErr w:type="spellStart"/>
      <w:r>
        <w:t>μL</w:t>
      </w:r>
      <w:proofErr w:type="spellEnd"/>
      <w:r>
        <w:t xml:space="preserve"> of homogenization buffer containing a 1:100 dilution of mouse anti-</w:t>
      </w:r>
      <w:proofErr w:type="spellStart"/>
      <w:r>
        <w:t>NeuN</w:t>
      </w:r>
      <w:proofErr w:type="spellEnd"/>
      <w:r>
        <w:t xml:space="preserve"> monoclonal antibody (EMD Millipore, USA) for 30</w:t>
      </w:r>
      <w:r w:rsidRPr="001B2D07">
        <w:rPr>
          <w:rFonts w:ascii="Arial" w:hAnsi="Arial" w:cs="Arial"/>
        </w:rPr>
        <w:t> </w:t>
      </w:r>
      <w:r>
        <w:t xml:space="preserve">min on ice. </w:t>
      </w:r>
      <w:r w:rsidRPr="001B2D07">
        <w:rPr>
          <w:sz w:val="21"/>
          <w:szCs w:val="21"/>
        </w:rPr>
        <w:t>The brain tissue lysate was washed by adding 1</w:t>
      </w:r>
      <w:r w:rsidRPr="001B2D07">
        <w:rPr>
          <w:rFonts w:ascii="Arial" w:hAnsi="Arial" w:cs="Arial"/>
          <w:sz w:val="21"/>
          <w:szCs w:val="21"/>
        </w:rPr>
        <w:t> </w:t>
      </w:r>
      <w:r w:rsidRPr="001B2D07">
        <w:rPr>
          <w:sz w:val="21"/>
          <w:szCs w:val="21"/>
        </w:rPr>
        <w:t>mL of ice-cold PBS (pH 7.4) and centrifuged at 300</w:t>
      </w:r>
      <w:r w:rsidRPr="001B2D07">
        <w:rPr>
          <w:rFonts w:ascii="Arial" w:hAnsi="Arial" w:cs="Arial"/>
          <w:sz w:val="21"/>
          <w:szCs w:val="21"/>
        </w:rPr>
        <w:t> </w:t>
      </w:r>
      <w:r w:rsidRPr="001B2D07">
        <w:rPr>
          <w:sz w:val="21"/>
          <w:szCs w:val="21"/>
        </w:rPr>
        <w:t>g for 3</w:t>
      </w:r>
      <w:r w:rsidRPr="001B2D07">
        <w:rPr>
          <w:rFonts w:ascii="Arial" w:hAnsi="Arial" w:cs="Arial"/>
          <w:sz w:val="21"/>
          <w:szCs w:val="21"/>
        </w:rPr>
        <w:t> </w:t>
      </w:r>
      <w:r w:rsidRPr="001B2D07">
        <w:rPr>
          <w:sz w:val="21"/>
          <w:szCs w:val="21"/>
        </w:rPr>
        <w:t>minutes and the supernatant discarded. The pellets were resuspended in 100</w:t>
      </w:r>
      <w:r w:rsidRPr="001B2D07">
        <w:rPr>
          <w:rFonts w:ascii="Arial" w:hAnsi="Arial" w:cs="Arial"/>
          <w:sz w:val="21"/>
          <w:szCs w:val="21"/>
        </w:rPr>
        <w:t> </w:t>
      </w:r>
      <w:proofErr w:type="spellStart"/>
      <w:r w:rsidRPr="001B2D07">
        <w:rPr>
          <w:sz w:val="21"/>
          <w:szCs w:val="21"/>
        </w:rPr>
        <w:t>μl</w:t>
      </w:r>
      <w:proofErr w:type="spellEnd"/>
      <w:r w:rsidRPr="001B2D07">
        <w:rPr>
          <w:sz w:val="21"/>
          <w:szCs w:val="21"/>
        </w:rPr>
        <w:t xml:space="preserve"> of homogenization buffer containing a 1:200 dilution of goat anti-mouse IgG-FITC antibody (EMD Millipore, USA) for 30</w:t>
      </w:r>
      <w:r w:rsidRPr="001B2D07">
        <w:rPr>
          <w:rFonts w:ascii="Arial" w:hAnsi="Arial" w:cs="Arial"/>
          <w:sz w:val="21"/>
          <w:szCs w:val="21"/>
        </w:rPr>
        <w:t> </w:t>
      </w:r>
      <w:r w:rsidRPr="001B2D07">
        <w:rPr>
          <w:sz w:val="21"/>
          <w:szCs w:val="21"/>
        </w:rPr>
        <w:t>minutes on ice in the dark. Brain tissue lysate was washed by adding 1</w:t>
      </w:r>
      <w:r w:rsidRPr="001B2D07">
        <w:rPr>
          <w:rFonts w:ascii="Arial" w:hAnsi="Arial" w:cs="Arial"/>
          <w:sz w:val="21"/>
          <w:szCs w:val="21"/>
        </w:rPr>
        <w:t> </w:t>
      </w:r>
      <w:r w:rsidRPr="001B2D07">
        <w:rPr>
          <w:sz w:val="21"/>
          <w:szCs w:val="21"/>
        </w:rPr>
        <w:t>ml of PBS (pH7.4) and centrifuged at 300</w:t>
      </w:r>
      <w:r w:rsidRPr="001B2D07">
        <w:rPr>
          <w:rFonts w:ascii="Arial" w:hAnsi="Arial" w:cs="Arial"/>
          <w:sz w:val="21"/>
          <w:szCs w:val="21"/>
        </w:rPr>
        <w:t> </w:t>
      </w:r>
      <w:r w:rsidRPr="001B2D07">
        <w:rPr>
          <w:sz w:val="21"/>
          <w:szCs w:val="21"/>
        </w:rPr>
        <w:t>g for 3</w:t>
      </w:r>
      <w:r w:rsidRPr="001B2D07">
        <w:rPr>
          <w:rFonts w:ascii="Arial" w:hAnsi="Arial" w:cs="Arial"/>
          <w:sz w:val="21"/>
          <w:szCs w:val="21"/>
        </w:rPr>
        <w:t> </w:t>
      </w:r>
      <w:r w:rsidRPr="001B2D07">
        <w:rPr>
          <w:sz w:val="21"/>
          <w:szCs w:val="21"/>
        </w:rPr>
        <w:t>minutes. The supernatant was discarded, and the cells resuspended in 100</w:t>
      </w:r>
      <w:r w:rsidRPr="001B2D07">
        <w:rPr>
          <w:rFonts w:ascii="Arial" w:hAnsi="Arial" w:cs="Arial"/>
          <w:sz w:val="21"/>
          <w:szCs w:val="21"/>
        </w:rPr>
        <w:t> </w:t>
      </w:r>
      <w:proofErr w:type="spellStart"/>
      <w:r w:rsidRPr="001B2D07">
        <w:rPr>
          <w:sz w:val="21"/>
          <w:szCs w:val="21"/>
        </w:rPr>
        <w:t>μl</w:t>
      </w:r>
      <w:proofErr w:type="spellEnd"/>
      <w:r w:rsidRPr="001B2D07">
        <w:rPr>
          <w:sz w:val="21"/>
          <w:szCs w:val="21"/>
        </w:rPr>
        <w:t xml:space="preserve"> of PBS (pH 7.4) and were stored on ice in the dark.</w:t>
      </w:r>
      <w:r>
        <w:rPr>
          <w:sz w:val="21"/>
          <w:szCs w:val="21"/>
        </w:rPr>
        <w:t xml:space="preserve"> </w:t>
      </w:r>
      <w:r>
        <w:t xml:space="preserve">Why this last steps? Is it related to the fluorophore conjugate for </w:t>
      </w:r>
      <w:proofErr w:type="spellStart"/>
      <w:r>
        <w:t>NeuN</w:t>
      </w:r>
      <w:proofErr w:type="spellEnd"/>
      <w:r>
        <w:t>?</w:t>
      </w:r>
    </w:p>
    <w:p w14:paraId="36DF3EE7" w14:textId="77777777" w:rsidR="001B2D07" w:rsidRDefault="001B2D07" w:rsidP="001B2D07">
      <w:pPr>
        <w:jc w:val="both"/>
      </w:pPr>
    </w:p>
    <w:p w14:paraId="1836E535" w14:textId="6DF668A1" w:rsidR="001B2D07" w:rsidRDefault="001B2D07" w:rsidP="001B2D07">
      <w:pPr>
        <w:jc w:val="both"/>
      </w:pPr>
      <w:r>
        <w:t>We</w:t>
      </w:r>
      <w:r w:rsidRPr="001B2D07">
        <w:t xml:space="preserve"> </w:t>
      </w:r>
      <w:r>
        <w:t xml:space="preserve">may need to </w:t>
      </w:r>
      <w:r w:rsidRPr="001B2D07">
        <w:rPr>
          <w:b/>
          <w:bCs/>
        </w:rPr>
        <w:t>fix the tissue 4% PFA</w:t>
      </w:r>
      <w:r>
        <w:t xml:space="preserve"> once the homogenates are done</w:t>
      </w:r>
      <w:r w:rsidRPr="001B2D07">
        <w:t>.</w:t>
      </w:r>
    </w:p>
    <w:p w14:paraId="51CF150D" w14:textId="77777777" w:rsidR="001B2D07" w:rsidRDefault="001B2D07" w:rsidP="001B2D07">
      <w:pPr>
        <w:jc w:val="both"/>
      </w:pPr>
    </w:p>
    <w:p w14:paraId="2396B492" w14:textId="6DBC22A7" w:rsidR="001B2D07" w:rsidRPr="001B2D07" w:rsidRDefault="001B2D07" w:rsidP="001B2D07">
      <w:pPr>
        <w:jc w:val="both"/>
        <w:rPr>
          <w:sz w:val="21"/>
          <w:szCs w:val="21"/>
        </w:rPr>
      </w:pPr>
      <w:r>
        <w:t>We may need to pe</w:t>
      </w:r>
      <w:r w:rsidR="001A343D">
        <w:t>r</w:t>
      </w:r>
      <w:r>
        <w:t xml:space="preserve">meabilize the tissue. </w:t>
      </w:r>
      <w:r w:rsidRPr="001B2D07">
        <w:rPr>
          <w:sz w:val="21"/>
          <w:szCs w:val="21"/>
        </w:rPr>
        <w:t>Are we doing that for DNA damage? Check our protocols with Dalton</w:t>
      </w:r>
    </w:p>
    <w:p w14:paraId="01A441E4" w14:textId="77777777" w:rsidR="001B2D07" w:rsidRDefault="001B2D07" w:rsidP="001B2D07">
      <w:pPr>
        <w:jc w:val="both"/>
      </w:pPr>
    </w:p>
    <w:p w14:paraId="5FA75014" w14:textId="651451C2" w:rsidR="001B2D07" w:rsidRDefault="001B2D07" w:rsidP="001B2D07">
      <w:pPr>
        <w:jc w:val="both"/>
      </w:pPr>
      <w:r>
        <w:t xml:space="preserve">We need a fluorophore conjugate for </w:t>
      </w:r>
      <w:proofErr w:type="spellStart"/>
      <w:r>
        <w:t>NeuN</w:t>
      </w:r>
      <w:proofErr w:type="spellEnd"/>
      <w:r>
        <w:t xml:space="preserve"> for the flow cytometer. Ask Mick and tell him about our plan.</w:t>
      </w:r>
    </w:p>
    <w:p w14:paraId="1C64EC3D" w14:textId="77777777" w:rsidR="001B2D07" w:rsidRDefault="001B2D07" w:rsidP="001B2D07">
      <w:pPr>
        <w:jc w:val="both"/>
      </w:pPr>
    </w:p>
    <w:p w14:paraId="1468C402" w14:textId="0F045F3C" w:rsidR="001B2D07" w:rsidRDefault="001B2D07" w:rsidP="001B2D07">
      <w:pPr>
        <w:jc w:val="both"/>
      </w:pPr>
      <w:r>
        <w:t>ACKNOWLEDGEMENTS:</w:t>
      </w:r>
    </w:p>
    <w:p w14:paraId="0E1866E4" w14:textId="77777777" w:rsidR="001B2D07" w:rsidRDefault="001B2D07" w:rsidP="001B2D07">
      <w:pPr>
        <w:jc w:val="both"/>
      </w:pPr>
    </w:p>
    <w:p w14:paraId="129D5D62" w14:textId="77777777" w:rsidR="001B2D07" w:rsidRDefault="001B2D07" w:rsidP="001B2D07">
      <w:pPr>
        <w:jc w:val="both"/>
      </w:pPr>
      <w:r>
        <w:t>The authors acknowledge Microscopy Australia (ROR: 042mm0k03) at the Centre for</w:t>
      </w:r>
    </w:p>
    <w:p w14:paraId="3A14361E" w14:textId="77777777" w:rsidR="001B2D07" w:rsidRDefault="001B2D07" w:rsidP="001B2D07">
      <w:pPr>
        <w:jc w:val="both"/>
      </w:pPr>
      <w:r>
        <w:t>Advanced Microscopy, The Australian National University, a facility enabled by</w:t>
      </w:r>
    </w:p>
    <w:p w14:paraId="20F901F2" w14:textId="7A2CFE83" w:rsidR="006D64F2" w:rsidRDefault="001B2D07" w:rsidP="001B2D07">
      <w:pPr>
        <w:jc w:val="both"/>
      </w:pPr>
      <w:r>
        <w:t>NCRIS and university support.</w:t>
      </w:r>
    </w:p>
    <w:p w14:paraId="2B2CEA31" w14:textId="77777777" w:rsidR="006D64F2" w:rsidRDefault="006D64F2">
      <w:r>
        <w:br w:type="page"/>
      </w:r>
    </w:p>
    <w:p w14:paraId="50B2DC8F" w14:textId="77777777" w:rsidR="006D64F2" w:rsidRPr="00CF3CF7" w:rsidRDefault="006D64F2" w:rsidP="006D64F2">
      <w:pPr>
        <w:pStyle w:val="Title"/>
        <w:spacing w:line="360" w:lineRule="auto"/>
      </w:pPr>
      <w:r w:rsidRPr="00CF3CF7">
        <w:lastRenderedPageBreak/>
        <w:t xml:space="preserve">Staining brain homogenates with </w:t>
      </w:r>
      <w:proofErr w:type="spellStart"/>
      <w:r w:rsidRPr="00CF3CF7">
        <w:t>NeuN</w:t>
      </w:r>
      <w:proofErr w:type="spellEnd"/>
      <w:r w:rsidRPr="00CF3CF7">
        <w:t xml:space="preserve">+ in </w:t>
      </w:r>
      <w:proofErr w:type="spellStart"/>
      <w:r w:rsidRPr="00CF3CF7">
        <w:rPr>
          <w:i/>
          <w:iCs/>
        </w:rPr>
        <w:t>Lampropholis</w:t>
      </w:r>
      <w:proofErr w:type="spellEnd"/>
      <w:r w:rsidRPr="00CF3CF7">
        <w:rPr>
          <w:i/>
          <w:iCs/>
        </w:rPr>
        <w:t xml:space="preserve"> delicata</w:t>
      </w:r>
    </w:p>
    <w:p w14:paraId="78C43D60" w14:textId="77777777" w:rsidR="006D64F2" w:rsidRPr="00CF3CF7" w:rsidRDefault="006D64F2" w:rsidP="006D64F2">
      <w:pPr>
        <w:spacing w:line="360" w:lineRule="auto"/>
        <w:rPr>
          <w:rStyle w:val="SubtleEmphasis"/>
        </w:rPr>
      </w:pPr>
      <w:r w:rsidRPr="00CF3CF7">
        <w:rPr>
          <w:rStyle w:val="SubtleEmphasis"/>
        </w:rPr>
        <w:t>Pablo Recio</w:t>
      </w:r>
    </w:p>
    <w:p w14:paraId="1B738D81" w14:textId="77777777" w:rsidR="006D64F2" w:rsidRPr="00CF3CF7" w:rsidRDefault="006D64F2" w:rsidP="006D64F2">
      <w:pPr>
        <w:spacing w:line="360" w:lineRule="auto"/>
        <w:rPr>
          <w:i/>
          <w:iCs/>
          <w:color w:val="404040" w:themeColor="text1" w:themeTint="BF"/>
        </w:rPr>
      </w:pPr>
      <w:r w:rsidRPr="00CF3CF7">
        <w:rPr>
          <w:rStyle w:val="SubtleEmphasis"/>
        </w:rPr>
        <w:t>1 March 2025</w:t>
      </w:r>
    </w:p>
    <w:p w14:paraId="3B084A7B" w14:textId="77777777" w:rsidR="006D64F2" w:rsidRPr="00CF3CF7" w:rsidRDefault="006D64F2" w:rsidP="006D64F2">
      <w:pPr>
        <w:pStyle w:val="Heading1"/>
        <w:spacing w:line="360" w:lineRule="auto"/>
      </w:pPr>
      <w:r w:rsidRPr="00CF3CF7">
        <w:t>Procedures</w:t>
      </w:r>
    </w:p>
    <w:p w14:paraId="481E2880" w14:textId="77777777" w:rsidR="006D64F2" w:rsidRPr="00CF3CF7" w:rsidRDefault="006D64F2" w:rsidP="006D64F2">
      <w:pPr>
        <w:pStyle w:val="Heading2"/>
        <w:spacing w:line="360" w:lineRule="auto"/>
      </w:pPr>
      <w:r w:rsidRPr="00CF3CF7">
        <w:t>Tissue Collection</w:t>
      </w:r>
    </w:p>
    <w:p w14:paraId="48048BD8" w14:textId="77777777" w:rsidR="006D64F2" w:rsidRPr="00CF3CF7" w:rsidRDefault="006D64F2" w:rsidP="006D64F2">
      <w:pPr>
        <w:pStyle w:val="ListParagraph"/>
        <w:numPr>
          <w:ilvl w:val="0"/>
          <w:numId w:val="4"/>
        </w:numPr>
        <w:spacing w:line="360" w:lineRule="auto"/>
      </w:pPr>
      <w:r w:rsidRPr="00CF3CF7">
        <w:t xml:space="preserve">Anaesthetise the animal via intraperitoneal injection of 10µL 10mg/mL </w:t>
      </w:r>
      <w:proofErr w:type="spellStart"/>
      <w:r w:rsidRPr="00CF3CF7">
        <w:t>Alfaxan</w:t>
      </w:r>
      <w:proofErr w:type="spellEnd"/>
      <w:r w:rsidRPr="00CF3CF7">
        <w:t>.</w:t>
      </w:r>
    </w:p>
    <w:p w14:paraId="7175B309" w14:textId="77777777" w:rsidR="006D64F2" w:rsidRPr="00CF3CF7" w:rsidRDefault="006D64F2" w:rsidP="006D64F2">
      <w:pPr>
        <w:pStyle w:val="ListParagraph"/>
        <w:numPr>
          <w:ilvl w:val="0"/>
          <w:numId w:val="4"/>
        </w:numPr>
        <w:spacing w:line="360" w:lineRule="auto"/>
      </w:pPr>
      <w:r w:rsidRPr="00CF3CF7">
        <w:t>Euthanise the animal via decapitation with surgical scissors. Collect head and store it in cold PBS until dissection. Remove brain following established protocols and store resultant tissue sample in cold PBS on ice.</w:t>
      </w:r>
    </w:p>
    <w:p w14:paraId="4B624ABE" w14:textId="77777777" w:rsidR="006D64F2" w:rsidRPr="00CF3CF7" w:rsidRDefault="006D64F2" w:rsidP="006D64F2">
      <w:pPr>
        <w:pStyle w:val="Heading2"/>
        <w:spacing w:line="360" w:lineRule="auto"/>
      </w:pPr>
      <w:r w:rsidRPr="00CF3CF7">
        <w:t xml:space="preserve"> Homogenates Preparation</w:t>
      </w:r>
    </w:p>
    <w:p w14:paraId="14DA3936" w14:textId="77777777" w:rsidR="006D64F2" w:rsidRPr="00CF3CF7" w:rsidRDefault="006D64F2" w:rsidP="006D64F2"/>
    <w:p w14:paraId="12D18C76" w14:textId="77777777" w:rsidR="006D64F2" w:rsidRPr="00CF3CF7" w:rsidRDefault="006D64F2" w:rsidP="006D64F2">
      <w:pPr>
        <w:pStyle w:val="ListParagraph"/>
        <w:numPr>
          <w:ilvl w:val="0"/>
          <w:numId w:val="5"/>
        </w:numPr>
        <w:spacing w:line="360" w:lineRule="auto"/>
      </w:pPr>
      <w:r w:rsidRPr="00CF3CF7">
        <w:t>For those regions that need collagenase (e.g.: Optic tecta):</w:t>
      </w:r>
    </w:p>
    <w:p w14:paraId="0C06350E" w14:textId="77777777" w:rsidR="006D64F2" w:rsidRPr="00CF3CF7" w:rsidRDefault="006D64F2" w:rsidP="006D64F2">
      <w:pPr>
        <w:pStyle w:val="ListParagraph"/>
        <w:numPr>
          <w:ilvl w:val="1"/>
          <w:numId w:val="5"/>
        </w:numPr>
        <w:spacing w:line="360" w:lineRule="auto"/>
      </w:pPr>
      <w:r w:rsidRPr="00CF3CF7">
        <w:t xml:space="preserve"> Transfer the tissue to a 1.5mL centrifuge tube containing 100µL of 125U/mL of pre-warmed collagenase (type II) in 1X PBS.</w:t>
      </w:r>
    </w:p>
    <w:p w14:paraId="652E17AD" w14:textId="77777777" w:rsidR="006D64F2" w:rsidRPr="00CF3CF7" w:rsidRDefault="006D64F2" w:rsidP="006D64F2">
      <w:pPr>
        <w:pStyle w:val="ListParagraph"/>
        <w:numPr>
          <w:ilvl w:val="1"/>
          <w:numId w:val="5"/>
        </w:numPr>
        <w:spacing w:line="360" w:lineRule="auto"/>
      </w:pPr>
      <w:r w:rsidRPr="00CF3CF7">
        <w:t>Incubate for 30-min at 32°C</w:t>
      </w:r>
    </w:p>
    <w:p w14:paraId="344F2D87" w14:textId="77777777" w:rsidR="006D64F2" w:rsidRPr="00CF3CF7" w:rsidRDefault="006D64F2" w:rsidP="006D64F2">
      <w:pPr>
        <w:spacing w:line="360" w:lineRule="auto"/>
        <w:ind w:left="1080"/>
      </w:pPr>
    </w:p>
    <w:p w14:paraId="5C925A2D" w14:textId="77777777" w:rsidR="006D64F2" w:rsidRPr="00CF3CF7" w:rsidRDefault="006D64F2" w:rsidP="006D64F2">
      <w:pPr>
        <w:pStyle w:val="ListParagraph"/>
        <w:numPr>
          <w:ilvl w:val="0"/>
          <w:numId w:val="5"/>
        </w:numPr>
        <w:spacing w:line="360" w:lineRule="auto"/>
      </w:pPr>
      <w:r w:rsidRPr="00CF3CF7">
        <w:t xml:space="preserve">For those regions that do not need collagenase (e.g.: Olfactory bulbs) / after digesting with collagenase: </w:t>
      </w:r>
    </w:p>
    <w:p w14:paraId="759A4AC8" w14:textId="77777777" w:rsidR="006D64F2" w:rsidRPr="00CF3CF7" w:rsidRDefault="006D64F2" w:rsidP="006D64F2">
      <w:pPr>
        <w:pStyle w:val="ListParagraph"/>
        <w:numPr>
          <w:ilvl w:val="1"/>
          <w:numId w:val="5"/>
        </w:numPr>
        <w:spacing w:line="360" w:lineRule="auto"/>
      </w:pPr>
      <w:r w:rsidRPr="00CF3CF7">
        <w:t xml:space="preserve">Mash the tissue through a 100µm mesh filter using the rubber stopper of an insulin syringe. </w:t>
      </w:r>
    </w:p>
    <w:p w14:paraId="3B33E413" w14:textId="77777777" w:rsidR="006D64F2" w:rsidRPr="00CF3CF7" w:rsidRDefault="006D64F2" w:rsidP="006D64F2">
      <w:pPr>
        <w:pStyle w:val="ListParagraph"/>
        <w:numPr>
          <w:ilvl w:val="1"/>
          <w:numId w:val="5"/>
        </w:numPr>
        <w:spacing w:line="360" w:lineRule="auto"/>
      </w:pPr>
      <w:r w:rsidRPr="00CF3CF7">
        <w:t>Rinse through the mesh filter with 1mL of cold 1X PBS.</w:t>
      </w:r>
    </w:p>
    <w:p w14:paraId="50C18BB0" w14:textId="77777777" w:rsidR="006D64F2" w:rsidRPr="00CF3CF7" w:rsidRDefault="006D64F2" w:rsidP="006D64F2">
      <w:pPr>
        <w:pStyle w:val="ListParagraph"/>
        <w:numPr>
          <w:ilvl w:val="1"/>
          <w:numId w:val="5"/>
        </w:numPr>
        <w:spacing w:line="360" w:lineRule="auto"/>
      </w:pPr>
      <w:r w:rsidRPr="00CF3CF7">
        <w:t>Centrifuge the samples at1000 RFC for 10 minutes, remove supernatant, and resuspend in 500µL 1x PBS</w:t>
      </w:r>
    </w:p>
    <w:p w14:paraId="2C18B029" w14:textId="77777777" w:rsidR="006D64F2" w:rsidRPr="00CF3CF7" w:rsidRDefault="006D64F2" w:rsidP="006D64F2">
      <w:pPr>
        <w:spacing w:line="360" w:lineRule="auto"/>
      </w:pPr>
    </w:p>
    <w:p w14:paraId="4A2AEAD6" w14:textId="77777777" w:rsidR="006D64F2" w:rsidRPr="00CF3CF7" w:rsidRDefault="006D64F2" w:rsidP="006D64F2">
      <w:pPr>
        <w:spacing w:line="360" w:lineRule="auto"/>
      </w:pPr>
    </w:p>
    <w:p w14:paraId="6B7FFAB1" w14:textId="77777777" w:rsidR="006D64F2" w:rsidRPr="00CF3CF7" w:rsidRDefault="006D64F2" w:rsidP="006D64F2">
      <w:pPr>
        <w:pStyle w:val="Heading2"/>
        <w:spacing w:line="360" w:lineRule="auto"/>
      </w:pPr>
      <w:r w:rsidRPr="00CF3CF7">
        <w:lastRenderedPageBreak/>
        <w:t>Intracellular and Nuclear Staining</w:t>
      </w:r>
    </w:p>
    <w:p w14:paraId="27C1482C" w14:textId="77777777" w:rsidR="006D64F2" w:rsidRPr="00CF3CF7" w:rsidRDefault="006D64F2" w:rsidP="006D64F2">
      <w:pPr>
        <w:pStyle w:val="ListParagraph"/>
        <w:numPr>
          <w:ilvl w:val="0"/>
          <w:numId w:val="6"/>
        </w:numPr>
        <w:spacing w:line="360" w:lineRule="auto"/>
      </w:pPr>
      <w:r w:rsidRPr="00CF3CF7">
        <w:t>Fix the samples with 10% Neutral-Buffered Formalin (NBF): add NBF to sample at 1:10 to reach a final concentration of 1% NBF. Incubate at 32°C for 20min to fix.</w:t>
      </w:r>
    </w:p>
    <w:p w14:paraId="3CFA7ACE" w14:textId="77777777" w:rsidR="006D64F2" w:rsidRPr="00CF3CF7" w:rsidRDefault="006D64F2" w:rsidP="006D64F2">
      <w:pPr>
        <w:pStyle w:val="ListParagraph"/>
        <w:numPr>
          <w:ilvl w:val="0"/>
          <w:numId w:val="6"/>
        </w:numPr>
        <w:spacing w:line="360" w:lineRule="auto"/>
      </w:pPr>
      <w:r w:rsidRPr="00CF3CF7">
        <w:t xml:space="preserve">Do PBS wash: centrifuge samples at 800-1200xg for 10min to pellet cells. Remove the supernatant. Resuspend the pellet in 200µL warm 1X PBS. </w:t>
      </w:r>
    </w:p>
    <w:p w14:paraId="7045FADD" w14:textId="77777777" w:rsidR="006D64F2" w:rsidRPr="00CF3CF7" w:rsidRDefault="006D64F2" w:rsidP="006D64F2">
      <w:pPr>
        <w:pStyle w:val="ListParagraph"/>
        <w:numPr>
          <w:ilvl w:val="0"/>
          <w:numId w:val="6"/>
        </w:numPr>
        <w:spacing w:line="360" w:lineRule="auto"/>
      </w:pPr>
      <w:r w:rsidRPr="00CF3CF7">
        <w:t>Permeabilize cells by adding pre-warmed digitonin to all samples and controls. Incubate at 32°C for 20min.</w:t>
      </w:r>
    </w:p>
    <w:p w14:paraId="47B5DBCF" w14:textId="77777777" w:rsidR="006D64F2" w:rsidRPr="00CF3CF7" w:rsidRDefault="006D64F2" w:rsidP="006D64F2">
      <w:pPr>
        <w:pStyle w:val="ListParagraph"/>
        <w:numPr>
          <w:ilvl w:val="0"/>
          <w:numId w:val="6"/>
        </w:numPr>
        <w:spacing w:line="360" w:lineRule="auto"/>
      </w:pPr>
      <w:r w:rsidRPr="00CF3CF7">
        <w:t xml:space="preserve">Do PBS wash: centrifuge samples at 800-1200xg for 10min to pellet cells. Remove the supernatant. Resuspend the pellet in 500µL warm 1X PBS. </w:t>
      </w:r>
    </w:p>
    <w:p w14:paraId="26BE60DA" w14:textId="77777777" w:rsidR="006D64F2" w:rsidRDefault="006D64F2" w:rsidP="006D64F2">
      <w:pPr>
        <w:pStyle w:val="ListParagraph"/>
        <w:numPr>
          <w:ilvl w:val="0"/>
          <w:numId w:val="6"/>
        </w:numPr>
        <w:spacing w:line="360" w:lineRule="auto"/>
      </w:pPr>
      <w:r w:rsidRPr="00CF3CF7">
        <w:t xml:space="preserve">Add 1:100 </w:t>
      </w:r>
      <w:proofErr w:type="spellStart"/>
      <w:r w:rsidRPr="00CF3CF7">
        <w:t>NeuN</w:t>
      </w:r>
      <w:proofErr w:type="spellEnd"/>
      <w:r w:rsidRPr="00CF3CF7">
        <w:t xml:space="preserve"> solution</w:t>
      </w:r>
      <w:r>
        <w:t xml:space="preserve"> and incubate all night at 4</w:t>
      </w:r>
      <w:r w:rsidRPr="00CF3CF7">
        <w:t>°C.</w:t>
      </w:r>
    </w:p>
    <w:p w14:paraId="70965E10" w14:textId="77777777" w:rsidR="006D64F2" w:rsidRDefault="006D64F2" w:rsidP="006D64F2">
      <w:pPr>
        <w:pStyle w:val="ListParagraph"/>
        <w:numPr>
          <w:ilvl w:val="0"/>
          <w:numId w:val="6"/>
        </w:numPr>
        <w:spacing w:line="360" w:lineRule="auto"/>
      </w:pPr>
      <w:r>
        <w:t xml:space="preserve">PBS wash: </w:t>
      </w:r>
      <w:r w:rsidRPr="00CF3CF7">
        <w:t>centrifuge samples at 800-1200xg for 10min to pellet cells. Remove the supernatant. Resuspend the pellet in 500µL warm 1X PBS.</w:t>
      </w:r>
      <w:r>
        <w:t xml:space="preserve"> </w:t>
      </w:r>
    </w:p>
    <w:p w14:paraId="53A387F8" w14:textId="77777777" w:rsidR="006D64F2" w:rsidRPr="00CF3CF7" w:rsidRDefault="006D64F2" w:rsidP="006D64F2">
      <w:pPr>
        <w:pStyle w:val="ListParagraph"/>
        <w:spacing w:line="360" w:lineRule="auto"/>
      </w:pPr>
    </w:p>
    <w:p w14:paraId="43A40E2F" w14:textId="77777777" w:rsidR="006D64F2" w:rsidRPr="00CF3CF7" w:rsidRDefault="006D64F2" w:rsidP="006D64F2">
      <w:pPr>
        <w:spacing w:line="360" w:lineRule="auto"/>
      </w:pPr>
      <w:r w:rsidRPr="00CF3CF7">
        <w:t xml:space="preserve">To optimize </w:t>
      </w:r>
      <w:r>
        <w:t xml:space="preserve">dye </w:t>
      </w:r>
      <w:r w:rsidRPr="00CF3CF7">
        <w:t>concentration,</w:t>
      </w:r>
      <w:r>
        <w:t xml:space="preserve"> we’ll make a preliminary experiment where:</w:t>
      </w:r>
    </w:p>
    <w:tbl>
      <w:tblPr>
        <w:tblStyle w:val="TableGrid"/>
        <w:tblW w:w="0" w:type="auto"/>
        <w:tblLook w:val="04A0" w:firstRow="1" w:lastRow="0" w:firstColumn="1" w:lastColumn="0" w:noHBand="0" w:noVBand="1"/>
      </w:tblPr>
      <w:tblGrid>
        <w:gridCol w:w="2689"/>
        <w:gridCol w:w="3969"/>
        <w:gridCol w:w="2358"/>
      </w:tblGrid>
      <w:tr w:rsidR="006D64F2" w:rsidRPr="00CF3CF7" w14:paraId="565E3F21" w14:textId="77777777" w:rsidTr="00BF2FD9">
        <w:tc>
          <w:tcPr>
            <w:tcW w:w="2689" w:type="dxa"/>
          </w:tcPr>
          <w:p w14:paraId="07C0F9CB" w14:textId="77777777" w:rsidR="006D64F2" w:rsidRPr="00CF3CF7" w:rsidRDefault="006D64F2" w:rsidP="00BF2FD9">
            <w:pPr>
              <w:spacing w:line="360" w:lineRule="auto"/>
              <w:jc w:val="center"/>
            </w:pPr>
            <w:r w:rsidRPr="00CF3CF7">
              <w:t>Volume sample (µL)</w:t>
            </w:r>
          </w:p>
        </w:tc>
        <w:tc>
          <w:tcPr>
            <w:tcW w:w="3969" w:type="dxa"/>
          </w:tcPr>
          <w:p w14:paraId="113B969F" w14:textId="77777777" w:rsidR="006D64F2" w:rsidRPr="00CF3CF7" w:rsidRDefault="006D64F2" w:rsidP="00BF2FD9">
            <w:pPr>
              <w:spacing w:line="360" w:lineRule="auto"/>
              <w:jc w:val="center"/>
            </w:pPr>
            <w:r w:rsidRPr="00CF3CF7">
              <w:t>Volume 1:100 solution dye (µL)</w:t>
            </w:r>
          </w:p>
        </w:tc>
        <w:tc>
          <w:tcPr>
            <w:tcW w:w="2358" w:type="dxa"/>
          </w:tcPr>
          <w:p w14:paraId="360E1C3E" w14:textId="77777777" w:rsidR="006D64F2" w:rsidRPr="00CF3CF7" w:rsidRDefault="006D64F2" w:rsidP="00BF2FD9">
            <w:pPr>
              <w:spacing w:line="360" w:lineRule="auto"/>
              <w:jc w:val="center"/>
            </w:pPr>
            <w:r w:rsidRPr="00CF3CF7">
              <w:t>Total volume (µL)</w:t>
            </w:r>
          </w:p>
        </w:tc>
      </w:tr>
      <w:tr w:rsidR="006D64F2" w:rsidRPr="00CF3CF7" w14:paraId="134AB6B4" w14:textId="77777777" w:rsidTr="00BF2FD9">
        <w:tc>
          <w:tcPr>
            <w:tcW w:w="2689" w:type="dxa"/>
          </w:tcPr>
          <w:p w14:paraId="78A8AF33" w14:textId="77777777" w:rsidR="006D64F2" w:rsidRPr="00CF3CF7" w:rsidRDefault="006D64F2" w:rsidP="00BF2FD9">
            <w:pPr>
              <w:spacing w:line="360" w:lineRule="auto"/>
              <w:jc w:val="center"/>
            </w:pPr>
            <w:r>
              <w:t>100</w:t>
            </w:r>
          </w:p>
        </w:tc>
        <w:tc>
          <w:tcPr>
            <w:tcW w:w="3969" w:type="dxa"/>
          </w:tcPr>
          <w:p w14:paraId="7A562C0A" w14:textId="77777777" w:rsidR="006D64F2" w:rsidRPr="00CF3CF7" w:rsidRDefault="006D64F2" w:rsidP="00BF2FD9">
            <w:pPr>
              <w:spacing w:line="360" w:lineRule="auto"/>
              <w:jc w:val="center"/>
            </w:pPr>
            <w:r>
              <w:t>0</w:t>
            </w:r>
          </w:p>
        </w:tc>
        <w:tc>
          <w:tcPr>
            <w:tcW w:w="2358" w:type="dxa"/>
          </w:tcPr>
          <w:p w14:paraId="56E466DB" w14:textId="77777777" w:rsidR="006D64F2" w:rsidRPr="00CF3CF7" w:rsidRDefault="006D64F2" w:rsidP="00BF2FD9">
            <w:pPr>
              <w:spacing w:line="360" w:lineRule="auto"/>
              <w:jc w:val="center"/>
            </w:pPr>
            <w:r>
              <w:t>100</w:t>
            </w:r>
          </w:p>
        </w:tc>
      </w:tr>
      <w:tr w:rsidR="006D64F2" w:rsidRPr="00CF3CF7" w14:paraId="720F6BAF" w14:textId="77777777" w:rsidTr="00BF2FD9">
        <w:tc>
          <w:tcPr>
            <w:tcW w:w="2689" w:type="dxa"/>
          </w:tcPr>
          <w:p w14:paraId="344FD462" w14:textId="77777777" w:rsidR="006D64F2" w:rsidRPr="00CF3CF7" w:rsidRDefault="006D64F2" w:rsidP="00BF2FD9">
            <w:pPr>
              <w:spacing w:line="360" w:lineRule="auto"/>
              <w:jc w:val="center"/>
            </w:pPr>
            <w:r>
              <w:t>95</w:t>
            </w:r>
          </w:p>
        </w:tc>
        <w:tc>
          <w:tcPr>
            <w:tcW w:w="3969" w:type="dxa"/>
          </w:tcPr>
          <w:p w14:paraId="759387E5" w14:textId="77777777" w:rsidR="006D64F2" w:rsidRPr="00CF3CF7" w:rsidRDefault="006D64F2" w:rsidP="00BF2FD9">
            <w:pPr>
              <w:spacing w:line="360" w:lineRule="auto"/>
              <w:jc w:val="center"/>
            </w:pPr>
            <w:r>
              <w:t>5</w:t>
            </w:r>
          </w:p>
        </w:tc>
        <w:tc>
          <w:tcPr>
            <w:tcW w:w="2358" w:type="dxa"/>
          </w:tcPr>
          <w:p w14:paraId="37D1434B" w14:textId="77777777" w:rsidR="006D64F2" w:rsidRPr="00CF3CF7" w:rsidRDefault="006D64F2" w:rsidP="00BF2FD9">
            <w:pPr>
              <w:spacing w:line="360" w:lineRule="auto"/>
              <w:jc w:val="center"/>
            </w:pPr>
            <w:r>
              <w:t>100</w:t>
            </w:r>
          </w:p>
        </w:tc>
      </w:tr>
      <w:tr w:rsidR="006D64F2" w:rsidRPr="00CF3CF7" w14:paraId="7DDD1CD9" w14:textId="77777777" w:rsidTr="00BF2FD9">
        <w:tc>
          <w:tcPr>
            <w:tcW w:w="2689" w:type="dxa"/>
          </w:tcPr>
          <w:p w14:paraId="54A317CD" w14:textId="77777777" w:rsidR="006D64F2" w:rsidRPr="00CF3CF7" w:rsidRDefault="006D64F2" w:rsidP="00BF2FD9">
            <w:pPr>
              <w:spacing w:line="360" w:lineRule="auto"/>
              <w:jc w:val="center"/>
            </w:pPr>
            <w:r>
              <w:t>90</w:t>
            </w:r>
          </w:p>
        </w:tc>
        <w:tc>
          <w:tcPr>
            <w:tcW w:w="3969" w:type="dxa"/>
          </w:tcPr>
          <w:p w14:paraId="0FD4FDA6" w14:textId="77777777" w:rsidR="006D64F2" w:rsidRPr="00CF3CF7" w:rsidRDefault="006D64F2" w:rsidP="00BF2FD9">
            <w:pPr>
              <w:spacing w:line="360" w:lineRule="auto"/>
              <w:jc w:val="center"/>
            </w:pPr>
            <w:r>
              <w:t>10</w:t>
            </w:r>
          </w:p>
        </w:tc>
        <w:tc>
          <w:tcPr>
            <w:tcW w:w="2358" w:type="dxa"/>
          </w:tcPr>
          <w:p w14:paraId="79138B8A" w14:textId="77777777" w:rsidR="006D64F2" w:rsidRPr="00CF3CF7" w:rsidRDefault="006D64F2" w:rsidP="00BF2FD9">
            <w:pPr>
              <w:spacing w:line="360" w:lineRule="auto"/>
              <w:jc w:val="center"/>
            </w:pPr>
            <w:r>
              <w:t>100</w:t>
            </w:r>
          </w:p>
        </w:tc>
      </w:tr>
      <w:tr w:rsidR="006D64F2" w:rsidRPr="00CF3CF7" w14:paraId="043D90D4" w14:textId="77777777" w:rsidTr="00BF2FD9">
        <w:tc>
          <w:tcPr>
            <w:tcW w:w="2689" w:type="dxa"/>
          </w:tcPr>
          <w:p w14:paraId="26A8AA71" w14:textId="77777777" w:rsidR="006D64F2" w:rsidRPr="00CF3CF7" w:rsidRDefault="006D64F2" w:rsidP="00BF2FD9">
            <w:pPr>
              <w:spacing w:line="360" w:lineRule="auto"/>
              <w:jc w:val="center"/>
            </w:pPr>
            <w:r>
              <w:t>80</w:t>
            </w:r>
          </w:p>
        </w:tc>
        <w:tc>
          <w:tcPr>
            <w:tcW w:w="3969" w:type="dxa"/>
          </w:tcPr>
          <w:p w14:paraId="2F9F8366" w14:textId="77777777" w:rsidR="006D64F2" w:rsidRPr="00CF3CF7" w:rsidRDefault="006D64F2" w:rsidP="00BF2FD9">
            <w:pPr>
              <w:spacing w:line="360" w:lineRule="auto"/>
              <w:jc w:val="center"/>
            </w:pPr>
            <w:r>
              <w:t>20</w:t>
            </w:r>
          </w:p>
        </w:tc>
        <w:tc>
          <w:tcPr>
            <w:tcW w:w="2358" w:type="dxa"/>
          </w:tcPr>
          <w:p w14:paraId="1580AB6F" w14:textId="77777777" w:rsidR="006D64F2" w:rsidRPr="00CF3CF7" w:rsidRDefault="006D64F2" w:rsidP="00BF2FD9">
            <w:pPr>
              <w:spacing w:line="360" w:lineRule="auto"/>
              <w:jc w:val="center"/>
            </w:pPr>
            <w:r>
              <w:t>100</w:t>
            </w:r>
          </w:p>
        </w:tc>
      </w:tr>
      <w:tr w:rsidR="006D64F2" w:rsidRPr="00CF3CF7" w14:paraId="3799C911" w14:textId="77777777" w:rsidTr="00BF2FD9">
        <w:tc>
          <w:tcPr>
            <w:tcW w:w="2689" w:type="dxa"/>
          </w:tcPr>
          <w:p w14:paraId="48E9BDC7" w14:textId="77777777" w:rsidR="006D64F2" w:rsidRPr="00CF3CF7" w:rsidRDefault="006D64F2" w:rsidP="00BF2FD9">
            <w:pPr>
              <w:spacing w:line="360" w:lineRule="auto"/>
              <w:jc w:val="center"/>
            </w:pPr>
            <w:r>
              <w:t>70</w:t>
            </w:r>
          </w:p>
        </w:tc>
        <w:tc>
          <w:tcPr>
            <w:tcW w:w="3969" w:type="dxa"/>
          </w:tcPr>
          <w:p w14:paraId="4A224DF0" w14:textId="77777777" w:rsidR="006D64F2" w:rsidRPr="00CF3CF7" w:rsidRDefault="006D64F2" w:rsidP="00BF2FD9">
            <w:pPr>
              <w:spacing w:line="360" w:lineRule="auto"/>
              <w:jc w:val="center"/>
            </w:pPr>
            <w:r>
              <w:t>30</w:t>
            </w:r>
          </w:p>
        </w:tc>
        <w:tc>
          <w:tcPr>
            <w:tcW w:w="2358" w:type="dxa"/>
          </w:tcPr>
          <w:p w14:paraId="2114D771" w14:textId="77777777" w:rsidR="006D64F2" w:rsidRPr="00CF3CF7" w:rsidRDefault="006D64F2" w:rsidP="00BF2FD9">
            <w:pPr>
              <w:spacing w:line="360" w:lineRule="auto"/>
              <w:jc w:val="center"/>
            </w:pPr>
            <w:r>
              <w:t>100</w:t>
            </w:r>
          </w:p>
        </w:tc>
      </w:tr>
      <w:tr w:rsidR="006D64F2" w:rsidRPr="00CF3CF7" w14:paraId="793AE9BC" w14:textId="77777777" w:rsidTr="00BF2FD9">
        <w:tc>
          <w:tcPr>
            <w:tcW w:w="2689" w:type="dxa"/>
          </w:tcPr>
          <w:p w14:paraId="21C361CD" w14:textId="77777777" w:rsidR="006D64F2" w:rsidRPr="00CF3CF7" w:rsidRDefault="006D64F2" w:rsidP="00BF2FD9">
            <w:pPr>
              <w:spacing w:line="360" w:lineRule="auto"/>
              <w:jc w:val="center"/>
            </w:pPr>
            <w:r>
              <w:t>65</w:t>
            </w:r>
          </w:p>
        </w:tc>
        <w:tc>
          <w:tcPr>
            <w:tcW w:w="3969" w:type="dxa"/>
          </w:tcPr>
          <w:p w14:paraId="5F8BBA08" w14:textId="77777777" w:rsidR="006D64F2" w:rsidRPr="00CF3CF7" w:rsidRDefault="006D64F2" w:rsidP="00BF2FD9">
            <w:pPr>
              <w:spacing w:line="360" w:lineRule="auto"/>
              <w:jc w:val="center"/>
            </w:pPr>
            <w:r>
              <w:t>35</w:t>
            </w:r>
          </w:p>
        </w:tc>
        <w:tc>
          <w:tcPr>
            <w:tcW w:w="2358" w:type="dxa"/>
          </w:tcPr>
          <w:p w14:paraId="0E6CA677" w14:textId="77777777" w:rsidR="006D64F2" w:rsidRPr="00CF3CF7" w:rsidRDefault="006D64F2" w:rsidP="00BF2FD9">
            <w:pPr>
              <w:spacing w:line="360" w:lineRule="auto"/>
              <w:jc w:val="center"/>
            </w:pPr>
            <w:r>
              <w:t>100</w:t>
            </w:r>
          </w:p>
        </w:tc>
      </w:tr>
    </w:tbl>
    <w:p w14:paraId="6425CE93" w14:textId="77777777" w:rsidR="006D64F2" w:rsidRPr="00CF3CF7" w:rsidRDefault="006D64F2" w:rsidP="006D64F2">
      <w:pPr>
        <w:spacing w:line="360" w:lineRule="auto"/>
        <w:rPr>
          <w:highlight w:val="yellow"/>
        </w:rPr>
      </w:pPr>
    </w:p>
    <w:p w14:paraId="7A932630" w14:textId="3A9B69FF" w:rsidR="001B2D07" w:rsidRPr="006D64F2" w:rsidRDefault="006D64F2" w:rsidP="006D64F2">
      <w:pPr>
        <w:rPr>
          <w:highlight w:val="yellow"/>
        </w:rPr>
      </w:pPr>
      <w:r>
        <w:rPr>
          <w:highlight w:val="yellow"/>
        </w:rPr>
        <w:br w:type="page"/>
      </w:r>
    </w:p>
    <w:sectPr w:rsidR="001B2D07" w:rsidRPr="006D6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0328"/>
    <w:multiLevelType w:val="hybridMultilevel"/>
    <w:tmpl w:val="A434EB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C27DE"/>
    <w:multiLevelType w:val="hybridMultilevel"/>
    <w:tmpl w:val="CCD467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0B67EC"/>
    <w:multiLevelType w:val="hybridMultilevel"/>
    <w:tmpl w:val="2D7EBDEE"/>
    <w:lvl w:ilvl="0" w:tplc="B08A23E4">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0620694"/>
    <w:multiLevelType w:val="hybridMultilevel"/>
    <w:tmpl w:val="EC180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6B6CAF"/>
    <w:multiLevelType w:val="hybridMultilevel"/>
    <w:tmpl w:val="66D09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8135BE"/>
    <w:multiLevelType w:val="hybridMultilevel"/>
    <w:tmpl w:val="A32E9F9E"/>
    <w:lvl w:ilvl="0" w:tplc="EBF4937C">
      <w:start w:val="1"/>
      <w:numFmt w:val="bullet"/>
      <w:lvlText w:val="-"/>
      <w:lvlJc w:val="left"/>
      <w:pPr>
        <w:ind w:left="927" w:hanging="360"/>
      </w:pPr>
      <w:rPr>
        <w:rFonts w:ascii="Aptos" w:eastAsiaTheme="minorHAnsi" w:hAnsi="Aptos"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16cid:durableId="1826823612">
    <w:abstractNumId w:val="1"/>
  </w:num>
  <w:num w:numId="2" w16cid:durableId="909775818">
    <w:abstractNumId w:val="2"/>
  </w:num>
  <w:num w:numId="3" w16cid:durableId="1320188058">
    <w:abstractNumId w:val="5"/>
  </w:num>
  <w:num w:numId="4" w16cid:durableId="144400805">
    <w:abstractNumId w:val="4"/>
  </w:num>
  <w:num w:numId="5" w16cid:durableId="284967508">
    <w:abstractNumId w:val="0"/>
  </w:num>
  <w:num w:numId="6" w16cid:durableId="723987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07"/>
    <w:rsid w:val="000071C6"/>
    <w:rsid w:val="00063405"/>
    <w:rsid w:val="000C0C27"/>
    <w:rsid w:val="000C306A"/>
    <w:rsid w:val="000D2FCD"/>
    <w:rsid w:val="0012429A"/>
    <w:rsid w:val="001301E3"/>
    <w:rsid w:val="00146908"/>
    <w:rsid w:val="00161A46"/>
    <w:rsid w:val="00166022"/>
    <w:rsid w:val="00172A06"/>
    <w:rsid w:val="001A343D"/>
    <w:rsid w:val="001B2D07"/>
    <w:rsid w:val="001B6EF5"/>
    <w:rsid w:val="00206DBF"/>
    <w:rsid w:val="002277DA"/>
    <w:rsid w:val="002343E9"/>
    <w:rsid w:val="002428D1"/>
    <w:rsid w:val="002612E2"/>
    <w:rsid w:val="00291206"/>
    <w:rsid w:val="0029199E"/>
    <w:rsid w:val="002C026B"/>
    <w:rsid w:val="002E4B2F"/>
    <w:rsid w:val="003614B7"/>
    <w:rsid w:val="003948E6"/>
    <w:rsid w:val="003D575A"/>
    <w:rsid w:val="003F0376"/>
    <w:rsid w:val="00442021"/>
    <w:rsid w:val="00466858"/>
    <w:rsid w:val="00483AF0"/>
    <w:rsid w:val="00494B6A"/>
    <w:rsid w:val="004D2CC9"/>
    <w:rsid w:val="005315FA"/>
    <w:rsid w:val="00540951"/>
    <w:rsid w:val="0056673A"/>
    <w:rsid w:val="005A561A"/>
    <w:rsid w:val="005B7E73"/>
    <w:rsid w:val="00600891"/>
    <w:rsid w:val="00627529"/>
    <w:rsid w:val="0063632F"/>
    <w:rsid w:val="006A313B"/>
    <w:rsid w:val="006D64F2"/>
    <w:rsid w:val="00702D4D"/>
    <w:rsid w:val="00770E95"/>
    <w:rsid w:val="00781A0D"/>
    <w:rsid w:val="007A7082"/>
    <w:rsid w:val="007B3078"/>
    <w:rsid w:val="007B653B"/>
    <w:rsid w:val="007C16CC"/>
    <w:rsid w:val="008219EF"/>
    <w:rsid w:val="008227BB"/>
    <w:rsid w:val="008362C0"/>
    <w:rsid w:val="0086038B"/>
    <w:rsid w:val="008609DF"/>
    <w:rsid w:val="00924015"/>
    <w:rsid w:val="009350E5"/>
    <w:rsid w:val="009927F8"/>
    <w:rsid w:val="009D03E2"/>
    <w:rsid w:val="00A02A00"/>
    <w:rsid w:val="00A1450D"/>
    <w:rsid w:val="00A33ED1"/>
    <w:rsid w:val="00A4160B"/>
    <w:rsid w:val="00AB3DCE"/>
    <w:rsid w:val="00AE46FF"/>
    <w:rsid w:val="00AF319A"/>
    <w:rsid w:val="00AF5D7B"/>
    <w:rsid w:val="00B527F3"/>
    <w:rsid w:val="00B56A5D"/>
    <w:rsid w:val="00B869E5"/>
    <w:rsid w:val="00B92739"/>
    <w:rsid w:val="00B97A75"/>
    <w:rsid w:val="00BA4D08"/>
    <w:rsid w:val="00BD60A2"/>
    <w:rsid w:val="00C03660"/>
    <w:rsid w:val="00C366A4"/>
    <w:rsid w:val="00CA069D"/>
    <w:rsid w:val="00CF6F14"/>
    <w:rsid w:val="00D83E13"/>
    <w:rsid w:val="00DA6A16"/>
    <w:rsid w:val="00DF1DE1"/>
    <w:rsid w:val="00DF412E"/>
    <w:rsid w:val="00DF4575"/>
    <w:rsid w:val="00E256D4"/>
    <w:rsid w:val="00E9388F"/>
    <w:rsid w:val="00E9576F"/>
    <w:rsid w:val="00F6065C"/>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0E0218"/>
  <w15:chartTrackingRefBased/>
  <w15:docId w15:val="{17282AB9-C042-2440-AD2E-B77E0036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D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D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D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D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D07"/>
    <w:rPr>
      <w:rFonts w:eastAsiaTheme="majorEastAsia" w:cstheme="majorBidi"/>
      <w:color w:val="272727" w:themeColor="text1" w:themeTint="D8"/>
    </w:rPr>
  </w:style>
  <w:style w:type="paragraph" w:styleId="Title">
    <w:name w:val="Title"/>
    <w:basedOn w:val="Normal"/>
    <w:next w:val="Normal"/>
    <w:link w:val="TitleChar"/>
    <w:uiPriority w:val="10"/>
    <w:qFormat/>
    <w:rsid w:val="001B2D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D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D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2D07"/>
    <w:rPr>
      <w:i/>
      <w:iCs/>
      <w:color w:val="404040" w:themeColor="text1" w:themeTint="BF"/>
    </w:rPr>
  </w:style>
  <w:style w:type="paragraph" w:styleId="ListParagraph">
    <w:name w:val="List Paragraph"/>
    <w:basedOn w:val="Normal"/>
    <w:uiPriority w:val="34"/>
    <w:qFormat/>
    <w:rsid w:val="001B2D07"/>
    <w:pPr>
      <w:ind w:left="720"/>
      <w:contextualSpacing/>
    </w:pPr>
  </w:style>
  <w:style w:type="character" w:styleId="IntenseEmphasis">
    <w:name w:val="Intense Emphasis"/>
    <w:basedOn w:val="DefaultParagraphFont"/>
    <w:uiPriority w:val="21"/>
    <w:qFormat/>
    <w:rsid w:val="001B2D07"/>
    <w:rPr>
      <w:i/>
      <w:iCs/>
      <w:color w:val="0F4761" w:themeColor="accent1" w:themeShade="BF"/>
    </w:rPr>
  </w:style>
  <w:style w:type="paragraph" w:styleId="IntenseQuote">
    <w:name w:val="Intense Quote"/>
    <w:basedOn w:val="Normal"/>
    <w:next w:val="Normal"/>
    <w:link w:val="IntenseQuoteChar"/>
    <w:uiPriority w:val="30"/>
    <w:qFormat/>
    <w:rsid w:val="001B2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D07"/>
    <w:rPr>
      <w:i/>
      <w:iCs/>
      <w:color w:val="0F4761" w:themeColor="accent1" w:themeShade="BF"/>
    </w:rPr>
  </w:style>
  <w:style w:type="character" w:styleId="IntenseReference">
    <w:name w:val="Intense Reference"/>
    <w:basedOn w:val="DefaultParagraphFont"/>
    <w:uiPriority w:val="32"/>
    <w:qFormat/>
    <w:rsid w:val="001B2D07"/>
    <w:rPr>
      <w:b/>
      <w:bCs/>
      <w:smallCaps/>
      <w:color w:val="0F4761" w:themeColor="accent1" w:themeShade="BF"/>
      <w:spacing w:val="5"/>
    </w:rPr>
  </w:style>
  <w:style w:type="character" w:styleId="SubtleEmphasis">
    <w:name w:val="Subtle Emphasis"/>
    <w:basedOn w:val="DefaultParagraphFont"/>
    <w:uiPriority w:val="19"/>
    <w:qFormat/>
    <w:rsid w:val="006D64F2"/>
    <w:rPr>
      <w:i/>
      <w:iCs/>
      <w:color w:val="404040" w:themeColor="text1" w:themeTint="BF"/>
    </w:rPr>
  </w:style>
  <w:style w:type="table" w:styleId="TableGrid">
    <w:name w:val="Table Grid"/>
    <w:basedOn w:val="TableNormal"/>
    <w:uiPriority w:val="39"/>
    <w:rsid w:val="006D6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3</cp:revision>
  <dcterms:created xsi:type="dcterms:W3CDTF">2025-01-20T20:58:00Z</dcterms:created>
  <dcterms:modified xsi:type="dcterms:W3CDTF">2025-02-28T02:50:00Z</dcterms:modified>
</cp:coreProperties>
</file>