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A2901" w14:textId="77777777" w:rsidR="009372FB" w:rsidRDefault="00704D3E">
      <w:pPr>
        <w:pStyle w:val="Title"/>
      </w:pPr>
      <w:r>
        <w:t>Effects of prenatal CORT and temperature on the response to a stressor</w:t>
      </w:r>
    </w:p>
    <w:p w14:paraId="5F7A2902" w14:textId="77777777" w:rsidR="009372FB" w:rsidRDefault="00704D3E">
      <w:pPr>
        <w:pStyle w:val="Heading2"/>
      </w:pPr>
      <w:bookmarkStart w:id="0" w:name="introduction"/>
      <w:r>
        <w:t>Introduction</w:t>
      </w:r>
    </w:p>
    <w:p w14:paraId="45E191A1" w14:textId="77777777" w:rsidR="00704D3E" w:rsidRDefault="00704D3E">
      <w:pPr>
        <w:pStyle w:val="FirstParagraph"/>
      </w:pPr>
    </w:p>
    <w:p w14:paraId="0C6F94CD" w14:textId="77777777" w:rsidR="00704D3E" w:rsidRDefault="00704D3E">
      <w:pPr>
        <w:pStyle w:val="FirstParagraph"/>
      </w:pPr>
    </w:p>
    <w:p w14:paraId="7A429FC2" w14:textId="77777777" w:rsidR="00704D3E" w:rsidRDefault="00704D3E">
      <w:pPr>
        <w:pStyle w:val="FirstParagraph"/>
      </w:pPr>
    </w:p>
    <w:p w14:paraId="06884911" w14:textId="77777777" w:rsidR="00704D3E" w:rsidRDefault="00704D3E">
      <w:pPr>
        <w:pStyle w:val="FirstParagraph"/>
      </w:pPr>
    </w:p>
    <w:p w14:paraId="5F7A2903" w14:textId="68F7D3E1" w:rsidR="009372FB" w:rsidRDefault="00704D3E">
      <w:pPr>
        <w:pStyle w:val="FirstParagraph"/>
      </w:pPr>
      <w:r>
        <w:t>Animals facing stressors/disruptors and examples.</w:t>
      </w:r>
      <w:r>
        <w:br/>
      </w:r>
      <w:r>
        <w:t>Mechanisms involved in the response to stressors/disruptors: endocrinology. Consequences of stressors/disruptors on animals: short-term and long-term.</w:t>
      </w:r>
    </w:p>
    <w:p w14:paraId="5F7A2904" w14:textId="77777777" w:rsidR="009372FB" w:rsidRDefault="00704D3E">
      <w:pPr>
        <w:pStyle w:val="BodyText"/>
      </w:pPr>
      <w:r>
        <w:t>Predation as a stressor/disruptor.</w:t>
      </w:r>
    </w:p>
    <w:p w14:paraId="5F7A2905" w14:textId="77777777" w:rsidR="009372FB" w:rsidRDefault="00704D3E">
      <w:pPr>
        <w:pStyle w:val="BodyText"/>
      </w:pPr>
      <w:r>
        <w:t>Can early environment influence the response to stressors/disruptors: physiological AND behavioural effects of GC exposure. Effects on antipredatory behaviour.</w:t>
      </w:r>
    </w:p>
    <w:p w14:paraId="5F7A2906" w14:textId="77777777" w:rsidR="009372FB" w:rsidRDefault="00704D3E">
      <w:pPr>
        <w:pStyle w:val="BodyText"/>
      </w:pPr>
      <w:r>
        <w:t>Can early environment influence the response to stressors/disruptors: other aspects. Why is temperature important? How is related to antipredatory behaviour?</w:t>
      </w:r>
    </w:p>
    <w:p w14:paraId="5F7A2907" w14:textId="77777777" w:rsidR="009372FB" w:rsidRDefault="00704D3E">
      <w:pPr>
        <w:pStyle w:val="BodyText"/>
      </w:pPr>
      <w:r>
        <w:t>Hypothesis PRESENTATION:</w:t>
      </w:r>
    </w:p>
    <w:p w14:paraId="5F7A2908" w14:textId="77777777" w:rsidR="009372FB" w:rsidRDefault="00704D3E">
      <w:pPr>
        <w:pStyle w:val="BodyText"/>
      </w:pPr>
      <w:r>
        <w:t>Both temperature and CORT influence the development of proactive-reactive personality types, associated at the same time with different HPA axis reactivity. In this sense, both increases in prenatal CORT and lower temperatures are related to more reactive individuals [</w:t>
      </w:r>
      <w:r>
        <w:rPr>
          <w:b/>
          <w:bCs/>
        </w:rPr>
        <w:t>REFs</w:t>
      </w:r>
      <w:r>
        <w:t>], which are more sensitive to stressors. As such, I predict individuals incubated at low temperature and/or treated with CORT to be more reactive, and thus to spent more time frozen after chasing them and not coming out from the shelter. At the same time I expect these individuals to have increased phisiological costs (mass lost) when submitted to a ‘chronic’ stressor.</w:t>
      </w:r>
    </w:p>
    <w:p w14:paraId="5F7A2909" w14:textId="77777777" w:rsidR="009372FB" w:rsidRDefault="00704D3E">
      <w:pPr>
        <w:pStyle w:val="Heading2"/>
      </w:pPr>
      <w:bookmarkStart w:id="1" w:name="methods"/>
      <w:bookmarkEnd w:id="0"/>
      <w:r>
        <w:t>Methods</w:t>
      </w:r>
    </w:p>
    <w:p w14:paraId="5F7A290A" w14:textId="77777777" w:rsidR="009372FB" w:rsidRDefault="00704D3E">
      <w:pPr>
        <w:pStyle w:val="Heading3"/>
      </w:pPr>
      <w:bookmarkStart w:id="2" w:name="subjects"/>
      <w:r>
        <w:t>Subjects</w:t>
      </w:r>
    </w:p>
    <w:p w14:paraId="5F7A290B" w14:textId="77777777" w:rsidR="009372FB" w:rsidRDefault="00704D3E">
      <w:pPr>
        <w:pStyle w:val="FirstParagraph"/>
      </w:pPr>
      <w:r>
        <w:t>We used two species of skinks, the delicate skink (</w:t>
      </w:r>
      <w:r>
        <w:rPr>
          <w:i/>
          <w:iCs/>
        </w:rPr>
        <w:t>Lampropholis delicata</w:t>
      </w:r>
      <w:r>
        <w:t>) and the common garden skink (</w:t>
      </w:r>
      <w:r>
        <w:rPr>
          <w:i/>
          <w:iCs/>
        </w:rPr>
        <w:t>L. guichenoti</w:t>
      </w:r>
      <w:r>
        <w:t>). These are oviparous, generalist, small (∼35-55 mm snout-vent length (SVL)) lizards that are sympatric in suburban areas throughout south-eastern Australia (</w:t>
      </w:r>
      <w:hyperlink w:anchor="ref-chapple_know_2011">
        <w:r>
          <w:rPr>
            <w:rStyle w:val="Hyperlink"/>
          </w:rPr>
          <w:t>Chapple et al., 2011</w:t>
        </w:r>
      </w:hyperlink>
      <w:r>
        <w:t xml:space="preserve">, </w:t>
      </w:r>
      <w:hyperlink w:anchor="ref-chapple_biology_2014">
        <w:r>
          <w:rPr>
            <w:rStyle w:val="Hyperlink"/>
          </w:rPr>
          <w:t>2014</w:t>
        </w:r>
      </w:hyperlink>
      <w:r>
        <w:t xml:space="preserve">). However, </w:t>
      </w:r>
      <w:r>
        <w:rPr>
          <w:i/>
          <w:iCs/>
        </w:rPr>
        <w:t>L. delicata</w:t>
      </w:r>
      <w:r>
        <w:t xml:space="preserve"> has been reported as a successful invader in New Zealand and Hawaii, while there are not such reports for </w:t>
      </w:r>
      <w:r>
        <w:rPr>
          <w:i/>
          <w:iCs/>
        </w:rPr>
        <w:t>L. guichenoti</w:t>
      </w:r>
      <w:r>
        <w:t xml:space="preserve"> (</w:t>
      </w:r>
      <w:hyperlink w:anchor="ref-chapple_know_2011">
        <w:r>
          <w:rPr>
            <w:rStyle w:val="Hyperlink"/>
          </w:rPr>
          <w:t>Chapple et al., 2011</w:t>
        </w:r>
      </w:hyperlink>
      <w:r>
        <w:t xml:space="preserve">, </w:t>
      </w:r>
      <w:hyperlink w:anchor="ref-chapple_biology_2014">
        <w:r>
          <w:rPr>
            <w:rStyle w:val="Hyperlink"/>
          </w:rPr>
          <w:t>2014</w:t>
        </w:r>
      </w:hyperlink>
      <w:r>
        <w:t>). Invassivenes does not seem to be related to differences in cognitive abilities (</w:t>
      </w:r>
      <w:hyperlink w:anchor="ref-bezzina2014does">
        <w:r>
          <w:rPr>
            <w:rStyle w:val="Hyperlink"/>
          </w:rPr>
          <w:t>Bezzina et al., 2014</w:t>
        </w:r>
      </w:hyperlink>
      <w:r>
        <w:t xml:space="preserve">; </w:t>
      </w:r>
      <w:hyperlink w:anchor="ref-recio2025early">
        <w:r>
          <w:rPr>
            <w:rStyle w:val="Hyperlink"/>
          </w:rPr>
          <w:t>Recio et al., 2025</w:t>
        </w:r>
      </w:hyperlink>
      <w:r>
        <w:t xml:space="preserve">, </w:t>
      </w:r>
      <w:hyperlink w:anchor="ref-recio2025early">
        <w:r>
          <w:rPr>
            <w:rStyle w:val="Hyperlink"/>
          </w:rPr>
          <w:t>2025</w:t>
        </w:r>
      </w:hyperlink>
      <w:r>
        <w:t xml:space="preserve">), but seems to be associated with differences in </w:t>
      </w:r>
      <w:r>
        <w:lastRenderedPageBreak/>
        <w:t>personality [</w:t>
      </w:r>
      <w:r>
        <w:rPr>
          <w:b/>
          <w:bCs/>
        </w:rPr>
        <w:t>REFpers</w:t>
      </w:r>
      <w:r>
        <w:t>], which may be linked to differences in their stress response (</w:t>
      </w:r>
      <w:hyperlink w:anchor="ref-koolhaas1999coping">
        <w:r>
          <w:rPr>
            <w:rStyle w:val="Hyperlink"/>
          </w:rPr>
          <w:t>Koolhaas et al., 1999</w:t>
        </w:r>
      </w:hyperlink>
      <w:r>
        <w:t>).</w:t>
      </w:r>
    </w:p>
    <w:p w14:paraId="5F7A290C" w14:textId="77777777" w:rsidR="009372FB" w:rsidRDefault="00704D3E">
      <w:pPr>
        <w:pStyle w:val="Heading3"/>
      </w:pPr>
      <w:bookmarkStart w:id="3" w:name="Xc39d1fbfc7e384b73f8c35d8a44b557b561d33c"/>
      <w:bookmarkEnd w:id="2"/>
      <w:r>
        <w:t>Subjects treatments, collection, and housing</w:t>
      </w:r>
    </w:p>
    <w:p w14:paraId="5F7A290D" w14:textId="77777777" w:rsidR="009372FB" w:rsidRDefault="00704D3E">
      <w:pPr>
        <w:pStyle w:val="FirstParagraph"/>
      </w:pPr>
      <w:r>
        <w:rPr>
          <w:i/>
          <w:iCs/>
        </w:rPr>
        <w:t>Breeding colony</w:t>
      </w:r>
      <w:r>
        <w:t xml:space="preserve"> - Lizards came from a breeding colony established in the laboratory since 2019. This colony consisted of 270 adults of </w:t>
      </w:r>
      <w:r>
        <w:rPr>
          <w:i/>
          <w:iCs/>
        </w:rPr>
        <w:t>L. delicata</w:t>
      </w:r>
      <w:r>
        <w:t xml:space="preserve"> and 180 adults of </w:t>
      </w:r>
      <w:r>
        <w:rPr>
          <w:i/>
          <w:iCs/>
        </w:rPr>
        <w:t>L. guichenoti</w:t>
      </w:r>
      <w:r>
        <w:t xml:space="preserve"> housed in plastic containers (41.5 L x 30.5 W x 21 H cm) with two males and four females per enclosure. Enclosures were provided with shelter, nonstick matting, and several small water dishes. The lizards were given water daily and were fed approx. 40 mid-size crickets (</w:t>
      </w:r>
      <w:r>
        <w:rPr>
          <w:i/>
          <w:iCs/>
        </w:rPr>
        <w:t>Acheta domestica</w:t>
      </w:r>
      <w:r>
        <w:t>) per enclosure three days a week. The crickets were dusted with calcium weekly and multivitamin and calcium biweekly. Room temperature was set to 22-24 ºC, but we also provided the enclosures with a heat chord and a heat lamp following a 12 h light:12 h dark cycle keeping warm side of enclosures at 34 ºC.</w:t>
      </w:r>
    </w:p>
    <w:p w14:paraId="5F7A290E" w14:textId="77777777" w:rsidR="009372FB" w:rsidRDefault="00704D3E">
      <w:pPr>
        <w:pStyle w:val="BodyText"/>
      </w:pPr>
      <w:r>
        <w:rPr>
          <w:i/>
          <w:iCs/>
        </w:rPr>
        <w:t>Eggs collection and incubation</w:t>
      </w:r>
      <w:r>
        <w:t xml:space="preserve"> - Eggs were collected between mid-October 2022 to the end of February 2023. We placed a small box (12.5 L x 8.3 W x 5 H cm) with moist vermiculite in one side of the communal enclosures to provide females with a place to lay the eggs. These boxes were checked three days a week. After egg collection, we measured length and width with a digital caliper to the nearest 0.1 mm and weighted the eggs with a (OHAUS, Model spx123) digital scale with an accuracy of ± 0.001 g error. Then eggs were treated with CORT o</w:t>
      </w:r>
      <w:r>
        <w:t>r vehicle (see CORT and temperature manipulation below) and were placed in individual cups (80 mL) with moist vermiculite (12 parts water to 4 parts vermiculite). The cups were covered with cling wrap to retain moisture and left in two incubators at two different temperatures (see CORT and temperature manipulation below) until hatching.</w:t>
      </w:r>
    </w:p>
    <w:p w14:paraId="5F7A290F" w14:textId="77777777" w:rsidR="009372FB" w:rsidRDefault="00704D3E">
      <w:pPr>
        <w:pStyle w:val="BodyText"/>
      </w:pPr>
      <w:r>
        <w:rPr>
          <w:i/>
          <w:iCs/>
        </w:rPr>
        <w:t>Hatchlings</w:t>
      </w:r>
      <w:r>
        <w:t xml:space="preserve"> - Incubators were checked three times a week for hatchlings. Lizards were measured and weighed immediately after hatching. Snout-vent length (SVL) and tail length (TL) were measured to the nearest millimeter, and weight was recorded using a (OHAUS, Model spx123) digital scale with an accuracy of ± 0.001 g. Hatchlings were then placed in individual enclosures (18.7L x 13.2W x 6.3H cm) with nonstick matting and a small water dish. All care otherwise follows similar protocols to adults (see above).</w:t>
      </w:r>
    </w:p>
    <w:p w14:paraId="5F7A2910" w14:textId="77777777" w:rsidR="009372FB" w:rsidRDefault="00704D3E">
      <w:pPr>
        <w:pStyle w:val="Heading4"/>
      </w:pPr>
      <w:bookmarkStart w:id="4" w:name="cort-and-temperature-manipulation"/>
      <w:r>
        <w:t>CORT and Temperature manipulation</w:t>
      </w:r>
    </w:p>
    <w:p w14:paraId="5F7A2911" w14:textId="77777777" w:rsidR="009372FB" w:rsidRDefault="00704D3E">
      <w:pPr>
        <w:pStyle w:val="FirstParagraph"/>
      </w:pPr>
      <w:r>
        <w:t xml:space="preserve">To test the interactive effects of CORT and incubation temperature, we manipulated CORT concentrations in eggs and incubated them at cold (23 ± 3 ºC) or hot (28 ± 3 ºC) conditions (see </w:t>
      </w:r>
      <w:hyperlink w:anchor="fig-Methods">
        <w:r>
          <w:rPr>
            <w:rStyle w:val="Hyperlink"/>
          </w:rPr>
          <w:t>Fig. 1</w:t>
        </w:r>
      </w:hyperlink>
      <w:r>
        <w:t xml:space="preserve"> A). We used a partial split clutch design where eggs from a given clutch were distributed equally across the four treatments when clutch sizes were larger than four and randomly across treatments when less than four. Eggs were topically supplied with either 5 µL of crystalline corticosterone (Sigma, Cat. No. C2505) dissolved in 100% ethanol at a final 10 pg CORT/mL concentration (CORT treatment), or an equal volume of 100% Ethanol (Control treatment). We selected doses based on our previous study where COR</w:t>
      </w:r>
      <w:r>
        <w:t>T treatment increased mean yolk CORT levels by approximately 2 standard deviations above the mean natural concentration (</w:t>
      </w:r>
      <w:hyperlink w:anchor="ref-crino2024eggs">
        <w:r>
          <w:rPr>
            <w:rStyle w:val="Hyperlink"/>
          </w:rPr>
          <w:t>Crino et al., 2024</w:t>
        </w:r>
      </w:hyperlink>
      <w:r>
        <w:t xml:space="preserve">). Mean incubation temperatures represent the lower and upper limits of the natural range of nest temperatures in </w:t>
      </w:r>
      <w:r>
        <w:rPr>
          <w:i/>
          <w:iCs/>
        </w:rPr>
        <w:t>L. delicata</w:t>
      </w:r>
      <w:r>
        <w:t xml:space="preserve"> [mean nesting temperatures = 27.4 ºC; Cheetham et al. (</w:t>
      </w:r>
      <w:hyperlink w:anchor="ref-cheetham2011embryonic">
        <w:r>
          <w:rPr>
            <w:rStyle w:val="Hyperlink"/>
          </w:rPr>
          <w:t>2011</w:t>
        </w:r>
      </w:hyperlink>
      <w:r>
        <w:t xml:space="preserve">)]. Nonetheless, the higher temperature treatment (28 ºC) was above the thermal optima estimated </w:t>
      </w:r>
      <w:r>
        <w:lastRenderedPageBreak/>
        <w:t xml:space="preserve">for </w:t>
      </w:r>
      <w:r>
        <w:rPr>
          <w:i/>
          <w:iCs/>
        </w:rPr>
        <w:t>L. delicata</w:t>
      </w:r>
      <w:r>
        <w:t xml:space="preserve"> [T</w:t>
      </w:r>
      <w:r>
        <w:rPr>
          <w:vertAlign w:val="subscript"/>
        </w:rPr>
        <w:t>opt</w:t>
      </w:r>
      <w:r>
        <w:t xml:space="preserve"> = 25 ºC; (</w:t>
      </w:r>
      <w:hyperlink w:anchor="ref-pettersen2023maternal">
        <w:r>
          <w:rPr>
            <w:rStyle w:val="Hyperlink"/>
            <w:b/>
            <w:bCs/>
          </w:rPr>
          <w:t>pettersen2023maternal?</w:t>
        </w:r>
      </w:hyperlink>
      <w:r>
        <w:t>)] and reached more stressful temperatures daily as fluctuations occurred (i.e., 31 ºC).</w:t>
      </w:r>
    </w:p>
    <w:p w14:paraId="5F7A2912" w14:textId="77777777" w:rsidR="009372FB" w:rsidRDefault="00704D3E">
      <w:pPr>
        <w:pStyle w:val="Heading4"/>
      </w:pPr>
      <w:bookmarkStart w:id="5" w:name="Xcbdc2632d4d1806b58371fd19d7dfd87d9586ad"/>
      <w:bookmarkEnd w:id="4"/>
      <w:r>
        <w:t>Response to acute and long-term stressors</w:t>
      </w:r>
    </w:p>
    <w:p w14:paraId="5F7A2913" w14:textId="77777777" w:rsidR="009372FB" w:rsidRDefault="00704D3E">
      <w:pPr>
        <w:pStyle w:val="FirstParagraph"/>
      </w:pPr>
      <w:r>
        <w:t>Three weeks before the start of the behavioural tests, we adapted the lizard enclosures to the experimental setup. The enclosures used for the stress response trials were the same as those where the lizards had previously been housed, but modified to include only a single shelter (9 × 6 × 1.5 cm) placed at one end and a water dish in the centre. All other shelter materials and the matting substrate were removed to allow continuous monitoring. The enclosures were then relocated to the experimental rooms, eac</w:t>
      </w:r>
      <w:r>
        <w:t xml:space="preserve">h containing six racks equipped with their own CCTV system (model DVR-HP210475). The number of lizards per treatment was counterbalanced across racks to control for potential effects of room or rack position. In these three weeks, lizards were fed one calcium- and multivitamin-dusted cricket per day, and water was provided </w:t>
      </w:r>
      <w:r>
        <w:rPr>
          <w:i/>
          <w:iCs/>
        </w:rPr>
        <w:t>ad libitum</w:t>
      </w:r>
      <w:r>
        <w:t>. A temperature gradient was maintained using heat cords and heat lamps on a 12:12 h light–dark cycle, with room temperatures kept between 22–24 °C.</w:t>
      </w:r>
    </w:p>
    <w:p w14:paraId="5F7A2914" w14:textId="77777777" w:rsidR="009372FB" w:rsidRDefault="00704D3E">
      <w:pPr>
        <w:pStyle w:val="BodyText"/>
      </w:pPr>
      <w:r>
        <w:lastRenderedPageBreak/>
        <w:t>To test the effects of prenatal conditions on the response to a stressor, we simulated a predatory attack once daily over multiple days [</w:t>
      </w:r>
      <w:r>
        <w:rPr>
          <w:b/>
          <w:bCs/>
        </w:rPr>
        <w:t>insert relevant reference here</w:t>
      </w:r>
      <w:r>
        <w:t xml:space="preserve">]. Each trial began with one of the researchers (PR) removing the water dish from the enclosure, followed by the shelter. The lizard was then chased for 60 seconds using a soft paintbrush, simulating a predatory attack. Immediately after the chase, the shelter — but not the water dish — was returned to its original position, marking the start of the behavioural observation period. The lizard’s behaviour was then recorded for one hour. All videos were later analysed by </w:t>
      </w:r>
      <w:r>
        <w:rPr>
          <w:b/>
          <w:bCs/>
        </w:rPr>
        <w:t>MATHEO</w:t>
      </w:r>
      <w:r>
        <w:t>, w</w:t>
      </w:r>
      <w:r>
        <w:t>ho was blinded to the lizards’ treatment. From each video, we recorded three behavioural variables: i) latency to move — the time spent immobile (frozen) immediately after the simulated attack; ii) latency to shelter — the time it took the lizard to hide under the shelter after resuming movement; and iii) emergence — whether the lizard emerged from the shelter during the 40 minutes following hiding (1 = emerged, 0 = did not emerge). A lizard was considered to have resumed movement if it moved continuously f</w:t>
      </w:r>
      <w:r>
        <w:t>or at least five seconds, and to be under shelter if no limbs were visible. This procedure was repeated daily for eight consecutive days to assess the effects of mid-term exposure to a stressor. All trials were conducted between 1000–1400 h, when lizards are most active.</w:t>
      </w:r>
    </w:p>
    <w:p w14:paraId="5F7A2915" w14:textId="77777777" w:rsidR="009372FB" w:rsidRDefault="00704D3E">
      <w:pPr>
        <w:pStyle w:val="BodyText"/>
      </w:pPr>
      <w:r>
        <w:t>Both before and after the completion of the behavioural tests, lizard mass was measured to the nearest 0.001 g using a digital scale. Change in mass was calculated as the difference between final minus the initial mass and then rescaled by adding the smallest mass change observed in the dataset, to avoid negative values. This rescaled change in mass was used as a proxy for the physiological cost of repeated stress exposure. To control for hunger levels and potential effects of food ingestion on mass change,</w:t>
      </w:r>
      <w:r>
        <w:t xml:space="preserve"> we also recorded the number of crickets ingested by each lizard during the acclimation period. To do so, we placed a known number of crickets in each enclosure after each of the trials, and counted the number of crickets remaining after 24 hours. The total number of crickets ingested during the eight days of tests was then used as a covariate in the analyses of mass change. The experimental design is summarised in </w:t>
      </w:r>
      <w:hyperlink w:anchor="fig-Methods">
        <w:r>
          <w:rPr>
            <w:rStyle w:val="Hyperlink"/>
          </w:rPr>
          <w:t>Fig. 1</w:t>
        </w:r>
      </w:hyperlink>
      <w:r>
        <w:t xml:space="preserve"> B.</w:t>
      </w:r>
    </w:p>
    <w:tbl>
      <w:tblPr>
        <w:tblStyle w:val="Table"/>
        <w:tblW w:w="5000" w:type="pct"/>
        <w:tblLook w:val="0000" w:firstRow="0" w:lastRow="0" w:firstColumn="0" w:lastColumn="0" w:noHBand="0" w:noVBand="0"/>
      </w:tblPr>
      <w:tblGrid>
        <w:gridCol w:w="9360"/>
      </w:tblGrid>
      <w:tr w:rsidR="009372FB" w14:paraId="5F7A2918" w14:textId="77777777">
        <w:tc>
          <w:tcPr>
            <w:tcW w:w="0" w:type="auto"/>
          </w:tcPr>
          <w:p w14:paraId="5F7A2916" w14:textId="77777777" w:rsidR="009372FB" w:rsidRDefault="00704D3E">
            <w:pPr>
              <w:jc w:val="center"/>
            </w:pPr>
            <w:bookmarkStart w:id="6" w:name="fig-Methods"/>
            <w:r>
              <w:rPr>
                <w:noProof/>
              </w:rPr>
              <w:lastRenderedPageBreak/>
              <w:drawing>
                <wp:inline distT="0" distB="0" distL="0" distR="0" wp14:anchorId="5F7A2C48" wp14:editId="5F7A2C49">
                  <wp:extent cx="5943600" cy="495086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Others/Methods.png"/>
                          <pic:cNvPicPr>
                            <a:picLocks noChangeAspect="1" noChangeArrowheads="1"/>
                          </pic:cNvPicPr>
                        </pic:nvPicPr>
                        <pic:blipFill>
                          <a:blip r:embed="rId7"/>
                          <a:stretch>
                            <a:fillRect/>
                          </a:stretch>
                        </pic:blipFill>
                        <pic:spPr bwMode="auto">
                          <a:xfrm>
                            <a:off x="0" y="0"/>
                            <a:ext cx="5943600" cy="4950869"/>
                          </a:xfrm>
                          <a:prstGeom prst="rect">
                            <a:avLst/>
                          </a:prstGeom>
                          <a:noFill/>
                          <a:ln w="9525">
                            <a:noFill/>
                            <a:headEnd/>
                            <a:tailEnd/>
                          </a:ln>
                        </pic:spPr>
                      </pic:pic>
                    </a:graphicData>
                  </a:graphic>
                </wp:inline>
              </w:drawing>
            </w:r>
          </w:p>
          <w:p w14:paraId="5F7A2917" w14:textId="77777777" w:rsidR="009372FB" w:rsidRDefault="00704D3E">
            <w:pPr>
              <w:pStyle w:val="ImageCaption"/>
              <w:spacing w:before="200"/>
            </w:pPr>
            <w:r>
              <w:t>Fig. 1— Scheme of our experimental design. In panel A, the early environment manipulations resulting in four experimental conditions. In panel B, the timeline of the postnatal stress-response assay. On Day 0, lizard mass was recorded. From Days 1–8, lizards were subjected daily to a simulated predator attack (chased with a soft paintbrush for 1 minute), followed by a 1-hour behavioural recording. Variables measured included freezing duration (latency to move), latency to shelter, and emergence from shelter.</w:t>
            </w:r>
            <w:r>
              <w:t xml:space="preserve"> Final mass was measured on Day 9.</w:t>
            </w:r>
          </w:p>
        </w:tc>
        <w:bookmarkEnd w:id="6"/>
      </w:tr>
    </w:tbl>
    <w:p w14:paraId="5F7A2919" w14:textId="77777777" w:rsidR="009372FB" w:rsidRDefault="00704D3E">
      <w:pPr>
        <w:pStyle w:val="Heading3"/>
      </w:pPr>
      <w:bookmarkStart w:id="7" w:name="statistical-analyses"/>
      <w:bookmarkEnd w:id="5"/>
      <w:bookmarkEnd w:id="3"/>
      <w:r>
        <w:t>Statistical analyses</w:t>
      </w:r>
    </w:p>
    <w:p w14:paraId="5F7A291A" w14:textId="77777777" w:rsidR="009372FB" w:rsidRDefault="00704D3E">
      <w:pPr>
        <w:pStyle w:val="FirstParagraph"/>
      </w:pPr>
      <w:r>
        <w:t xml:space="preserve">We performed the analyses for each species separately. We fitted all models using the </w:t>
      </w:r>
      <w:r>
        <w:rPr>
          <w:i/>
          <w:iCs/>
        </w:rPr>
        <w:t>brm</w:t>
      </w:r>
      <w:r>
        <w:t xml:space="preserve"> package (</w:t>
      </w:r>
      <w:hyperlink w:anchor="ref-burkner2017brms">
        <w:r>
          <w:rPr>
            <w:rStyle w:val="Hyperlink"/>
          </w:rPr>
          <w:t>Bürkner, 2017</w:t>
        </w:r>
      </w:hyperlink>
      <w:r>
        <w:t xml:space="preserve">), which fits Bayesian multilevel models with </w:t>
      </w:r>
      <w:r>
        <w:rPr>
          <w:i/>
          <w:iCs/>
        </w:rPr>
        <w:t>Stan</w:t>
      </w:r>
      <w:r>
        <w:t xml:space="preserve"> (</w:t>
      </w:r>
      <w:hyperlink w:anchor="ref-stan">
        <w:r>
          <w:rPr>
            <w:rStyle w:val="Hyperlink"/>
          </w:rPr>
          <w:t>Stan Development Team, 2024</w:t>
        </w:r>
      </w:hyperlink>
      <w:r>
        <w:t>) with R version 4.4.0 (</w:t>
      </w:r>
      <w:hyperlink w:anchor="ref-R">
        <w:r>
          <w:rPr>
            <w:rStyle w:val="Hyperlink"/>
          </w:rPr>
          <w:t>R Core Team, 2021</w:t>
        </w:r>
      </w:hyperlink>
      <w:r>
        <w:t>). We ran four parallel MCMC chains of 10000 iterations for each model, with a warmup period of 4000 iterations.</w:t>
      </w:r>
    </w:p>
    <w:p w14:paraId="5F7A291B" w14:textId="77777777" w:rsidR="009372FB" w:rsidRDefault="00704D3E">
      <w:pPr>
        <w:pStyle w:val="BodyText"/>
      </w:pPr>
      <w:r>
        <w:t xml:space="preserve">We used as the response variables the latency to move, latency to shelter, and emergence from the shelter after the simulated attack, as well as the change in mass after the eight days of stress exposure. We fitted separate models for each response variable. For the three behavioural variables, we included the prenatal condition (Control-Cold, CORT-Cold, </w:t>
      </w:r>
      <w:r>
        <w:lastRenderedPageBreak/>
        <w:t>Control-Hot, CORT-Hot), the day of the trial, and their interaction as fixed effects. To facilitate interpretation of the model intercepts, trial day was transformed so that day 1 in the experiment corresponds to day 0 in the model (i.e. the intercept reflects lizard behaviour in response to the first exposure to the stressor). For the variable mass, we included the prenatal condition, the total number of crickets ingested during the eight days of stress exposure, and their interaction as predictors.</w:t>
      </w:r>
    </w:p>
    <w:p w14:paraId="5F7A291C" w14:textId="77777777" w:rsidR="009372FB" w:rsidRDefault="00704D3E">
      <w:pPr>
        <w:pStyle w:val="BodyText"/>
      </w:pPr>
      <w:r>
        <w:t xml:space="preserve">Lizard identity was included as a random factor in the behavioural models, but it was not included when mass was the response. For all models, we included the clutch as a random factor. </w:t>
      </w:r>
      <w:r>
        <w:rPr>
          <w:i/>
          <w:iCs/>
        </w:rPr>
        <w:t>L. delicata</w:t>
      </w:r>
      <w:r>
        <w:t xml:space="preserve"> lays one clutch per year, while </w:t>
      </w:r>
      <w:r>
        <w:rPr>
          <w:i/>
          <w:iCs/>
        </w:rPr>
        <w:t>L. guichenoti</w:t>
      </w:r>
      <w:r>
        <w:t xml:space="preserve"> lays two (</w:t>
      </w:r>
      <w:hyperlink w:anchor="ref-chapple_know_2011">
        <w:r>
          <w:rPr>
            <w:rStyle w:val="Hyperlink"/>
          </w:rPr>
          <w:t>Chapple et al., 2011</w:t>
        </w:r>
      </w:hyperlink>
      <w:r>
        <w:t xml:space="preserve">; </w:t>
      </w:r>
      <w:hyperlink w:anchor="ref-chapple2015deliinvLHI">
        <w:r>
          <w:rPr>
            <w:rStyle w:val="Hyperlink"/>
            <w:b/>
            <w:bCs/>
          </w:rPr>
          <w:t>chapple2015deliinvLHI?</w:t>
        </w:r>
      </w:hyperlink>
      <w:r>
        <w:t>). Since eggs were collected during half of the breeding season, clutches likely come from different mothers. Additionally, previous research has shown that clutches are generally sired by a single male, but sperm storage can occur (</w:t>
      </w:r>
      <w:hyperlink w:anchor="ref-kar2023heritability">
        <w:r>
          <w:rPr>
            <w:rStyle w:val="Hyperlink"/>
            <w:b/>
            <w:bCs/>
          </w:rPr>
          <w:t>kar2023heritability?</w:t>
        </w:r>
      </w:hyperlink>
      <w:r>
        <w:t>). Given our partial split-clutch design, and the fact that maternal effects are expected to be stronger than paternal effects in these species, including the clutch as a random factor should account for the effects of parental identity.</w:t>
      </w:r>
    </w:p>
    <w:p w14:paraId="5F7A291D" w14:textId="77777777" w:rsidR="009372FB" w:rsidRDefault="00704D3E">
      <w:pPr>
        <w:pStyle w:val="BodyText"/>
      </w:pPr>
      <w:r>
        <w:t>We used the posterior distributions of model parameters to test for differences between prenatal conditions. For behavioural variables, differences in the model intercepts between conditions were interpreted as differences in the acute response to a stressor (i.e. the first day of exposure), while differences in the slopes were interpreted as differences in behavioural adjustment across repeated exposures (i.e. chronic stress response). For mass change, between treatments difference reflect differences in e</w:t>
      </w:r>
      <w:r>
        <w:t>nergetic cost of the chronic stressor. We used the 95% Highest Posterior Density Intervals (95% HPDI) using the hdi function in bayestestR (</w:t>
      </w:r>
      <w:hyperlink w:anchor="ref-bayestestR">
        <w:r>
          <w:rPr>
            <w:rStyle w:val="Hyperlink"/>
            <w:b/>
            <w:bCs/>
          </w:rPr>
          <w:t>bayestestR?</w:t>
        </w:r>
      </w:hyperlink>
      <w:r>
        <w:t>) to test if the contrasts between treatments or the slopes for each treatment were different from zero.</w:t>
      </w:r>
    </w:p>
    <w:p w14:paraId="5F7A291E" w14:textId="77777777" w:rsidR="009372FB" w:rsidRDefault="00704D3E">
      <w:pPr>
        <w:pStyle w:val="BodyText"/>
      </w:pPr>
      <w:r>
        <w:t>Differences between species were tested by comparing the posterior distributions of the intercepts and slopes of the different treatments. We used the posterior distributions of the intercepts and slopes to test for differences between species in their response to an acute stressor (intercept) and a chronic stressor (slope).</w:t>
      </w:r>
    </w:p>
    <w:p w14:paraId="5F7A291F" w14:textId="77777777" w:rsidR="009372FB" w:rsidRDefault="00704D3E">
      <w:pPr>
        <w:pStyle w:val="Heading2"/>
      </w:pPr>
      <w:bookmarkStart w:id="8" w:name="results"/>
      <w:bookmarkEnd w:id="7"/>
      <w:bookmarkEnd w:id="1"/>
      <w:r>
        <w:t>Results</w:t>
      </w:r>
    </w:p>
    <w:p w14:paraId="5F7A2920" w14:textId="77777777" w:rsidR="009372FB" w:rsidRDefault="00704D3E">
      <w:pPr>
        <w:pStyle w:val="FirstParagraph"/>
      </w:pPr>
      <w:r>
        <w:t xml:space="preserve">We started with 96 lizards, 48 per species and 12 per treatment per species. However, our final sample size was 84 due to natural mortality (n = 10). The final sample sizes per treatment and species are listed in </w:t>
      </w:r>
      <w:hyperlink w:anchor="fig-results_beh_deli">
        <w:r>
          <w:rPr>
            <w:rStyle w:val="Hyperlink"/>
          </w:rPr>
          <w:t>Fig. 2</w:t>
        </w:r>
      </w:hyperlink>
      <w:r>
        <w:t xml:space="preserve">, </w:t>
      </w:r>
      <w:hyperlink w:anchor="fig-results_beh_guich">
        <w:r>
          <w:rPr>
            <w:rStyle w:val="Hyperlink"/>
          </w:rPr>
          <w:t>Fig. 3</w:t>
        </w:r>
      </w:hyperlink>
      <w:r>
        <w:t xml:space="preserve">, and </w:t>
      </w:r>
      <w:hyperlink w:anchor="fig-results_mass">
        <w:r>
          <w:rPr>
            <w:rStyle w:val="Hyperlink"/>
          </w:rPr>
          <w:t>Fig. 4</w:t>
        </w:r>
      </w:hyperlink>
      <w:r>
        <w:t xml:space="preserve">. These animals came from a total of 36 clutches in </w:t>
      </w:r>
      <w:r>
        <w:rPr>
          <w:i/>
          <w:iCs/>
        </w:rPr>
        <w:t>L. delicata</w:t>
      </w:r>
      <w:r>
        <w:t xml:space="preserve"> and 34 in </w:t>
      </w:r>
      <w:r>
        <w:rPr>
          <w:i/>
          <w:iCs/>
        </w:rPr>
        <w:t>L. guichenoti</w:t>
      </w:r>
      <w:r>
        <w:t>.</w:t>
      </w:r>
    </w:p>
    <w:p w14:paraId="5F7A2921" w14:textId="77777777" w:rsidR="009372FB" w:rsidRDefault="00704D3E">
      <w:pPr>
        <w:pStyle w:val="Heading4"/>
      </w:pPr>
      <w:bookmarkStart w:id="9" w:name="X9365083ed8cd52a4064cd94fdcfd70f14adcd4a"/>
      <w:r>
        <w:t>Do prenatal conditions affect the behavioural response to an acute stressor?</w:t>
      </w:r>
    </w:p>
    <w:p w14:paraId="5F7A2922" w14:textId="77777777" w:rsidR="009372FB" w:rsidRDefault="00704D3E">
      <w:pPr>
        <w:pStyle w:val="FirstParagraph"/>
      </w:pPr>
      <w:r>
        <w:rPr>
          <w:i/>
          <w:iCs/>
        </w:rPr>
        <w:t>Lampropholis delicata</w:t>
      </w:r>
      <w:r>
        <w:t>: Incubation at cold temperatures decreased the latency to move after a simulated attack on the first day (Intercept (denoted hereafter as I)</w:t>
      </w:r>
      <w:r>
        <w:rPr>
          <w:vertAlign w:val="subscript"/>
        </w:rPr>
        <w:t>Hot</w:t>
      </w:r>
      <w:r>
        <w:t xml:space="preserve"> - I </w:t>
      </w:r>
      <w:r>
        <w:rPr>
          <w:vertAlign w:val="subscript"/>
        </w:rPr>
        <w:t>Cold</w:t>
      </w:r>
      <w:r>
        <w:t xml:space="preserve"> = 0.959; 95% Highest Posterior Density Intervals (95% HPDI) = [0.035, 1.904]), while neither CORT or the interaction have any effect on latency to shelter or emergence (see </w:t>
      </w:r>
      <w:hyperlink w:anchor="fig-results_beh_deli">
        <w:r>
          <w:rPr>
            <w:rStyle w:val="Hyperlink"/>
          </w:rPr>
          <w:t>Fig. 2</w:t>
        </w:r>
      </w:hyperlink>
      <w:r>
        <w:t xml:space="preserve"> A, D, G and Table S1 in </w:t>
      </w:r>
      <w:r>
        <w:rPr>
          <w:i/>
          <w:iCs/>
        </w:rPr>
        <w:t>Supplementary Material</w:t>
      </w:r>
      <w:r>
        <w:t xml:space="preserve">). We did not find any effects of prenatal temperature, CORT or their interaction on latency to shelter or emergence probability after an acute stressor (see </w:t>
      </w:r>
      <w:hyperlink w:anchor="fig-results_beh_deli">
        <w:r>
          <w:rPr>
            <w:rStyle w:val="Hyperlink"/>
          </w:rPr>
          <w:t>Fig. 2</w:t>
        </w:r>
      </w:hyperlink>
      <w:r>
        <w:t xml:space="preserve"> A, D, G and Table S1 in </w:t>
      </w:r>
      <w:r>
        <w:rPr>
          <w:i/>
          <w:iCs/>
        </w:rPr>
        <w:t>Supplementary Material</w:t>
      </w:r>
      <w:r>
        <w:t>).</w:t>
      </w:r>
    </w:p>
    <w:p w14:paraId="5F7A2923" w14:textId="77777777" w:rsidR="009372FB" w:rsidRDefault="00704D3E">
      <w:pPr>
        <w:pStyle w:val="BodyText"/>
      </w:pPr>
      <w:r>
        <w:rPr>
          <w:i/>
          <w:iCs/>
        </w:rPr>
        <w:lastRenderedPageBreak/>
        <w:t>Lampropholis guichenoti</w:t>
      </w:r>
      <w:r>
        <w:t xml:space="preserve">: Neither prenatal CORT, temperature, nor their interaction had any effect on the behavioural response to an acute stressor on </w:t>
      </w:r>
      <w:r>
        <w:rPr>
          <w:i/>
          <w:iCs/>
        </w:rPr>
        <w:t>L. guichenoti</w:t>
      </w:r>
      <w:r>
        <w:t xml:space="preserve"> (see </w:t>
      </w:r>
      <w:hyperlink w:anchor="fig-results_beh_guich">
        <w:r>
          <w:rPr>
            <w:rStyle w:val="Hyperlink"/>
          </w:rPr>
          <w:t>Fig. 3</w:t>
        </w:r>
      </w:hyperlink>
      <w:r>
        <w:t xml:space="preserve"> A, D, G and Table S2 in </w:t>
      </w:r>
      <w:r>
        <w:rPr>
          <w:i/>
          <w:iCs/>
        </w:rPr>
        <w:t>Supplementary Material</w:t>
      </w:r>
      <w:r>
        <w:t>).</w:t>
      </w:r>
    </w:p>
    <w:tbl>
      <w:tblPr>
        <w:tblStyle w:val="Table"/>
        <w:tblW w:w="5000" w:type="pct"/>
        <w:tblLook w:val="0000" w:firstRow="0" w:lastRow="0" w:firstColumn="0" w:lastColumn="0" w:noHBand="0" w:noVBand="0"/>
      </w:tblPr>
      <w:tblGrid>
        <w:gridCol w:w="9360"/>
      </w:tblGrid>
      <w:tr w:rsidR="009372FB" w14:paraId="5F7A2926" w14:textId="77777777">
        <w:tc>
          <w:tcPr>
            <w:tcW w:w="0" w:type="auto"/>
          </w:tcPr>
          <w:p w14:paraId="5F7A2924" w14:textId="77777777" w:rsidR="009372FB" w:rsidRDefault="00704D3E">
            <w:pPr>
              <w:jc w:val="center"/>
            </w:pPr>
            <w:bookmarkStart w:id="10" w:name="fig-results_beh_deli"/>
            <w:r>
              <w:rPr>
                <w:noProof/>
              </w:rPr>
              <w:drawing>
                <wp:inline distT="0" distB="0" distL="0" distR="0" wp14:anchorId="5F7A2C4A" wp14:editId="5F7A2C4B">
                  <wp:extent cx="5943600" cy="707599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output/figures/main/fig_deli_beh.png"/>
                          <pic:cNvPicPr>
                            <a:picLocks noChangeAspect="1" noChangeArrowheads="1"/>
                          </pic:cNvPicPr>
                        </pic:nvPicPr>
                        <pic:blipFill>
                          <a:blip r:embed="rId8"/>
                          <a:stretch>
                            <a:fillRect/>
                          </a:stretch>
                        </pic:blipFill>
                        <pic:spPr bwMode="auto">
                          <a:xfrm>
                            <a:off x="0" y="0"/>
                            <a:ext cx="5943600" cy="7075999"/>
                          </a:xfrm>
                          <a:prstGeom prst="rect">
                            <a:avLst/>
                          </a:prstGeom>
                          <a:noFill/>
                          <a:ln w="9525">
                            <a:noFill/>
                            <a:headEnd/>
                            <a:tailEnd/>
                          </a:ln>
                        </pic:spPr>
                      </pic:pic>
                    </a:graphicData>
                  </a:graphic>
                </wp:inline>
              </w:drawing>
            </w:r>
          </w:p>
          <w:p w14:paraId="5F7A2925" w14:textId="77777777" w:rsidR="009372FB" w:rsidRDefault="00704D3E">
            <w:pPr>
              <w:pStyle w:val="ImageCaption"/>
              <w:spacing w:before="200"/>
            </w:pPr>
            <w:r>
              <w:t>Fig. 2— Behavioural response of Lampropholis delicata to an stressor.</w:t>
            </w:r>
          </w:p>
        </w:tc>
        <w:bookmarkEnd w:id="10"/>
      </w:tr>
    </w:tbl>
    <w:p w14:paraId="5F7A2927" w14:textId="77777777" w:rsidR="009372FB" w:rsidRDefault="00704D3E">
      <w:pPr>
        <w:pStyle w:val="Heading4"/>
      </w:pPr>
      <w:bookmarkStart w:id="11" w:name="X90d471271b29ba015bb9bcd7898f61ff12bc477"/>
      <w:bookmarkEnd w:id="9"/>
      <w:r>
        <w:lastRenderedPageBreak/>
        <w:t>Do prenatal conditions affect the behavioural response to a chronic stressor?</w:t>
      </w:r>
    </w:p>
    <w:p w14:paraId="5F7A2928" w14:textId="77777777" w:rsidR="009372FB" w:rsidRDefault="00704D3E">
      <w:pPr>
        <w:pStyle w:val="FirstParagraph"/>
      </w:pPr>
      <w:r>
        <w:rPr>
          <w:i/>
          <w:iCs/>
        </w:rPr>
        <w:t>Lampropholis delicata</w:t>
      </w:r>
      <w:r>
        <w:t xml:space="preserve">: CORT-treated lizards incubated at cold temperatures increased their latency to move over time (Slope (denoted hereafter as β) = 0.183; 95% HPDI = [0.074, 0.282]), while the slopes were not different from zero in the rest of the treatments (see </w:t>
      </w:r>
      <w:hyperlink w:anchor="fig-results_beh_deli">
        <w:r>
          <w:rPr>
            <w:rStyle w:val="Hyperlink"/>
          </w:rPr>
          <w:t>Fig. 2</w:t>
        </w:r>
      </w:hyperlink>
      <w:r>
        <w:t xml:space="preserve"> B, C and Table S3 in </w:t>
      </w:r>
      <w:r>
        <w:rPr>
          <w:i/>
          <w:iCs/>
        </w:rPr>
        <w:t>Supplementary Material</w:t>
      </w:r>
      <w:r>
        <w:t xml:space="preserve">). However, constrasts between between treatments showed no effect of prenatal conditions on the latency to move througout the experiments (see Table S1 in </w:t>
      </w:r>
      <w:r>
        <w:rPr>
          <w:i/>
          <w:iCs/>
        </w:rPr>
        <w:t>Supplementary Material</w:t>
      </w:r>
      <w:r>
        <w:t xml:space="preserve">). Lizards from all treatments increased the probability of emerging from the shelter throughout the experiment (β &gt; 0 in all cases, see </w:t>
      </w:r>
      <w:hyperlink w:anchor="fig-results_beh_deli">
        <w:r>
          <w:rPr>
            <w:rStyle w:val="Hyperlink"/>
          </w:rPr>
          <w:t>Fig. 2</w:t>
        </w:r>
      </w:hyperlink>
      <w:r>
        <w:t xml:space="preserve"> H, I and Table S3 in </w:t>
      </w:r>
      <w:r>
        <w:rPr>
          <w:i/>
          <w:iCs/>
        </w:rPr>
        <w:t>Supplementary Material</w:t>
      </w:r>
      <w:r>
        <w:t xml:space="preserve">), with no differences between treatments (see Table S1 in </w:t>
      </w:r>
      <w:r>
        <w:rPr>
          <w:i/>
          <w:iCs/>
        </w:rPr>
        <w:t>Supplementary Material</w:t>
      </w:r>
      <w:r>
        <w:t xml:space="preserve">). In contrast, the latency to shelter did not change over time (β = 0 in all cases, see </w:t>
      </w:r>
      <w:hyperlink w:anchor="fig-results_beh_deli">
        <w:r>
          <w:rPr>
            <w:rStyle w:val="Hyperlink"/>
          </w:rPr>
          <w:t>Fig. 2</w:t>
        </w:r>
      </w:hyperlink>
      <w:r>
        <w:t xml:space="preserve"> E, F and Table S3 in </w:t>
      </w:r>
      <w:r>
        <w:rPr>
          <w:i/>
          <w:iCs/>
        </w:rPr>
        <w:t>Supplementary Material</w:t>
      </w:r>
      <w:r>
        <w:t xml:space="preserve">). The contrasts between treatments showed no differences in the slopes (see Table S1 in </w:t>
      </w:r>
      <w:r>
        <w:rPr>
          <w:i/>
          <w:iCs/>
        </w:rPr>
        <w:t>Supplementary Material</w:t>
      </w:r>
      <w:r>
        <w:t>).</w:t>
      </w:r>
    </w:p>
    <w:p w14:paraId="5F7A2929" w14:textId="77777777" w:rsidR="009372FB" w:rsidRDefault="00704D3E">
      <w:pPr>
        <w:pStyle w:val="BodyText"/>
      </w:pPr>
      <w:r>
        <w:rPr>
          <w:i/>
          <w:iCs/>
        </w:rPr>
        <w:t>Lampropholis guichenoti</w:t>
      </w:r>
      <w:r>
        <w:t xml:space="preserve">: Behavioral responses towards a stressor did not change over time in </w:t>
      </w:r>
      <w:r>
        <w:rPr>
          <w:i/>
          <w:iCs/>
        </w:rPr>
        <w:t>L. guichenoti</w:t>
      </w:r>
      <w:r>
        <w:t xml:space="preserve"> (see </w:t>
      </w:r>
      <w:hyperlink w:anchor="fig-results_beh_guich">
        <w:r>
          <w:rPr>
            <w:rStyle w:val="Hyperlink"/>
          </w:rPr>
          <w:t>Fig. 3</w:t>
        </w:r>
      </w:hyperlink>
      <w:r>
        <w:t xml:space="preserve"> B, C, E, F, H, I and Table S3 in </w:t>
      </w:r>
      <w:r>
        <w:rPr>
          <w:i/>
          <w:iCs/>
        </w:rPr>
        <w:t>Supplementary Material</w:t>
      </w:r>
      <w:r>
        <w:t xml:space="preserve">). There were no significant differences in the behavioural response of </w:t>
      </w:r>
      <w:r>
        <w:rPr>
          <w:i/>
          <w:iCs/>
        </w:rPr>
        <w:t>L. guichenoti</w:t>
      </w:r>
      <w:r>
        <w:t xml:space="preserve"> to the repeated exposure to an stressor (see </w:t>
      </w:r>
      <w:hyperlink w:anchor="fig-results_beh_guich">
        <w:r>
          <w:rPr>
            <w:rStyle w:val="Hyperlink"/>
          </w:rPr>
          <w:t>Fig. 3</w:t>
        </w:r>
      </w:hyperlink>
      <w:r>
        <w:t xml:space="preserve"> B, C, E, F, H, I and Table S2 in </w:t>
      </w:r>
      <w:r>
        <w:rPr>
          <w:i/>
          <w:iCs/>
        </w:rPr>
        <w:t>Supplementary Material</w:t>
      </w:r>
      <w:r>
        <w:t>).</w:t>
      </w:r>
    </w:p>
    <w:tbl>
      <w:tblPr>
        <w:tblStyle w:val="Table"/>
        <w:tblW w:w="5000" w:type="pct"/>
        <w:tblLook w:val="0000" w:firstRow="0" w:lastRow="0" w:firstColumn="0" w:lastColumn="0" w:noHBand="0" w:noVBand="0"/>
      </w:tblPr>
      <w:tblGrid>
        <w:gridCol w:w="9360"/>
      </w:tblGrid>
      <w:tr w:rsidR="009372FB" w14:paraId="5F7A292C" w14:textId="77777777">
        <w:tc>
          <w:tcPr>
            <w:tcW w:w="0" w:type="auto"/>
          </w:tcPr>
          <w:p w14:paraId="5F7A292A" w14:textId="77777777" w:rsidR="009372FB" w:rsidRDefault="00704D3E">
            <w:pPr>
              <w:jc w:val="center"/>
            </w:pPr>
            <w:bookmarkStart w:id="12" w:name="fig-results_beh_guich"/>
            <w:r>
              <w:rPr>
                <w:noProof/>
              </w:rPr>
              <w:lastRenderedPageBreak/>
              <w:drawing>
                <wp:inline distT="0" distB="0" distL="0" distR="0" wp14:anchorId="5F7A2C4C" wp14:editId="5F7A2C4D">
                  <wp:extent cx="5943600" cy="7075999"/>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output/figures/main/fig_guich_beh.png"/>
                          <pic:cNvPicPr>
                            <a:picLocks noChangeAspect="1" noChangeArrowheads="1"/>
                          </pic:cNvPicPr>
                        </pic:nvPicPr>
                        <pic:blipFill>
                          <a:blip r:embed="rId9"/>
                          <a:stretch>
                            <a:fillRect/>
                          </a:stretch>
                        </pic:blipFill>
                        <pic:spPr bwMode="auto">
                          <a:xfrm>
                            <a:off x="0" y="0"/>
                            <a:ext cx="5943600" cy="7075999"/>
                          </a:xfrm>
                          <a:prstGeom prst="rect">
                            <a:avLst/>
                          </a:prstGeom>
                          <a:noFill/>
                          <a:ln w="9525">
                            <a:noFill/>
                            <a:headEnd/>
                            <a:tailEnd/>
                          </a:ln>
                        </pic:spPr>
                      </pic:pic>
                    </a:graphicData>
                  </a:graphic>
                </wp:inline>
              </w:drawing>
            </w:r>
          </w:p>
          <w:p w14:paraId="5F7A292B" w14:textId="77777777" w:rsidR="009372FB" w:rsidRDefault="00704D3E">
            <w:pPr>
              <w:pStyle w:val="ImageCaption"/>
              <w:spacing w:before="200"/>
            </w:pPr>
            <w:r>
              <w:t>Fig. 3— Behavioural response of Lampropholis guichenoti to an stressor.</w:t>
            </w:r>
          </w:p>
        </w:tc>
        <w:bookmarkEnd w:id="12"/>
      </w:tr>
    </w:tbl>
    <w:p w14:paraId="5F7A292D" w14:textId="77777777" w:rsidR="009372FB" w:rsidRDefault="00704D3E">
      <w:pPr>
        <w:pStyle w:val="Heading4"/>
      </w:pPr>
      <w:bookmarkStart w:id="13" w:name="X0ec8c5dc7bd24441d18d1653066734703071d5b"/>
      <w:bookmarkEnd w:id="11"/>
      <w:r>
        <w:lastRenderedPageBreak/>
        <w:t>Do prenatal conditions influence the costs of repeated stress exposure?</w:t>
      </w:r>
    </w:p>
    <w:p w14:paraId="5F7A292E" w14:textId="77777777" w:rsidR="009372FB" w:rsidRDefault="00704D3E">
      <w:pPr>
        <w:pStyle w:val="FirstParagraph"/>
      </w:pPr>
      <w:r>
        <w:rPr>
          <w:i/>
          <w:iCs/>
        </w:rPr>
        <w:t>Lampropholis delicata</w:t>
      </w:r>
      <w:r>
        <w:t xml:space="preserve">: Overall, animals grew over time (Median Δmass = 63.993 mg; 95% HDPI = [-6.871 ,161.539]), with no effect of temperature, CORT, or their interaction (see </w:t>
      </w:r>
      <w:hyperlink w:anchor="fig-results_mass">
        <w:r>
          <w:rPr>
            <w:rStyle w:val="Hyperlink"/>
          </w:rPr>
          <w:t>Fig. 4</w:t>
        </w:r>
      </w:hyperlink>
      <w:r>
        <w:t xml:space="preserve"> A and Table S4 in </w:t>
      </w:r>
      <w:r>
        <w:rPr>
          <w:i/>
          <w:iCs/>
        </w:rPr>
        <w:t>Supplementary Material</w:t>
      </w:r>
      <w:r>
        <w:t>).</w:t>
      </w:r>
    </w:p>
    <w:p w14:paraId="5F7A292F" w14:textId="77777777" w:rsidR="009372FB" w:rsidRDefault="00704D3E">
      <w:pPr>
        <w:pStyle w:val="BodyText"/>
      </w:pPr>
      <w:r>
        <w:rPr>
          <w:i/>
          <w:iCs/>
        </w:rPr>
        <w:t>Lampropholis guichenoti</w:t>
      </w:r>
      <w:r>
        <w:t xml:space="preserve">: Mass of lizards increased over time (Median Δmass = 89.479 mg; 95% HDPI = [58.264 ,139.138]), and the contrasts between treatments showed no differences in the change in mass (see </w:t>
      </w:r>
      <w:hyperlink w:anchor="fig-results_mass">
        <w:r>
          <w:rPr>
            <w:rStyle w:val="Hyperlink"/>
          </w:rPr>
          <w:t>Fig. 4</w:t>
        </w:r>
      </w:hyperlink>
      <w:r>
        <w:t xml:space="preserve"> B and Table S4 in </w:t>
      </w:r>
      <w:r>
        <w:rPr>
          <w:i/>
          <w:iCs/>
        </w:rPr>
        <w:t>Supplementary Material</w:t>
      </w:r>
      <w:r>
        <w:t>).</w:t>
      </w:r>
    </w:p>
    <w:tbl>
      <w:tblPr>
        <w:tblStyle w:val="Table"/>
        <w:tblW w:w="5000" w:type="pct"/>
        <w:tblLook w:val="0000" w:firstRow="0" w:lastRow="0" w:firstColumn="0" w:lastColumn="0" w:noHBand="0" w:noVBand="0"/>
      </w:tblPr>
      <w:tblGrid>
        <w:gridCol w:w="9360"/>
      </w:tblGrid>
      <w:tr w:rsidR="009372FB" w14:paraId="5F7A2932" w14:textId="77777777">
        <w:tc>
          <w:tcPr>
            <w:tcW w:w="0" w:type="auto"/>
          </w:tcPr>
          <w:p w14:paraId="5F7A2930" w14:textId="77777777" w:rsidR="009372FB" w:rsidRDefault="00704D3E">
            <w:pPr>
              <w:jc w:val="center"/>
            </w:pPr>
            <w:bookmarkStart w:id="14" w:name="fig-results_mass"/>
            <w:r>
              <w:rPr>
                <w:noProof/>
              </w:rPr>
              <w:drawing>
                <wp:inline distT="0" distB="0" distL="0" distR="0" wp14:anchorId="5F7A2C4E" wp14:editId="5F7A2C4F">
                  <wp:extent cx="5943600" cy="22636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output/figures/main/fig_mass.png"/>
                          <pic:cNvPicPr>
                            <a:picLocks noChangeAspect="1" noChangeArrowheads="1"/>
                          </pic:cNvPicPr>
                        </pic:nvPicPr>
                        <pic:blipFill>
                          <a:blip r:embed="rId10"/>
                          <a:stretch>
                            <a:fillRect/>
                          </a:stretch>
                        </pic:blipFill>
                        <pic:spPr bwMode="auto">
                          <a:xfrm>
                            <a:off x="0" y="0"/>
                            <a:ext cx="5943600" cy="2263600"/>
                          </a:xfrm>
                          <a:prstGeom prst="rect">
                            <a:avLst/>
                          </a:prstGeom>
                          <a:noFill/>
                          <a:ln w="9525">
                            <a:noFill/>
                            <a:headEnd/>
                            <a:tailEnd/>
                          </a:ln>
                        </pic:spPr>
                      </pic:pic>
                    </a:graphicData>
                  </a:graphic>
                </wp:inline>
              </w:drawing>
            </w:r>
          </w:p>
          <w:p w14:paraId="5F7A2931" w14:textId="77777777" w:rsidR="009372FB" w:rsidRDefault="00704D3E">
            <w:pPr>
              <w:pStyle w:val="ImageCaption"/>
              <w:spacing w:before="200"/>
            </w:pPr>
            <w:r>
              <w:t>Fig. 4— Change in mass of Lampropholis delicata and Lampropholis guichenoti after eight days of repeated stress exposure.</w:t>
            </w:r>
          </w:p>
        </w:tc>
        <w:bookmarkEnd w:id="14"/>
      </w:tr>
    </w:tbl>
    <w:p w14:paraId="5F7A2933" w14:textId="77777777" w:rsidR="009372FB" w:rsidRDefault="00704D3E">
      <w:pPr>
        <w:pStyle w:val="Heading4"/>
      </w:pPr>
      <w:bookmarkStart w:id="15" w:name="X46489cba9b98a69dfdf64ca1e885c54e60d3aaf"/>
      <w:bookmarkEnd w:id="13"/>
      <w:r>
        <w:t>Do both species differ in their response to an stressor?</w:t>
      </w:r>
    </w:p>
    <w:p w14:paraId="5F7A2934" w14:textId="77777777" w:rsidR="009372FB" w:rsidRDefault="00704D3E">
      <w:pPr>
        <w:pStyle w:val="FirstParagraph"/>
      </w:pPr>
      <w:r>
        <w:rPr>
          <w:i/>
          <w:iCs/>
        </w:rPr>
        <w:t>Acute stressor</w:t>
      </w:r>
      <w:r>
        <w:t xml:space="preserve">: Latency to move after the first exposure in Control-Hot incubated </w:t>
      </w:r>
      <w:r>
        <w:rPr>
          <w:i/>
          <w:iCs/>
        </w:rPr>
        <w:t>L. delicata</w:t>
      </w:r>
      <w:r>
        <w:t xml:space="preserve"> was higher than for </w:t>
      </w:r>
      <w:r>
        <w:rPr>
          <w:i/>
          <w:iCs/>
        </w:rPr>
        <w:t>L. guichenoti</w:t>
      </w:r>
      <w:r>
        <w:t xml:space="preserve"> (I~L. deli~ - I~L. guich~ = 0.964; 95% HDPI = [0.021, 1.920]), but there were no differences in Latency to move between the rest of the treatments (see (</w:t>
      </w:r>
      <w:hyperlink w:anchor="ref-table_contrasts_species">
        <w:r>
          <w:rPr>
            <w:rStyle w:val="Hyperlink"/>
            <w:b/>
            <w:bCs/>
          </w:rPr>
          <w:t>table_contrasts_species?</w:t>
        </w:r>
      </w:hyperlink>
      <w:r>
        <w:t xml:space="preserve">)). In contrast, the probability of emerging from the shelter after an acute stressor was lower in cold incubated </w:t>
      </w:r>
      <w:r>
        <w:rPr>
          <w:i/>
          <w:iCs/>
        </w:rPr>
        <w:t>L. delicata</w:t>
      </w:r>
      <w:r>
        <w:t xml:space="preserve"> than </w:t>
      </w:r>
      <w:r>
        <w:rPr>
          <w:i/>
          <w:iCs/>
        </w:rPr>
        <w:t>L. guichenoti</w:t>
      </w:r>
      <w:r>
        <w:t xml:space="preserve"> for both control (I~L. deli~ - I~L. guich~ = -6.322; 95% HDPI = [-9.690, -3.174]) and CORT-treated (I~L. deli~ - I~L. guich~ = -3.750; 95% HDPI = [-6.451, -1.214]) lizards, but not in hot incubated animals (see (</w:t>
      </w:r>
      <w:hyperlink w:anchor="ref-table_contrasts_species">
        <w:r>
          <w:rPr>
            <w:rStyle w:val="Hyperlink"/>
            <w:b/>
            <w:bCs/>
          </w:rPr>
          <w:t>table_contrasts_species?</w:t>
        </w:r>
      </w:hyperlink>
      <w:r>
        <w:t>)). There were no differences between species in the latency until sheltering after an acute stressor (see (</w:t>
      </w:r>
      <w:hyperlink w:anchor="ref-table_contrasts_species">
        <w:r>
          <w:rPr>
            <w:rStyle w:val="Hyperlink"/>
            <w:b/>
            <w:bCs/>
          </w:rPr>
          <w:t>table_contrasts_species?</w:t>
        </w:r>
      </w:hyperlink>
      <w:r>
        <w:t>)).</w:t>
      </w:r>
    </w:p>
    <w:p w14:paraId="5F7A2935" w14:textId="77777777" w:rsidR="009372FB" w:rsidRDefault="00704D3E">
      <w:pPr>
        <w:pStyle w:val="BodyText"/>
      </w:pPr>
      <w:r>
        <w:rPr>
          <w:i/>
          <w:iCs/>
        </w:rPr>
        <w:t>Chronic stressor</w:t>
      </w:r>
      <w:r>
        <w:t xml:space="preserve">: Over time, </w:t>
      </w:r>
      <w:r>
        <w:rPr>
          <w:i/>
          <w:iCs/>
        </w:rPr>
        <w:t>L. delicata</w:t>
      </w:r>
      <w:r>
        <w:t xml:space="preserve"> CORT-treated lizards incubated at cold temperatures increased latency to move more than </w:t>
      </w:r>
      <w:r>
        <w:rPr>
          <w:i/>
          <w:iCs/>
        </w:rPr>
        <w:t>L. guichenoti</w:t>
      </w:r>
      <w:r>
        <w:t xml:space="preserve"> (β~L. deli~ - β~L. guich~ = 0.256; 95% HDPI = [0.088, 0.413]), while the rest of the treatments did not differ between species (see (</w:t>
      </w:r>
      <w:hyperlink w:anchor="ref-table_contrasts_species">
        <w:r>
          <w:rPr>
            <w:rStyle w:val="Hyperlink"/>
            <w:b/>
            <w:bCs/>
          </w:rPr>
          <w:t>table_contrasts_species?</w:t>
        </w:r>
      </w:hyperlink>
      <w:r>
        <w:t xml:space="preserve">)). The probability of emerging from the shelter increased over time in </w:t>
      </w:r>
      <w:r>
        <w:rPr>
          <w:i/>
          <w:iCs/>
        </w:rPr>
        <w:t>L. delicata</w:t>
      </w:r>
      <w:r>
        <w:t xml:space="preserve"> more than in </w:t>
      </w:r>
      <w:r>
        <w:rPr>
          <w:i/>
          <w:iCs/>
        </w:rPr>
        <w:t>L. guichenoti</w:t>
      </w:r>
      <w:r>
        <w:t xml:space="preserve"> (see (</w:t>
      </w:r>
      <w:hyperlink w:anchor="ref-table_contrasts_species">
        <w:r>
          <w:rPr>
            <w:rStyle w:val="Hyperlink"/>
            <w:b/>
            <w:bCs/>
          </w:rPr>
          <w:t>table_contrasts_species?</w:t>
        </w:r>
      </w:hyperlink>
      <w:r>
        <w:t>)), but those differences were significant only in the Control-Cold treatment (β~L. deli~ - β~L. guich~ = 0.778; 95% HDPI = [0.316, 1.313]), while the rest of the treatments did not differ between species (see (</w:t>
      </w:r>
      <w:hyperlink w:anchor="ref-table_contrasts_species">
        <w:r>
          <w:rPr>
            <w:rStyle w:val="Hyperlink"/>
            <w:b/>
            <w:bCs/>
          </w:rPr>
          <w:t>table_contrasts_species?</w:t>
        </w:r>
      </w:hyperlink>
      <w:r>
        <w:t>)). There were no significant differences in the changes on latency to shelter between species (see (</w:t>
      </w:r>
      <w:hyperlink w:anchor="ref-table_contrasts_species">
        <w:r>
          <w:rPr>
            <w:rStyle w:val="Hyperlink"/>
            <w:b/>
            <w:bCs/>
          </w:rPr>
          <w:t>table_contrasts_species?</w:t>
        </w:r>
      </w:hyperlink>
      <w:r>
        <w:t>)).</w:t>
      </w:r>
    </w:p>
    <w:p w14:paraId="5F7A2936" w14:textId="77777777" w:rsidR="009372FB" w:rsidRDefault="00704D3E">
      <w:pPr>
        <w:pStyle w:val="BodyText"/>
      </w:pPr>
      <w:r>
        <w:rPr>
          <w:i/>
          <w:iCs/>
        </w:rPr>
        <w:lastRenderedPageBreak/>
        <w:t>Mass change</w:t>
      </w:r>
      <w:r>
        <w:t>: increases in mass were not different between species in any of the treatments (see (</w:t>
      </w:r>
      <w:hyperlink w:anchor="ref-table_contrasts_species">
        <w:r>
          <w:rPr>
            <w:rStyle w:val="Hyperlink"/>
            <w:b/>
            <w:bCs/>
          </w:rPr>
          <w:t>table_contrasts_species?</w:t>
        </w:r>
      </w:hyperlink>
      <w:r>
        <w:t>)).</w:t>
      </w:r>
    </w:p>
    <w:p w14:paraId="5F7A2937" w14:textId="77777777" w:rsidR="009372FB" w:rsidRDefault="00704D3E">
      <w:pPr>
        <w:pStyle w:val="BodyText"/>
      </w:pPr>
      <w:r>
        <w:rPr>
          <w:i/>
          <w:iCs/>
        </w:rPr>
        <w:t>Table 1. Contrasts of posterior distributions for intercepts and slopes of behavioral variables across treatments, comparing Lampropholis delicata and L. guichenoti. Contrast represent differences in median parameters between species (L. delicata - L. guichenoti) for each treatment. 95% Highest Posterior Density Intervals (95% HPDIs) indicate the probability that contrasts differ from zero.</w:t>
      </w:r>
    </w:p>
    <w:tbl>
      <w:tblPr>
        <w:tblW w:w="0" w:type="auto"/>
        <w:jc w:val="center"/>
        <w:tblLayout w:type="fixed"/>
        <w:tblLook w:val="0420" w:firstRow="1" w:lastRow="0" w:firstColumn="0" w:lastColumn="0" w:noHBand="0" w:noVBand="1"/>
      </w:tblPr>
      <w:tblGrid>
        <w:gridCol w:w="1843"/>
        <w:gridCol w:w="1477"/>
        <w:gridCol w:w="1088"/>
        <w:gridCol w:w="1677"/>
        <w:gridCol w:w="1088"/>
        <w:gridCol w:w="1610"/>
      </w:tblGrid>
      <w:tr w:rsidR="009372FB" w14:paraId="5F7A293B" w14:textId="77777777">
        <w:trPr>
          <w:tblHeader/>
          <w:jc w:val="center"/>
        </w:trPr>
        <w:tc>
          <w:tcPr>
            <w:tcW w:w="3320" w:type="dxa"/>
            <w:gridSpan w:val="2"/>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938"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p>
        </w:tc>
        <w:tc>
          <w:tcPr>
            <w:tcW w:w="2765" w:type="dxa"/>
            <w:gridSpan w:val="2"/>
            <w:tcBorders>
              <w:top w:val="single" w:sz="12" w:space="0" w:color="666666"/>
              <w:left w:val="single" w:sz="8" w:space="0" w:color="666666"/>
              <w:bottom w:val="single" w:sz="12" w:space="0" w:color="666666"/>
              <w:right w:val="single" w:sz="8" w:space="0" w:color="666666"/>
            </w:tcBorders>
            <w:shd w:val="clear" w:color="auto" w:fill="FFFFFF"/>
            <w:tcMar>
              <w:top w:w="0" w:type="dxa"/>
              <w:left w:w="0" w:type="dxa"/>
              <w:bottom w:w="0" w:type="dxa"/>
              <w:right w:w="0" w:type="dxa"/>
            </w:tcMar>
            <w:vAlign w:val="center"/>
          </w:tcPr>
          <w:p w14:paraId="5F7A293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Acute (Intercept)</w:t>
            </w:r>
          </w:p>
        </w:tc>
        <w:tc>
          <w:tcPr>
            <w:tcW w:w="2698" w:type="dxa"/>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93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Chronic (Slope)</w:t>
            </w:r>
          </w:p>
        </w:tc>
      </w:tr>
      <w:tr w:rsidR="009372FB" w14:paraId="5F7A2942" w14:textId="77777777">
        <w:trPr>
          <w:tblHeader/>
          <w:jc w:val="center"/>
        </w:trPr>
        <w:tc>
          <w:tcPr>
            <w:tcW w:w="18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93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Variable</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93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Treatment</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93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Contrast</w:t>
            </w:r>
          </w:p>
        </w:tc>
        <w:tc>
          <w:tcPr>
            <w:tcW w:w="16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93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94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Contrast</w:t>
            </w:r>
          </w:p>
        </w:tc>
        <w:tc>
          <w:tcPr>
            <w:tcW w:w="16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94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r>
      <w:tr w:rsidR="009372FB" w14:paraId="5F7A2949" w14:textId="77777777">
        <w:trPr>
          <w:jc w:val="center"/>
        </w:trPr>
        <w:tc>
          <w:tcPr>
            <w:tcW w:w="18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4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move</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4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Control-Cold</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4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0.168</w:t>
            </w:r>
          </w:p>
        </w:tc>
        <w:tc>
          <w:tcPr>
            <w:tcW w:w="16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4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[-0.893, 1.210]</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4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-0.001</w:t>
            </w:r>
          </w:p>
        </w:tc>
        <w:tc>
          <w:tcPr>
            <w:tcW w:w="16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4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[-0.188, 0.178]</w:t>
            </w:r>
          </w:p>
        </w:tc>
      </w:tr>
      <w:tr w:rsidR="009372FB" w14:paraId="5F7A2950"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4A"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4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CORT-Cold</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4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-0.524</w:t>
            </w:r>
          </w:p>
        </w:tc>
        <w:tc>
          <w:tcPr>
            <w:tcW w:w="16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4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[-1.453, 0.421]</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4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0.256</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4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[0.088, 0.413]</w:t>
            </w:r>
          </w:p>
        </w:tc>
      </w:tr>
      <w:tr w:rsidR="009372FB" w14:paraId="5F7A2957"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51"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5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Control-Hot</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5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0.964</w:t>
            </w:r>
          </w:p>
        </w:tc>
        <w:tc>
          <w:tcPr>
            <w:tcW w:w="16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5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[0.021, 1.920]</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5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-0.055</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5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[-0.221, 0.105]</w:t>
            </w:r>
          </w:p>
        </w:tc>
      </w:tr>
      <w:tr w:rsidR="009372FB" w14:paraId="5F7A295E"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958"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7A295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CORT-Hot</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7A295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0.752</w:t>
            </w:r>
          </w:p>
        </w:tc>
        <w:tc>
          <w:tcPr>
            <w:tcW w:w="16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7A295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[-0.177, 1.701]</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7A295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0.152</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95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[-0.006, 0.313]</w:t>
            </w:r>
          </w:p>
        </w:tc>
      </w:tr>
      <w:tr w:rsidR="009372FB" w14:paraId="5F7A2965"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5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shelter</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6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Control-Cold</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6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-0.041</w:t>
            </w:r>
          </w:p>
        </w:tc>
        <w:tc>
          <w:tcPr>
            <w:tcW w:w="16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6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[-1.215, 1.180]</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6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-0.071</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6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[-0.299, 0.156]</w:t>
            </w:r>
          </w:p>
        </w:tc>
      </w:tr>
      <w:tr w:rsidR="009372FB" w14:paraId="5F7A296C"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66"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6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CORT-Cold</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6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0.026</w:t>
            </w:r>
          </w:p>
        </w:tc>
        <w:tc>
          <w:tcPr>
            <w:tcW w:w="16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6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[-1.061, 1.089]</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6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-0.015</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6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[-0.226, 0.184]</w:t>
            </w:r>
          </w:p>
        </w:tc>
      </w:tr>
      <w:tr w:rsidR="009372FB" w14:paraId="5F7A2973"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6D"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6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Control-Hot</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6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0.170</w:t>
            </w:r>
          </w:p>
        </w:tc>
        <w:tc>
          <w:tcPr>
            <w:tcW w:w="16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7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[-0.928, 1.196]</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7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-0.040</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7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[-0.242, 0.169]</w:t>
            </w:r>
          </w:p>
        </w:tc>
      </w:tr>
      <w:tr w:rsidR="009372FB" w14:paraId="5F7A297A"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974"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7A297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CORT-Hot</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7A297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0.513</w:t>
            </w:r>
          </w:p>
        </w:tc>
        <w:tc>
          <w:tcPr>
            <w:tcW w:w="16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7A297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[-0.562, 1.580]</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7A297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-0.191</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97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[-0.393, 0.015]</w:t>
            </w:r>
          </w:p>
        </w:tc>
      </w:tr>
      <w:tr w:rsidR="009372FB" w14:paraId="5F7A2981"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7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Emergence</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7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Control-Cold</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7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-6.322</w:t>
            </w:r>
          </w:p>
        </w:tc>
        <w:tc>
          <w:tcPr>
            <w:tcW w:w="16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7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[-9.690, -3.174]</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7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0.778</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8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[0.316, 1.313]</w:t>
            </w:r>
          </w:p>
        </w:tc>
      </w:tr>
      <w:tr w:rsidR="009372FB" w14:paraId="5F7A2988"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82"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8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CORT-Cold</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8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-3.750</w:t>
            </w:r>
          </w:p>
        </w:tc>
        <w:tc>
          <w:tcPr>
            <w:tcW w:w="16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8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[-6.451, -1.214]</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8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0.373</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8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[-0.033, 0.789]</w:t>
            </w:r>
          </w:p>
        </w:tc>
      </w:tr>
      <w:tr w:rsidR="009372FB" w14:paraId="5F7A298F"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89"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8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Control-Hot</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8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-2.399</w:t>
            </w:r>
          </w:p>
        </w:tc>
        <w:tc>
          <w:tcPr>
            <w:tcW w:w="16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8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[-5.136, 0.150]</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8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0.193</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8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[-0.203, 0.620]</w:t>
            </w:r>
          </w:p>
        </w:tc>
      </w:tr>
      <w:tr w:rsidR="009372FB" w14:paraId="5F7A2996"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990"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7A299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CORT-Hot</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7A299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-0.973</w:t>
            </w:r>
          </w:p>
        </w:tc>
        <w:tc>
          <w:tcPr>
            <w:tcW w:w="16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7A299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[-3.602, 1.466]</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7A299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0.260</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99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[-0.127, 0.634]</w:t>
            </w:r>
          </w:p>
        </w:tc>
      </w:tr>
      <w:tr w:rsidR="009372FB" w14:paraId="5F7A299D"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9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Δ</w:t>
            </w:r>
            <w:r>
              <w:rPr>
                <w:rFonts w:ascii="Times New Roman" w:eastAsia="Helvetica" w:hAnsi="Helvetica" w:cs="Helvetica"/>
                <w:color w:val="000000"/>
                <w:sz w:val="20"/>
                <w:szCs w:val="20"/>
              </w:rPr>
              <w:t>mass</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9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Control-Cold</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9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-0.229</w:t>
            </w:r>
          </w:p>
        </w:tc>
        <w:tc>
          <w:tcPr>
            <w:tcW w:w="16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9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[-0.733, 0.282]</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9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9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w:t>
            </w:r>
          </w:p>
        </w:tc>
      </w:tr>
      <w:tr w:rsidR="009372FB" w14:paraId="5F7A29A4"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9E"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9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CORT-Cold</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A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0.091</w:t>
            </w:r>
          </w:p>
        </w:tc>
        <w:tc>
          <w:tcPr>
            <w:tcW w:w="16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A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[-0.399, 0.589]</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A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A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w:t>
            </w:r>
          </w:p>
        </w:tc>
      </w:tr>
      <w:tr w:rsidR="009372FB" w14:paraId="5F7A29AB"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A5"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A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Control-Hot</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A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-0.312</w:t>
            </w:r>
          </w:p>
        </w:tc>
        <w:tc>
          <w:tcPr>
            <w:tcW w:w="16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A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[-0.802, 0.170]</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A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A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w:t>
            </w:r>
          </w:p>
        </w:tc>
      </w:tr>
      <w:tr w:rsidR="009372FB" w14:paraId="5F7A29B2" w14:textId="77777777">
        <w:trPr>
          <w:jc w:val="center"/>
        </w:trPr>
        <w:tc>
          <w:tcPr>
            <w:tcW w:w="18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9AC"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9A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CORT-Hot</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9A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-0.315</w:t>
            </w:r>
          </w:p>
        </w:tc>
        <w:tc>
          <w:tcPr>
            <w:tcW w:w="16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9A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[-0.834, 0.215]</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9B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w:t>
            </w:r>
          </w:p>
        </w:tc>
        <w:tc>
          <w:tcPr>
            <w:tcW w:w="16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9B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w:t>
            </w:r>
          </w:p>
        </w:tc>
      </w:tr>
    </w:tbl>
    <w:p w14:paraId="5F7A29B3" w14:textId="77777777" w:rsidR="009372FB" w:rsidRDefault="00704D3E">
      <w:pPr>
        <w:pStyle w:val="Heading2"/>
      </w:pPr>
      <w:bookmarkStart w:id="16" w:name="discussion"/>
      <w:bookmarkEnd w:id="15"/>
      <w:bookmarkEnd w:id="8"/>
      <w:r>
        <w:t>Discussion</w:t>
      </w:r>
    </w:p>
    <w:p w14:paraId="5F7A29B4" w14:textId="77777777" w:rsidR="009372FB" w:rsidRDefault="00704D3E">
      <w:pPr>
        <w:pStyle w:val="Heading2"/>
      </w:pPr>
      <w:bookmarkStart w:id="17" w:name="references"/>
      <w:bookmarkEnd w:id="16"/>
      <w:r>
        <w:t>References</w:t>
      </w:r>
    </w:p>
    <w:p w14:paraId="5F7A29B5" w14:textId="77777777" w:rsidR="009372FB" w:rsidRDefault="00704D3E">
      <w:pPr>
        <w:pStyle w:val="Heading2"/>
      </w:pPr>
      <w:bookmarkStart w:id="18" w:name="supplementary-material"/>
      <w:bookmarkEnd w:id="17"/>
      <w:r>
        <w:t>Supplementary material</w:t>
      </w:r>
    </w:p>
    <w:p w14:paraId="5F7A29B6" w14:textId="77777777" w:rsidR="009372FB" w:rsidRDefault="00704D3E">
      <w:pPr>
        <w:pStyle w:val="FirstParagraph"/>
      </w:pPr>
      <w:r>
        <w:rPr>
          <w:i/>
          <w:iCs/>
        </w:rPr>
        <w:t xml:space="preserve">Table S1. Contrasts of the posterior distributions of the predictors for each behavioural variable modelled for L. delicata. The contrasts are between the intercepts and slopes of the different </w:t>
      </w:r>
      <w:r>
        <w:rPr>
          <w:i/>
          <w:iCs/>
        </w:rPr>
        <w:lastRenderedPageBreak/>
        <w:t>treatments. 95% Highest Posterior Density Intervals (95% HPDI) test the hypothesis that the contrasts are different from zero.</w:t>
      </w:r>
    </w:p>
    <w:tbl>
      <w:tblPr>
        <w:tblW w:w="0" w:type="auto"/>
        <w:jc w:val="center"/>
        <w:tblLayout w:type="fixed"/>
        <w:tblLook w:val="0420" w:firstRow="1" w:lastRow="0" w:firstColumn="0" w:lastColumn="0" w:noHBand="0" w:noVBand="1"/>
      </w:tblPr>
      <w:tblGrid>
        <w:gridCol w:w="1843"/>
        <w:gridCol w:w="1432"/>
        <w:gridCol w:w="1088"/>
        <w:gridCol w:w="1610"/>
        <w:gridCol w:w="1088"/>
        <w:gridCol w:w="1610"/>
      </w:tblGrid>
      <w:tr w:rsidR="009372FB" w14:paraId="5F7A29BA" w14:textId="77777777">
        <w:trPr>
          <w:tblHeader/>
          <w:jc w:val="center"/>
        </w:trPr>
        <w:tc>
          <w:tcPr>
            <w:tcW w:w="3275" w:type="dxa"/>
            <w:gridSpan w:val="2"/>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9B7"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p>
        </w:tc>
        <w:tc>
          <w:tcPr>
            <w:tcW w:w="2698" w:type="dxa"/>
            <w:gridSpan w:val="2"/>
            <w:tcBorders>
              <w:top w:val="single" w:sz="12" w:space="0" w:color="666666"/>
              <w:left w:val="single" w:sz="8" w:space="0" w:color="666666"/>
              <w:bottom w:val="single" w:sz="12" w:space="0" w:color="666666"/>
              <w:right w:val="single" w:sz="8" w:space="0" w:color="666666"/>
            </w:tcBorders>
            <w:shd w:val="clear" w:color="auto" w:fill="FFFFFF"/>
            <w:tcMar>
              <w:top w:w="0" w:type="dxa"/>
              <w:left w:w="0" w:type="dxa"/>
              <w:bottom w:w="0" w:type="dxa"/>
              <w:right w:w="0" w:type="dxa"/>
            </w:tcMar>
            <w:vAlign w:val="center"/>
          </w:tcPr>
          <w:p w14:paraId="5F7A29B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Acute (Intercept)</w:t>
            </w:r>
          </w:p>
        </w:tc>
        <w:tc>
          <w:tcPr>
            <w:tcW w:w="2698" w:type="dxa"/>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9B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Chronic (Slope)</w:t>
            </w:r>
          </w:p>
        </w:tc>
      </w:tr>
      <w:tr w:rsidR="009372FB" w14:paraId="5F7A29C1" w14:textId="77777777">
        <w:trPr>
          <w:tblHeader/>
          <w:jc w:val="center"/>
        </w:trPr>
        <w:tc>
          <w:tcPr>
            <w:tcW w:w="18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9B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Variable</w:t>
            </w:r>
          </w:p>
        </w:tc>
        <w:tc>
          <w:tcPr>
            <w:tcW w:w="1432"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9B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Predictor</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9B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Contrast</w:t>
            </w:r>
          </w:p>
        </w:tc>
        <w:tc>
          <w:tcPr>
            <w:tcW w:w="161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9B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9B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Contrast</w:t>
            </w:r>
          </w:p>
        </w:tc>
        <w:tc>
          <w:tcPr>
            <w:tcW w:w="16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9C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r>
      <w:tr w:rsidR="009372FB" w14:paraId="5F7A29C8" w14:textId="77777777">
        <w:trPr>
          <w:jc w:val="center"/>
        </w:trPr>
        <w:tc>
          <w:tcPr>
            <w:tcW w:w="18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C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move</w:t>
            </w:r>
          </w:p>
        </w:tc>
        <w:tc>
          <w:tcPr>
            <w:tcW w:w="1432"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C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Temperature</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C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0.959</w:t>
            </w:r>
          </w:p>
        </w:tc>
        <w:tc>
          <w:tcPr>
            <w:tcW w:w="161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C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[0.035, 1.904]</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C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-0.087</w:t>
            </w:r>
          </w:p>
        </w:tc>
        <w:tc>
          <w:tcPr>
            <w:tcW w:w="16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C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[-0.264, 0.083]</w:t>
            </w:r>
          </w:p>
        </w:tc>
      </w:tr>
      <w:tr w:rsidR="009372FB" w14:paraId="5F7A29CF"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C9"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C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C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-0.313</w:t>
            </w:r>
          </w:p>
        </w:tc>
        <w:tc>
          <w:tcPr>
            <w:tcW w:w="16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C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[-1.263, 0.599]</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C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-0.141</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C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[-0.313, 0.037]</w:t>
            </w:r>
          </w:p>
        </w:tc>
      </w:tr>
      <w:tr w:rsidR="009372FB" w14:paraId="5F7A29D6"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9D0"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7A29D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Interaction</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7A29D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-0.123</w:t>
            </w:r>
          </w:p>
        </w:tc>
        <w:tc>
          <w:tcPr>
            <w:tcW w:w="16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7A29D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[-1.424, 1.187]</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7A29D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0.103</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9D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[-0.104, 0.309]</w:t>
            </w:r>
          </w:p>
        </w:tc>
      </w:tr>
      <w:tr w:rsidR="009372FB" w14:paraId="5F7A29DD"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D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shelter</w:t>
            </w:r>
          </w:p>
        </w:tc>
        <w:tc>
          <w:tcPr>
            <w:tcW w:w="143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D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Temperature</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D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-0.065</w:t>
            </w:r>
          </w:p>
        </w:tc>
        <w:tc>
          <w:tcPr>
            <w:tcW w:w="16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D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[-1.205, 1.124]</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D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0.002</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D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[-0.211, 0.218]</w:t>
            </w:r>
          </w:p>
        </w:tc>
      </w:tr>
      <w:tr w:rsidR="009372FB" w14:paraId="5F7A29E4"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DE"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D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E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-0.498</w:t>
            </w:r>
          </w:p>
        </w:tc>
        <w:tc>
          <w:tcPr>
            <w:tcW w:w="16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E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[-1.625, 0.706]</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E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0.111</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E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[-0.105, 0.328]</w:t>
            </w:r>
          </w:p>
        </w:tc>
      </w:tr>
      <w:tr w:rsidR="009372FB" w14:paraId="5F7A29EB"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9E5"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7A29E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Interaction</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7A29E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0.614</w:t>
            </w:r>
          </w:p>
        </w:tc>
        <w:tc>
          <w:tcPr>
            <w:tcW w:w="16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7A29E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[-0.821, 2.054]</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7A29E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0.04</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9E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[-0.259, 0.343]</w:t>
            </w:r>
          </w:p>
        </w:tc>
      </w:tr>
      <w:tr w:rsidR="009372FB" w14:paraId="5F7A29F2"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E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Emergence</w:t>
            </w:r>
          </w:p>
        </w:tc>
        <w:tc>
          <w:tcPr>
            <w:tcW w:w="143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E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Temperature</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E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0.868</w:t>
            </w:r>
          </w:p>
        </w:tc>
        <w:tc>
          <w:tcPr>
            <w:tcW w:w="16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E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[-1.73, 3.597]</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F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-0.211</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F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[-0.723, 0.23]</w:t>
            </w:r>
          </w:p>
        </w:tc>
      </w:tr>
      <w:tr w:rsidR="009372FB" w14:paraId="5F7A29F9"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F3"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F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F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-1.174</w:t>
            </w:r>
          </w:p>
        </w:tc>
        <w:tc>
          <w:tcPr>
            <w:tcW w:w="16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9F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[-3.803, 1.498]</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9F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0.196</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9F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[-0.256, 0.688]</w:t>
            </w:r>
          </w:p>
        </w:tc>
      </w:tr>
      <w:tr w:rsidR="009372FB" w14:paraId="5F7A2A00" w14:textId="77777777">
        <w:trPr>
          <w:jc w:val="center"/>
        </w:trPr>
        <w:tc>
          <w:tcPr>
            <w:tcW w:w="18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9FA"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9F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Interaction</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9F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-0.58</w:t>
            </w:r>
          </w:p>
        </w:tc>
        <w:tc>
          <w:tcPr>
            <w:tcW w:w="161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9F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[-4.242, 3.162]</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9F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-0.156</w:t>
            </w:r>
          </w:p>
        </w:tc>
        <w:tc>
          <w:tcPr>
            <w:tcW w:w="16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9F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[-0.812, 0.464]</w:t>
            </w:r>
          </w:p>
        </w:tc>
      </w:tr>
    </w:tbl>
    <w:p w14:paraId="5F7A2A01" w14:textId="77777777" w:rsidR="009372FB" w:rsidRDefault="00704D3E">
      <w:pPr>
        <w:pStyle w:val="BodyText"/>
      </w:pPr>
      <w:r>
        <w:t>Contrasts were done by:</w:t>
      </w:r>
      <w:r>
        <w:br/>
        <w:t xml:space="preserve">- </w:t>
      </w:r>
      <w:r>
        <w:rPr>
          <w:i/>
          <w:iCs/>
        </w:rPr>
        <w:t>Temperature</w:t>
      </w:r>
      <w:r>
        <w:t>: β</w:t>
      </w:r>
      <w:r>
        <w:rPr>
          <w:vertAlign w:val="subscript"/>
        </w:rPr>
        <w:t>Hot</w:t>
      </w:r>
      <w:r>
        <w:t xml:space="preserve"> - β</w:t>
      </w:r>
      <w:r>
        <w:rPr>
          <w:vertAlign w:val="subscript"/>
        </w:rPr>
        <w:t>Cold</w:t>
      </w:r>
      <w:r>
        <w:br/>
        <w:t xml:space="preserve">- </w:t>
      </w:r>
      <w:r>
        <w:rPr>
          <w:i/>
          <w:iCs/>
        </w:rPr>
        <w:t>CORT</w:t>
      </w:r>
      <w:r>
        <w:t>: β</w:t>
      </w:r>
      <w:r>
        <w:rPr>
          <w:vertAlign w:val="subscript"/>
        </w:rPr>
        <w:t>CORT</w:t>
      </w:r>
      <w:r>
        <w:t xml:space="preserve"> - β</w:t>
      </w:r>
      <w:r>
        <w:rPr>
          <w:vertAlign w:val="subscript"/>
        </w:rPr>
        <w:t>Control</w:t>
      </w:r>
      <w:r>
        <w:br/>
        <w:t xml:space="preserve">- </w:t>
      </w:r>
      <w:r>
        <w:rPr>
          <w:i/>
          <w:iCs/>
        </w:rPr>
        <w:t>Interaction</w:t>
      </w:r>
      <w:r>
        <w:t>: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w:t>
      </w:r>
    </w:p>
    <w:p w14:paraId="5F7A2A02" w14:textId="77777777" w:rsidR="009372FB" w:rsidRDefault="00704D3E">
      <w:r>
        <w:br w:type="page"/>
      </w:r>
    </w:p>
    <w:p w14:paraId="5F7A2A03" w14:textId="77777777" w:rsidR="009372FB" w:rsidRDefault="00704D3E">
      <w:pPr>
        <w:pStyle w:val="BodyText"/>
      </w:pPr>
      <w:r>
        <w:rPr>
          <w:i/>
          <w:iCs/>
        </w:rPr>
        <w:lastRenderedPageBreak/>
        <w:t>Table S2. Contrasts of the posterior distributions of the predictors for each behavioural variable modelled for L. guichenoti. The contrasts are between the intercepts and slopes of the different treatments. 95% Highest Density Intervals (95% HPDI) test the hypothesis that the contrasts are different from zero.</w:t>
      </w:r>
    </w:p>
    <w:tbl>
      <w:tblPr>
        <w:tblW w:w="0" w:type="auto"/>
        <w:jc w:val="center"/>
        <w:tblLayout w:type="fixed"/>
        <w:tblLook w:val="0420" w:firstRow="1" w:lastRow="0" w:firstColumn="0" w:lastColumn="0" w:noHBand="0" w:noVBand="1"/>
      </w:tblPr>
      <w:tblGrid>
        <w:gridCol w:w="1843"/>
        <w:gridCol w:w="1432"/>
        <w:gridCol w:w="1088"/>
        <w:gridCol w:w="1610"/>
        <w:gridCol w:w="1088"/>
        <w:gridCol w:w="1610"/>
      </w:tblGrid>
      <w:tr w:rsidR="009372FB" w14:paraId="5F7A2A07" w14:textId="77777777">
        <w:trPr>
          <w:tblHeader/>
          <w:jc w:val="center"/>
        </w:trPr>
        <w:tc>
          <w:tcPr>
            <w:tcW w:w="3275" w:type="dxa"/>
            <w:gridSpan w:val="2"/>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A04"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p>
        </w:tc>
        <w:tc>
          <w:tcPr>
            <w:tcW w:w="2698" w:type="dxa"/>
            <w:gridSpan w:val="2"/>
            <w:tcBorders>
              <w:top w:val="single" w:sz="12" w:space="0" w:color="666666"/>
              <w:left w:val="single" w:sz="8" w:space="0" w:color="666666"/>
              <w:bottom w:val="single" w:sz="12" w:space="0" w:color="666666"/>
              <w:right w:val="single" w:sz="8" w:space="0" w:color="666666"/>
            </w:tcBorders>
            <w:shd w:val="clear" w:color="auto" w:fill="FFFFFF"/>
            <w:tcMar>
              <w:top w:w="0" w:type="dxa"/>
              <w:left w:w="0" w:type="dxa"/>
              <w:bottom w:w="0" w:type="dxa"/>
              <w:right w:w="0" w:type="dxa"/>
            </w:tcMar>
            <w:vAlign w:val="center"/>
          </w:tcPr>
          <w:p w14:paraId="5F7A2A0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Acute (Intercept)</w:t>
            </w:r>
          </w:p>
        </w:tc>
        <w:tc>
          <w:tcPr>
            <w:tcW w:w="2698" w:type="dxa"/>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A0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Chronic (Slope)</w:t>
            </w:r>
          </w:p>
        </w:tc>
      </w:tr>
      <w:tr w:rsidR="009372FB" w14:paraId="5F7A2A0E" w14:textId="77777777">
        <w:trPr>
          <w:tblHeader/>
          <w:jc w:val="center"/>
        </w:trPr>
        <w:tc>
          <w:tcPr>
            <w:tcW w:w="18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0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Variable</w:t>
            </w:r>
          </w:p>
        </w:tc>
        <w:tc>
          <w:tcPr>
            <w:tcW w:w="1432"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A0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Predictor</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A0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Contrast</w:t>
            </w:r>
          </w:p>
        </w:tc>
        <w:tc>
          <w:tcPr>
            <w:tcW w:w="161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A0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A0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Contrast</w:t>
            </w:r>
          </w:p>
        </w:tc>
        <w:tc>
          <w:tcPr>
            <w:tcW w:w="16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0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r>
      <w:tr w:rsidR="009372FB" w14:paraId="5F7A2A15" w14:textId="77777777">
        <w:trPr>
          <w:jc w:val="center"/>
        </w:trPr>
        <w:tc>
          <w:tcPr>
            <w:tcW w:w="18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0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move</w:t>
            </w:r>
          </w:p>
        </w:tc>
        <w:tc>
          <w:tcPr>
            <w:tcW w:w="1432"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A1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Temperature</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A1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-0.107</w:t>
            </w:r>
          </w:p>
        </w:tc>
        <w:tc>
          <w:tcPr>
            <w:tcW w:w="161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A1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[-1.144, 1.012]</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A1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-0.008</w:t>
            </w:r>
          </w:p>
        </w:tc>
        <w:tc>
          <w:tcPr>
            <w:tcW w:w="16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1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[-0.204, 0.187]</w:t>
            </w:r>
          </w:p>
        </w:tc>
      </w:tr>
      <w:tr w:rsidR="009372FB" w14:paraId="5F7A2A1C"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16"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A1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A1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-0.771</w:t>
            </w:r>
          </w:p>
        </w:tc>
        <w:tc>
          <w:tcPr>
            <w:tcW w:w="16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A1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[-1.869, 0.294]</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A1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0.093</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1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 0.29]</w:t>
            </w:r>
          </w:p>
        </w:tc>
      </w:tr>
      <w:tr w:rsidR="009372FB" w14:paraId="5F7A2A23"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1D"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7A2A1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Interaction</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7A2A1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0.357</w:t>
            </w:r>
          </w:p>
        </w:tc>
        <w:tc>
          <w:tcPr>
            <w:tcW w:w="16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7A2A2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[-1.075, 1.839]</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7A2A2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0.053</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2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[-0.203, 0.328]</w:t>
            </w:r>
          </w:p>
        </w:tc>
      </w:tr>
      <w:tr w:rsidR="009372FB" w14:paraId="5F7A2A2A"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2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shelter</w:t>
            </w:r>
          </w:p>
        </w:tc>
        <w:tc>
          <w:tcPr>
            <w:tcW w:w="143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A2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Temperature</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A2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-0.445</w:t>
            </w:r>
          </w:p>
        </w:tc>
        <w:tc>
          <w:tcPr>
            <w:tcW w:w="16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A2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[-1.827, 1.003]</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A2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0.081</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2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[-0.189, 0.327]</w:t>
            </w:r>
          </w:p>
        </w:tc>
      </w:tr>
      <w:tr w:rsidR="009372FB" w14:paraId="5F7A2A31"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2B"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A2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A2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-0.282</w:t>
            </w:r>
          </w:p>
        </w:tc>
        <w:tc>
          <w:tcPr>
            <w:tcW w:w="16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A2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[-1.731, 1.117]</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A2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0.061</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3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[-0.189, 0.331]</w:t>
            </w:r>
          </w:p>
        </w:tc>
      </w:tr>
      <w:tr w:rsidR="009372FB" w14:paraId="5F7A2A38"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32"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7A2A3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Interaction</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7A2A3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0.89</w:t>
            </w:r>
          </w:p>
        </w:tc>
        <w:tc>
          <w:tcPr>
            <w:tcW w:w="16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F7A2A3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[-0.801, 2.512]</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F7A2A3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-0.167</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3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[-0.458, 0.135]</w:t>
            </w:r>
          </w:p>
        </w:tc>
      </w:tr>
      <w:tr w:rsidR="009372FB" w14:paraId="5F7A2A3F"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3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Emergence</w:t>
            </w:r>
          </w:p>
        </w:tc>
        <w:tc>
          <w:tcPr>
            <w:tcW w:w="143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A3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Temperature</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A3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-2.36</w:t>
            </w:r>
          </w:p>
        </w:tc>
        <w:tc>
          <w:tcPr>
            <w:tcW w:w="16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A3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[-5.836, 0.792]</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A3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0.128</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3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[-0.368, 0.629]</w:t>
            </w:r>
          </w:p>
        </w:tc>
      </w:tr>
      <w:tr w:rsidR="009372FB" w14:paraId="5F7A2A46"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40"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A4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A4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0.63</w:t>
            </w:r>
          </w:p>
        </w:tc>
        <w:tc>
          <w:tcPr>
            <w:tcW w:w="16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7A2A4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[-2.423, 4.123]</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7A2A4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0.049</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4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[-0.487, 0.501]</w:t>
            </w:r>
          </w:p>
        </w:tc>
      </w:tr>
      <w:tr w:rsidR="009372FB" w14:paraId="5F7A2A4D" w14:textId="77777777">
        <w:trPr>
          <w:jc w:val="center"/>
        </w:trPr>
        <w:tc>
          <w:tcPr>
            <w:tcW w:w="18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47"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A4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Interaction</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A4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-1.726</w:t>
            </w:r>
          </w:p>
        </w:tc>
        <w:tc>
          <w:tcPr>
            <w:tcW w:w="161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F7A2A4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[-5.809, 2.362]</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F7A2A4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0.316</w:t>
            </w:r>
          </w:p>
        </w:tc>
        <w:tc>
          <w:tcPr>
            <w:tcW w:w="16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4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[-0.22, 0.902]</w:t>
            </w:r>
          </w:p>
        </w:tc>
      </w:tr>
    </w:tbl>
    <w:p w14:paraId="5F7A2A4E" w14:textId="77777777" w:rsidR="009372FB" w:rsidRDefault="00704D3E">
      <w:pPr>
        <w:pStyle w:val="BodyText"/>
      </w:pPr>
      <w:r>
        <w:t>Contrasts were done by:</w:t>
      </w:r>
      <w:r>
        <w:br/>
        <w:t xml:space="preserve">- </w:t>
      </w:r>
      <w:r>
        <w:rPr>
          <w:i/>
          <w:iCs/>
        </w:rPr>
        <w:t>Temperature</w:t>
      </w:r>
      <w:r>
        <w:t>: β</w:t>
      </w:r>
      <w:r>
        <w:rPr>
          <w:vertAlign w:val="subscript"/>
        </w:rPr>
        <w:t>Hot</w:t>
      </w:r>
      <w:r>
        <w:t xml:space="preserve"> - β</w:t>
      </w:r>
      <w:r>
        <w:rPr>
          <w:vertAlign w:val="subscript"/>
        </w:rPr>
        <w:t>Cold</w:t>
      </w:r>
      <w:r>
        <w:br/>
        <w:t xml:space="preserve">- </w:t>
      </w:r>
      <w:r>
        <w:rPr>
          <w:i/>
          <w:iCs/>
        </w:rPr>
        <w:t>CORT</w:t>
      </w:r>
      <w:r>
        <w:t>: β</w:t>
      </w:r>
      <w:r>
        <w:rPr>
          <w:vertAlign w:val="subscript"/>
        </w:rPr>
        <w:t>CORT</w:t>
      </w:r>
      <w:r>
        <w:t xml:space="preserve"> - β</w:t>
      </w:r>
      <w:r>
        <w:rPr>
          <w:vertAlign w:val="subscript"/>
        </w:rPr>
        <w:t>Control</w:t>
      </w:r>
      <w:r>
        <w:br/>
        <w:t xml:space="preserve">- </w:t>
      </w:r>
      <w:r>
        <w:rPr>
          <w:i/>
          <w:iCs/>
        </w:rPr>
        <w:t>Interaction</w:t>
      </w:r>
      <w:r>
        <w:t>: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w:t>
      </w:r>
    </w:p>
    <w:p w14:paraId="5F7A2A4F" w14:textId="77777777" w:rsidR="009372FB" w:rsidRDefault="00704D3E">
      <w:r>
        <w:br w:type="page"/>
      </w:r>
    </w:p>
    <w:p w14:paraId="5F7A2A50" w14:textId="77777777" w:rsidR="009372FB" w:rsidRDefault="00704D3E">
      <w:pPr>
        <w:pStyle w:val="BodyText"/>
      </w:pPr>
      <w:r>
        <w:rPr>
          <w:i/>
          <w:iCs/>
        </w:rPr>
        <w:lastRenderedPageBreak/>
        <w:t>Table S3. Values of the slopes for the different treatments for each behavioural variable modelled for both species. 95% Highest Density Intervals (95% HPDI) test the hypothesis that the slopes are different from zero.</w:t>
      </w:r>
    </w:p>
    <w:tbl>
      <w:tblPr>
        <w:tblW w:w="0" w:type="auto"/>
        <w:jc w:val="center"/>
        <w:tblLayout w:type="fixed"/>
        <w:tblLook w:val="0420" w:firstRow="1" w:lastRow="0" w:firstColumn="0" w:lastColumn="0" w:noHBand="0" w:noVBand="1"/>
      </w:tblPr>
      <w:tblGrid>
        <w:gridCol w:w="1466"/>
        <w:gridCol w:w="1843"/>
        <w:gridCol w:w="1555"/>
        <w:gridCol w:w="1022"/>
        <w:gridCol w:w="1610"/>
      </w:tblGrid>
      <w:tr w:rsidR="009372FB" w14:paraId="5F7A2A56"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5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Species</w:t>
            </w:r>
          </w:p>
        </w:tc>
        <w:tc>
          <w:tcPr>
            <w:tcW w:w="18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5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Variable</w:t>
            </w:r>
          </w:p>
        </w:tc>
        <w:tc>
          <w:tcPr>
            <w:tcW w:w="15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5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Treatment</w:t>
            </w:r>
          </w:p>
        </w:tc>
        <w:tc>
          <w:tcPr>
            <w:tcW w:w="10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5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Median</w:t>
            </w:r>
          </w:p>
        </w:tc>
        <w:tc>
          <w:tcPr>
            <w:tcW w:w="16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5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r>
      <w:tr w:rsidR="009372FB" w14:paraId="5F7A2A5C"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5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i/>
                <w:color w:val="000000"/>
                <w:sz w:val="20"/>
                <w:szCs w:val="20"/>
              </w:rPr>
              <w:t>L. delicata</w:t>
            </w:r>
          </w:p>
        </w:tc>
        <w:tc>
          <w:tcPr>
            <w:tcW w:w="18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5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move</w:t>
            </w:r>
          </w:p>
        </w:tc>
        <w:tc>
          <w:tcPr>
            <w:tcW w:w="15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5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Control-Cold</w:t>
            </w:r>
          </w:p>
        </w:tc>
        <w:tc>
          <w:tcPr>
            <w:tcW w:w="10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5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-0.010</w:t>
            </w:r>
          </w:p>
        </w:tc>
        <w:tc>
          <w:tcPr>
            <w:tcW w:w="16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5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[-0.111, 0.093]</w:t>
            </w:r>
          </w:p>
        </w:tc>
      </w:tr>
      <w:tr w:rsidR="009372FB" w14:paraId="5F7A2A62"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5D"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5E"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5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6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0.183</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6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[0.074, 0.282]</w:t>
            </w:r>
          </w:p>
        </w:tc>
      </w:tr>
      <w:tr w:rsidR="009372FB" w14:paraId="5F7A2A68"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63"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64"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6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6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-0.046</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6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[-0.149, 0.054]</w:t>
            </w:r>
          </w:p>
        </w:tc>
      </w:tr>
      <w:tr w:rsidR="009372FB" w14:paraId="5F7A2A6E"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69"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6A"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6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6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0.042</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6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[-0.062, 0.149]</w:t>
            </w:r>
          </w:p>
        </w:tc>
      </w:tr>
      <w:tr w:rsidR="009372FB" w14:paraId="5F7A2A74"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6F"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7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shelter</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7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7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-0.035</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7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[-0.191, 0.108]</w:t>
            </w:r>
          </w:p>
        </w:tc>
      </w:tr>
      <w:tr w:rsidR="009372FB" w14:paraId="5F7A2A7A"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75"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76"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7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7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-0.126</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7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[-0.281, 0.019]</w:t>
            </w:r>
          </w:p>
        </w:tc>
      </w:tr>
      <w:tr w:rsidR="009372FB" w14:paraId="5F7A2A80"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7B"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7C"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7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7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-0.014</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7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[-0.162, 0.133]</w:t>
            </w:r>
          </w:p>
        </w:tc>
      </w:tr>
      <w:tr w:rsidR="009372FB" w14:paraId="5F7A2A86"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81"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82"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8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8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-0.145</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8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[-0.302, 0.008]</w:t>
            </w:r>
          </w:p>
        </w:tc>
      </w:tr>
      <w:tr w:rsidR="009372FB" w14:paraId="5F7A2A8C"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87"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8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Emergence</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8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8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0.740</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8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[0.390, 1.156]</w:t>
            </w:r>
          </w:p>
        </w:tc>
      </w:tr>
      <w:tr w:rsidR="009372FB" w14:paraId="5F7A2A92"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8D"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8E"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8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9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0.461</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9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[0.193, 0.762]</w:t>
            </w:r>
          </w:p>
        </w:tc>
      </w:tr>
      <w:tr w:rsidR="009372FB" w14:paraId="5F7A2A98"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93"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94"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9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9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0.442</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9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[0.140, 0.778]</w:t>
            </w:r>
          </w:p>
        </w:tc>
      </w:tr>
      <w:tr w:rsidR="009372FB" w14:paraId="5F7A2A9E"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99"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9A"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9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9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0.318</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9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[0.052, 0.597]</w:t>
            </w:r>
          </w:p>
        </w:tc>
      </w:tr>
      <w:tr w:rsidR="009372FB" w14:paraId="5F7A2AA4"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9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i/>
                <w:color w:val="000000"/>
                <w:sz w:val="20"/>
                <w:szCs w:val="20"/>
              </w:rPr>
              <w:t>L. guichenoti</w:t>
            </w: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A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move</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A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A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-0.008</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A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[-0.161, 0.142]</w:t>
            </w:r>
          </w:p>
        </w:tc>
      </w:tr>
      <w:tr w:rsidR="009372FB" w14:paraId="5F7A2AAA"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A5"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A6"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A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A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-0.073</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A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[-0.204, 0.048]</w:t>
            </w:r>
          </w:p>
        </w:tc>
      </w:tr>
      <w:tr w:rsidR="009372FB" w14:paraId="5F7A2AB0"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AB"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AC"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A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A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0.009</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A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[-0.116, 0.139]</w:t>
            </w:r>
          </w:p>
        </w:tc>
      </w:tr>
      <w:tr w:rsidR="009372FB" w14:paraId="5F7A2AB6"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B1"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B2"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B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B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-0.110</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B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[-0.234, 0.009]</w:t>
            </w:r>
          </w:p>
        </w:tc>
      </w:tr>
      <w:tr w:rsidR="009372FB" w14:paraId="5F7A2ABC"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B7"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B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Latency to shelter</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B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B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0.036</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B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[-0.136, 0.208]</w:t>
            </w:r>
          </w:p>
        </w:tc>
      </w:tr>
      <w:tr w:rsidR="009372FB" w14:paraId="5F7A2AC2"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BD"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BE"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B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C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-0.111</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C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[-0.252, 0.034]</w:t>
            </w:r>
          </w:p>
        </w:tc>
      </w:tr>
      <w:tr w:rsidR="009372FB" w14:paraId="5F7A2AC8"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C3"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C4"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C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C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0.025</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C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[-0.114, 0.170]</w:t>
            </w:r>
          </w:p>
        </w:tc>
      </w:tr>
      <w:tr w:rsidR="009372FB" w14:paraId="5F7A2ACE"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C9"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CA"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C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C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0.046</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C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[-0.091, 0.178]</w:t>
            </w:r>
          </w:p>
        </w:tc>
      </w:tr>
      <w:tr w:rsidR="009372FB" w14:paraId="5F7A2AD4"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CF"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D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Emergence</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D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D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-0.037</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D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[-0.353, 0.272]</w:t>
            </w:r>
          </w:p>
        </w:tc>
      </w:tr>
      <w:tr w:rsidR="009372FB" w14:paraId="5F7A2ADA"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D5"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D6"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D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D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0.088</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D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[-0.208, 0.377]</w:t>
            </w:r>
          </w:p>
        </w:tc>
      </w:tr>
      <w:tr w:rsidR="009372FB" w14:paraId="5F7A2AE0"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DB"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DC"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D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D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0.249</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D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[-0.000, 0.504]</w:t>
            </w:r>
          </w:p>
        </w:tc>
      </w:tr>
      <w:tr w:rsidR="009372FB" w14:paraId="5F7A2AE6"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E1"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8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E2"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5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E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CORT-Hot</w:t>
            </w:r>
          </w:p>
        </w:tc>
        <w:tc>
          <w:tcPr>
            <w:tcW w:w="102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E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0.058</w:t>
            </w:r>
          </w:p>
        </w:tc>
        <w:tc>
          <w:tcPr>
            <w:tcW w:w="16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E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[-0.203, 0.320]</w:t>
            </w:r>
          </w:p>
        </w:tc>
      </w:tr>
    </w:tbl>
    <w:p w14:paraId="5F7A2AE7" w14:textId="77777777" w:rsidR="009372FB" w:rsidRDefault="00704D3E">
      <w:r>
        <w:br w:type="page"/>
      </w:r>
    </w:p>
    <w:p w14:paraId="5F7A2AE8" w14:textId="77777777" w:rsidR="009372FB" w:rsidRDefault="00704D3E">
      <w:pPr>
        <w:pStyle w:val="BodyText"/>
      </w:pPr>
      <w:r>
        <w:rPr>
          <w:i/>
          <w:iCs/>
        </w:rPr>
        <w:lastRenderedPageBreak/>
        <w:t>Table S4. Contrasts for mass modelled for both species. 95% Highest Density Intervals (95% HPDI) test the hypothesis that the contrasts are different from zero.</w:t>
      </w:r>
    </w:p>
    <w:tbl>
      <w:tblPr>
        <w:tblW w:w="0" w:type="auto"/>
        <w:jc w:val="center"/>
        <w:tblLayout w:type="fixed"/>
        <w:tblLook w:val="0420" w:firstRow="1" w:lastRow="0" w:firstColumn="0" w:lastColumn="0" w:noHBand="0" w:noVBand="1"/>
      </w:tblPr>
      <w:tblGrid>
        <w:gridCol w:w="1466"/>
        <w:gridCol w:w="1432"/>
        <w:gridCol w:w="1088"/>
        <w:gridCol w:w="1610"/>
      </w:tblGrid>
      <w:tr w:rsidR="009372FB" w14:paraId="5F7A2AED"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E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Variable</w:t>
            </w:r>
          </w:p>
        </w:tc>
        <w:tc>
          <w:tcPr>
            <w:tcW w:w="14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E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Predictor</w:t>
            </w:r>
          </w:p>
        </w:tc>
        <w:tc>
          <w:tcPr>
            <w:tcW w:w="108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E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Contrast</w:t>
            </w:r>
          </w:p>
        </w:tc>
        <w:tc>
          <w:tcPr>
            <w:tcW w:w="16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AE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95% HPDI</w:t>
            </w:r>
          </w:p>
        </w:tc>
      </w:tr>
      <w:tr w:rsidR="009372FB" w14:paraId="5F7A2AF2"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E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i/>
                <w:color w:val="000000"/>
                <w:sz w:val="20"/>
                <w:szCs w:val="20"/>
              </w:rPr>
              <w:t>L. delicata</w:t>
            </w:r>
          </w:p>
        </w:tc>
        <w:tc>
          <w:tcPr>
            <w:tcW w:w="14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E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Temperature</w:t>
            </w:r>
          </w:p>
        </w:tc>
        <w:tc>
          <w:tcPr>
            <w:tcW w:w="108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F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-0.231</w:t>
            </w:r>
          </w:p>
        </w:tc>
        <w:tc>
          <w:tcPr>
            <w:tcW w:w="16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F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[-0.957, 0.466]</w:t>
            </w:r>
          </w:p>
        </w:tc>
      </w:tr>
      <w:tr w:rsidR="009372FB" w14:paraId="5F7A2AF7"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F3"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F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Hormone</w:t>
            </w:r>
          </w:p>
        </w:tc>
        <w:tc>
          <w:tcPr>
            <w:tcW w:w="10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F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0.021</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F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[-0.686, 0.747]</w:t>
            </w:r>
          </w:p>
        </w:tc>
      </w:tr>
      <w:tr w:rsidR="009372FB" w14:paraId="5F7A2AFC"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F8"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F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Interaction</w:t>
            </w:r>
          </w:p>
        </w:tc>
        <w:tc>
          <w:tcPr>
            <w:tcW w:w="108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F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0.308</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AF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[-0.59, 1.248]</w:t>
            </w:r>
          </w:p>
        </w:tc>
      </w:tr>
      <w:tr w:rsidR="009372FB" w14:paraId="5F7A2B01"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F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i/>
                <w:color w:val="000000"/>
                <w:sz w:val="20"/>
                <w:szCs w:val="20"/>
              </w:rPr>
              <w:t>L. guichenoti</w:t>
            </w:r>
          </w:p>
        </w:tc>
        <w:tc>
          <w:tcPr>
            <w:tcW w:w="143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F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Temperature</w:t>
            </w:r>
          </w:p>
        </w:tc>
        <w:tc>
          <w:tcPr>
            <w:tcW w:w="108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AF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0.012</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0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[-0.224, 0.243]</w:t>
            </w:r>
          </w:p>
        </w:tc>
      </w:tr>
      <w:tr w:rsidR="009372FB" w14:paraId="5F7A2B06"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02"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0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Hormone</w:t>
            </w:r>
          </w:p>
        </w:tc>
        <w:tc>
          <w:tcPr>
            <w:tcW w:w="10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0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0.186</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0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[-0.05, 0.414]</w:t>
            </w:r>
          </w:p>
        </w:tc>
      </w:tr>
      <w:tr w:rsidR="009372FB" w14:paraId="5F7A2B0B"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07"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14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0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Interaction</w:t>
            </w:r>
          </w:p>
        </w:tc>
        <w:tc>
          <w:tcPr>
            <w:tcW w:w="108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0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-0.014</w:t>
            </w:r>
          </w:p>
        </w:tc>
        <w:tc>
          <w:tcPr>
            <w:tcW w:w="16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0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[-0.328, 0.314]</w:t>
            </w:r>
          </w:p>
        </w:tc>
      </w:tr>
    </w:tbl>
    <w:p w14:paraId="5F7A2B0C" w14:textId="77777777" w:rsidR="009372FB" w:rsidRDefault="00704D3E">
      <w:pPr>
        <w:pStyle w:val="BodyText"/>
      </w:pPr>
      <w:r>
        <w:t>Contrasts were done by:</w:t>
      </w:r>
      <w:r>
        <w:br/>
        <w:t xml:space="preserve">- </w:t>
      </w:r>
      <w:r>
        <w:rPr>
          <w:i/>
          <w:iCs/>
        </w:rPr>
        <w:t>Temperature</w:t>
      </w:r>
      <w:r>
        <w:t>: β</w:t>
      </w:r>
      <w:r>
        <w:rPr>
          <w:vertAlign w:val="subscript"/>
        </w:rPr>
        <w:t>Hot</w:t>
      </w:r>
      <w:r>
        <w:t xml:space="preserve"> - β</w:t>
      </w:r>
      <w:r>
        <w:rPr>
          <w:vertAlign w:val="subscript"/>
        </w:rPr>
        <w:t>Cold</w:t>
      </w:r>
      <w:r>
        <w:br/>
        <w:t xml:space="preserve">- </w:t>
      </w:r>
      <w:r>
        <w:rPr>
          <w:i/>
          <w:iCs/>
        </w:rPr>
        <w:t>CORT</w:t>
      </w:r>
      <w:r>
        <w:t>: β</w:t>
      </w:r>
      <w:r>
        <w:rPr>
          <w:vertAlign w:val="subscript"/>
        </w:rPr>
        <w:t>CORT</w:t>
      </w:r>
      <w:r>
        <w:t xml:space="preserve"> - β</w:t>
      </w:r>
      <w:r>
        <w:rPr>
          <w:vertAlign w:val="subscript"/>
        </w:rPr>
        <w:t>Control</w:t>
      </w:r>
      <w:r>
        <w:br/>
        <w:t xml:space="preserve">- </w:t>
      </w:r>
      <w:r>
        <w:rPr>
          <w:i/>
          <w:iCs/>
        </w:rPr>
        <w:t>Interaction</w:t>
      </w:r>
      <w:r>
        <w:t>: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w:t>
      </w:r>
    </w:p>
    <w:p w14:paraId="5F7A2B0D" w14:textId="77777777" w:rsidR="009372FB" w:rsidRDefault="00704D3E">
      <w:r>
        <w:br w:type="page"/>
      </w:r>
    </w:p>
    <w:p w14:paraId="5F7A2B0E" w14:textId="77777777" w:rsidR="009372FB" w:rsidRDefault="00704D3E">
      <w:pPr>
        <w:pStyle w:val="BodyText"/>
      </w:pPr>
      <w:r>
        <w:rPr>
          <w:i/>
          <w:iCs/>
        </w:rPr>
        <w:lastRenderedPageBreak/>
        <w:t>Table S5. Estimates of each predictor for each variable modelled for L. delicata. 95% Highest Density Intervals (95% HPDI) test the hypothesis that the estimates are different from zero.</w:t>
      </w:r>
    </w:p>
    <w:tbl>
      <w:tblPr>
        <w:tblW w:w="0" w:type="auto"/>
        <w:jc w:val="center"/>
        <w:tblLayout w:type="fixed"/>
        <w:tblLook w:val="0420" w:firstRow="1" w:lastRow="0" w:firstColumn="0" w:lastColumn="0" w:noHBand="0" w:noVBand="1"/>
      </w:tblPr>
      <w:tblGrid>
        <w:gridCol w:w="1277"/>
        <w:gridCol w:w="2400"/>
        <w:gridCol w:w="1022"/>
        <w:gridCol w:w="1677"/>
      </w:tblGrid>
      <w:tr w:rsidR="009372FB" w14:paraId="5F7A2B13" w14:textId="77777777">
        <w:trPr>
          <w:tblHeader/>
          <w:jc w:val="center"/>
        </w:trPr>
        <w:tc>
          <w:tcPr>
            <w:tcW w:w="12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0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Variable</w:t>
            </w:r>
          </w:p>
        </w:tc>
        <w:tc>
          <w:tcPr>
            <w:tcW w:w="24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1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Predictor</w:t>
            </w:r>
          </w:p>
        </w:tc>
        <w:tc>
          <w:tcPr>
            <w:tcW w:w="10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1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Median</w:t>
            </w:r>
          </w:p>
        </w:tc>
        <w:tc>
          <w:tcPr>
            <w:tcW w:w="16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1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CI</w:t>
            </w:r>
          </w:p>
        </w:tc>
      </w:tr>
      <w:tr w:rsidR="009372FB" w14:paraId="5F7A2B18" w14:textId="77777777">
        <w:trPr>
          <w:jc w:val="center"/>
        </w:trPr>
        <w:tc>
          <w:tcPr>
            <w:tcW w:w="12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1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move</w:t>
            </w:r>
          </w:p>
        </w:tc>
        <w:tc>
          <w:tcPr>
            <w:tcW w:w="24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1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b_Intercept</w:t>
            </w:r>
          </w:p>
        </w:tc>
        <w:tc>
          <w:tcPr>
            <w:tcW w:w="10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1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3.361</w:t>
            </w:r>
          </w:p>
        </w:tc>
        <w:tc>
          <w:tcPr>
            <w:tcW w:w="16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1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[2.720, 4.030]</w:t>
            </w:r>
          </w:p>
        </w:tc>
      </w:tr>
      <w:tr w:rsidR="009372FB" w14:paraId="5F7A2B1D"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19"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1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1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1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[-0.111, 0.093]</w:t>
            </w:r>
          </w:p>
        </w:tc>
      </w:tr>
      <w:tr w:rsidR="009372FB" w14:paraId="5F7A2B22"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1E"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1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2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0.192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2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[0.046, 0.337]</w:t>
            </w:r>
          </w:p>
        </w:tc>
      </w:tr>
      <w:tr w:rsidR="009372FB" w14:paraId="5F7A2B27"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23"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2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2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0.053</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2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[-0.097, 0.197]</w:t>
            </w:r>
          </w:p>
        </w:tc>
      </w:tr>
      <w:tr w:rsidR="009372FB" w14:paraId="5F7A2B2C"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28"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2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2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2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[-0.182, 0.105]</w:t>
            </w:r>
          </w:p>
        </w:tc>
      </w:tr>
      <w:tr w:rsidR="009372FB" w14:paraId="5F7A2B31"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2D"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2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2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0.264</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3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[-0.622, 1.218]</w:t>
            </w:r>
          </w:p>
        </w:tc>
      </w:tr>
      <w:tr w:rsidR="009372FB" w14:paraId="5F7A2B36"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32"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3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3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1.288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3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[0.354, 2.202]</w:t>
            </w:r>
          </w:p>
        </w:tc>
      </w:tr>
      <w:tr w:rsidR="009372FB" w14:paraId="5F7A2B3B"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37"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3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3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0.907</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3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[-0.005, 1.820]</w:t>
            </w:r>
          </w:p>
        </w:tc>
      </w:tr>
      <w:tr w:rsidR="009372FB" w14:paraId="5F7A2B40"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3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shelter</w:t>
            </w:r>
          </w:p>
        </w:tc>
        <w:tc>
          <w:tcPr>
            <w:tcW w:w="240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3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3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4.092</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3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[3.405, 4.833]</w:t>
            </w:r>
          </w:p>
        </w:tc>
      </w:tr>
      <w:tr w:rsidR="009372FB" w14:paraId="5F7A2B45"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41"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4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4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-0.035</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4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[-0.191, 0.108]</w:t>
            </w:r>
          </w:p>
        </w:tc>
      </w:tr>
      <w:tr w:rsidR="009372FB" w14:paraId="5F7A2B4A"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46"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4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4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-0.092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4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[-0.297, 0.123]</w:t>
            </w:r>
          </w:p>
        </w:tc>
      </w:tr>
      <w:tr w:rsidR="009372FB" w14:paraId="5F7A2B4F"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4B"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4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4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-0.110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4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[-0.329, 0.105]</w:t>
            </w:r>
          </w:p>
        </w:tc>
      </w:tr>
      <w:tr w:rsidR="009372FB" w14:paraId="5F7A2B54"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50"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5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5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0.020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5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[-0.182, 0.232]</w:t>
            </w:r>
          </w:p>
        </w:tc>
      </w:tr>
      <w:tr w:rsidR="009372FB" w14:paraId="5F7A2B59"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55"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5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5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0.801</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5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[-0.209, 1.826]</w:t>
            </w:r>
          </w:p>
        </w:tc>
      </w:tr>
      <w:tr w:rsidR="009372FB" w14:paraId="5F7A2B5E"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5A"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5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5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0.426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5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[-0.604, 1.447]</w:t>
            </w:r>
          </w:p>
        </w:tc>
      </w:tr>
      <w:tr w:rsidR="009372FB" w14:paraId="5F7A2B63"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5F"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6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6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0.240</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6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[-0.737, 1.222]</w:t>
            </w:r>
          </w:p>
        </w:tc>
      </w:tr>
      <w:tr w:rsidR="009372FB" w14:paraId="5F7A2B68"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6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emergence</w:t>
            </w:r>
          </w:p>
        </w:tc>
        <w:tc>
          <w:tcPr>
            <w:tcW w:w="240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6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6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-4.421</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6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[-6.763, -2.381]</w:t>
            </w:r>
          </w:p>
        </w:tc>
      </w:tr>
      <w:tr w:rsidR="009372FB" w14:paraId="5F7A2B6D"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69"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6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6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0.740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6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[0.390, 1.156]</w:t>
            </w:r>
          </w:p>
        </w:tc>
      </w:tr>
      <w:tr w:rsidR="009372FB" w14:paraId="5F7A2B72"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6E"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6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7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-0.279</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7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[-0.749, 0.196]</w:t>
            </w:r>
          </w:p>
        </w:tc>
      </w:tr>
      <w:tr w:rsidR="009372FB" w14:paraId="5F7A2B77"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73"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7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7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-0.424</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7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[-0.913, 0.012]</w:t>
            </w:r>
          </w:p>
        </w:tc>
      </w:tr>
      <w:tr w:rsidR="009372FB" w14:paraId="5F7A2B7C"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78"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7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7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-0.300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7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[-0.806, 0.188]</w:t>
            </w:r>
          </w:p>
        </w:tc>
      </w:tr>
      <w:tr w:rsidR="009372FB" w14:paraId="5F7A2B81"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7D"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7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7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0.893</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8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[-1.758, 3.743]</w:t>
            </w:r>
          </w:p>
        </w:tc>
      </w:tr>
      <w:tr w:rsidR="009372FB" w14:paraId="5F7A2B86"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82"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8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8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2.062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8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[-0.443, 4.837]</w:t>
            </w:r>
          </w:p>
        </w:tc>
      </w:tr>
      <w:tr w:rsidR="009372FB" w14:paraId="5F7A2B8B"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87"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8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8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0.596</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8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[-2.230, 3.480]</w:t>
            </w:r>
          </w:p>
        </w:tc>
      </w:tr>
      <w:tr w:rsidR="009372FB" w14:paraId="5F7A2B90"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8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mass</w:t>
            </w:r>
          </w:p>
        </w:tc>
        <w:tc>
          <w:tcPr>
            <w:tcW w:w="240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8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8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5.066</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8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[4.602, 5.542]</w:t>
            </w:r>
          </w:p>
        </w:tc>
      </w:tr>
      <w:tr w:rsidR="009372FB" w14:paraId="5F7A2B95"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91"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9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b_food_ingested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9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0.060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9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[0.031, 0.088]</w:t>
            </w:r>
          </w:p>
        </w:tc>
      </w:tr>
      <w:tr w:rsidR="009372FB" w14:paraId="5F7A2B9A"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96"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9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9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0.128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9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[-0.537, 0.758]</w:t>
            </w:r>
          </w:p>
        </w:tc>
      </w:tr>
      <w:tr w:rsidR="009372FB" w14:paraId="5F7A2B9F"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9B"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9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9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-0.263</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9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[-0.934, 0.407]</w:t>
            </w:r>
          </w:p>
        </w:tc>
      </w:tr>
      <w:tr w:rsidR="009372FB" w14:paraId="5F7A2BA4" w14:textId="77777777">
        <w:trPr>
          <w:jc w:val="center"/>
        </w:trPr>
        <w:tc>
          <w:tcPr>
            <w:tcW w:w="12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A0"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4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A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b_trtControlMHot</w:t>
            </w:r>
          </w:p>
        </w:tc>
        <w:tc>
          <w:tcPr>
            <w:tcW w:w="102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A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-0.082</w:t>
            </w:r>
          </w:p>
        </w:tc>
        <w:tc>
          <w:tcPr>
            <w:tcW w:w="16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A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[-0.749, 0.536]</w:t>
            </w:r>
          </w:p>
        </w:tc>
      </w:tr>
    </w:tbl>
    <w:p w14:paraId="5F7A2BA5" w14:textId="77777777" w:rsidR="009372FB" w:rsidRDefault="00704D3E">
      <w:r>
        <w:br w:type="page"/>
      </w:r>
    </w:p>
    <w:p w14:paraId="5F7A2BA6" w14:textId="77777777" w:rsidR="009372FB" w:rsidRDefault="00704D3E">
      <w:pPr>
        <w:pStyle w:val="BodyText"/>
      </w:pPr>
      <w:r>
        <w:rPr>
          <w:i/>
          <w:iCs/>
        </w:rPr>
        <w:lastRenderedPageBreak/>
        <w:t>Table S6. Estimates of each predictor for each variable modelled for L. guichenoti. 95% Highest Density Intervals (95% HPDI) test the hypothesis that the estimates are different from zero.</w:t>
      </w:r>
    </w:p>
    <w:tbl>
      <w:tblPr>
        <w:tblW w:w="0" w:type="auto"/>
        <w:jc w:val="center"/>
        <w:tblLayout w:type="fixed"/>
        <w:tblLook w:val="0420" w:firstRow="1" w:lastRow="0" w:firstColumn="0" w:lastColumn="0" w:noHBand="0" w:noVBand="1"/>
      </w:tblPr>
      <w:tblGrid>
        <w:gridCol w:w="1277"/>
        <w:gridCol w:w="2233"/>
        <w:gridCol w:w="1022"/>
        <w:gridCol w:w="1677"/>
      </w:tblGrid>
      <w:tr w:rsidR="009372FB" w14:paraId="5F7A2BAB" w14:textId="77777777">
        <w:trPr>
          <w:tblHeader/>
          <w:jc w:val="center"/>
        </w:trPr>
        <w:tc>
          <w:tcPr>
            <w:tcW w:w="12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A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Variable</w:t>
            </w:r>
          </w:p>
        </w:tc>
        <w:tc>
          <w:tcPr>
            <w:tcW w:w="223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A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Predictor</w:t>
            </w:r>
          </w:p>
        </w:tc>
        <w:tc>
          <w:tcPr>
            <w:tcW w:w="10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A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Median</w:t>
            </w:r>
          </w:p>
        </w:tc>
        <w:tc>
          <w:tcPr>
            <w:tcW w:w="16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BA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CI</w:t>
            </w:r>
          </w:p>
        </w:tc>
      </w:tr>
      <w:tr w:rsidR="009372FB" w14:paraId="5F7A2BB0" w14:textId="77777777">
        <w:trPr>
          <w:jc w:val="center"/>
        </w:trPr>
        <w:tc>
          <w:tcPr>
            <w:tcW w:w="12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A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move</w:t>
            </w:r>
          </w:p>
        </w:tc>
        <w:tc>
          <w:tcPr>
            <w:tcW w:w="223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A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b_Intercept</w:t>
            </w:r>
          </w:p>
        </w:tc>
        <w:tc>
          <w:tcPr>
            <w:tcW w:w="10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A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3.192</w:t>
            </w:r>
          </w:p>
        </w:tc>
        <w:tc>
          <w:tcPr>
            <w:tcW w:w="16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A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[2.382, 4.026]</w:t>
            </w:r>
          </w:p>
        </w:tc>
      </w:tr>
      <w:tr w:rsidR="009372FB" w14:paraId="5F7A2BB5"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B1"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B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B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B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[-0.161, 0.142]</w:t>
            </w:r>
          </w:p>
        </w:tc>
      </w:tr>
      <w:tr w:rsidR="009372FB" w14:paraId="5F7A2BBA"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B6"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B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B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-0.066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B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[-0.263, 0.132]</w:t>
            </w:r>
          </w:p>
        </w:tc>
      </w:tr>
      <w:tr w:rsidR="009372FB" w14:paraId="5F7A2BBF"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BB"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B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B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-0.102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B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[-0.303, 0.089]</w:t>
            </w:r>
          </w:p>
        </w:tc>
      </w:tr>
      <w:tr w:rsidR="009372FB" w14:paraId="5F7A2BC4"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C0"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C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C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0.017</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C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[-0.183, 0.217]</w:t>
            </w:r>
          </w:p>
        </w:tc>
      </w:tr>
      <w:tr w:rsidR="009372FB" w14:paraId="5F7A2BC9"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C5"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C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C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0.957</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C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[-0.135, 2.027]</w:t>
            </w:r>
          </w:p>
        </w:tc>
      </w:tr>
      <w:tr w:rsidR="009372FB" w14:paraId="5F7A2BCE"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CA"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C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C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0.705</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C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[-0.357, 1.752]</w:t>
            </w:r>
          </w:p>
        </w:tc>
      </w:tr>
      <w:tr w:rsidR="009372FB" w14:paraId="5F7A2BD3"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CF"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D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D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0.107</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D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[-0.956, 1.209]</w:t>
            </w:r>
          </w:p>
        </w:tc>
      </w:tr>
      <w:tr w:rsidR="009372FB" w14:paraId="5F7A2BD8"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D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shelter</w:t>
            </w:r>
          </w:p>
        </w:tc>
        <w:tc>
          <w:tcPr>
            <w:tcW w:w="223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D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D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4.133</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D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[3.162, 5.073]</w:t>
            </w:r>
          </w:p>
        </w:tc>
      </w:tr>
      <w:tr w:rsidR="009372FB" w14:paraId="5F7A2BDD"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D9"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D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D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D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[-0.136, 0.208]</w:t>
            </w:r>
          </w:p>
        </w:tc>
      </w:tr>
      <w:tr w:rsidR="009372FB" w14:paraId="5F7A2BE2"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DE"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D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E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-0.147</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E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[-0.364, 0.084]</w:t>
            </w:r>
          </w:p>
        </w:tc>
      </w:tr>
      <w:tr w:rsidR="009372FB" w14:paraId="5F7A2BE7"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E3"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E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E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0.009</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E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[-0.205, 0.230]</w:t>
            </w:r>
          </w:p>
        </w:tc>
      </w:tr>
      <w:tr w:rsidR="009372FB" w14:paraId="5F7A2BEC"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E8"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E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E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-0.012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E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[-0.230, 0.218]</w:t>
            </w:r>
          </w:p>
        </w:tc>
      </w:tr>
      <w:tr w:rsidR="009372FB" w14:paraId="5F7A2BF1"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ED"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E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E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0.741</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F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[-0.502, 1.937]</w:t>
            </w:r>
          </w:p>
        </w:tc>
      </w:tr>
      <w:tr w:rsidR="009372FB" w14:paraId="5F7A2BF6"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F2"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F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F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-0.124</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F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[-1.357, 1.083]</w:t>
            </w:r>
          </w:p>
        </w:tc>
      </w:tr>
      <w:tr w:rsidR="009372FB" w14:paraId="5F7A2BFB"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F7"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F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F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0.037</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BF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[-1.157, 1.239]</w:t>
            </w:r>
          </w:p>
        </w:tc>
      </w:tr>
      <w:tr w:rsidR="009372FB" w14:paraId="5F7A2C00"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F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emergence</w:t>
            </w:r>
          </w:p>
        </w:tc>
        <w:tc>
          <w:tcPr>
            <w:tcW w:w="223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F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F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1.902</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BF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[-0.499, 4.343]</w:t>
            </w:r>
          </w:p>
        </w:tc>
      </w:tr>
      <w:tr w:rsidR="009372FB" w14:paraId="5F7A2C05"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01"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0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0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-0.037</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0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[-0.353, 0.272]</w:t>
            </w:r>
          </w:p>
        </w:tc>
      </w:tr>
      <w:tr w:rsidR="009372FB" w14:paraId="5F7A2C0A"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06"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0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0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0.126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0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[-0.307, 0.549]</w:t>
            </w:r>
          </w:p>
        </w:tc>
      </w:tr>
      <w:tr w:rsidR="009372FB" w14:paraId="5F7A2C0F"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0B"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0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0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0.095</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0E"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[-0.313, 0.502]</w:t>
            </w:r>
          </w:p>
        </w:tc>
      </w:tr>
      <w:tr w:rsidR="009372FB" w14:paraId="5F7A2C14"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10"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1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1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0.288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13"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[-0.115, 0.687]</w:t>
            </w:r>
          </w:p>
        </w:tc>
      </w:tr>
      <w:tr w:rsidR="009372FB" w14:paraId="5F7A2C19"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15"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1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1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-1.694</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18"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[-4.859, 1.283]</w:t>
            </w:r>
          </w:p>
        </w:tc>
      </w:tr>
      <w:tr w:rsidR="009372FB" w14:paraId="5F7A2C1E"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1A"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1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1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-3.261</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1D"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[-6.514, -0.242]</w:t>
            </w:r>
          </w:p>
        </w:tc>
      </w:tr>
      <w:tr w:rsidR="009372FB" w14:paraId="5F7A2C23"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C1F"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C2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C2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-3.328</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7A2C22"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[-6.361, -0.289]</w:t>
            </w:r>
          </w:p>
        </w:tc>
      </w:tr>
      <w:tr w:rsidR="009372FB" w14:paraId="5F7A2C28"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2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mass</w:t>
            </w:r>
          </w:p>
        </w:tc>
        <w:tc>
          <w:tcPr>
            <w:tcW w:w="223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2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2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5.295</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27"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[5.109, 5.486]</w:t>
            </w:r>
          </w:p>
        </w:tc>
      </w:tr>
      <w:tr w:rsidR="009372FB" w14:paraId="5F7A2C2D"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29"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2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b/>
                <w:color w:val="000000"/>
                <w:sz w:val="20"/>
                <w:szCs w:val="20"/>
              </w:rPr>
            </w:pPr>
            <w:r>
              <w:rPr>
                <w:rFonts w:ascii="Times New Roman" w:eastAsia="Helvetica" w:hAnsi="Helvetica" w:cs="Helvetica"/>
                <w:b/>
                <w:color w:val="000000"/>
                <w:sz w:val="20"/>
                <w:szCs w:val="20"/>
              </w:rPr>
              <w:t>b_food_ingested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2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0.029</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2C"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b/>
                <w:color w:val="000000"/>
                <w:sz w:val="20"/>
                <w:szCs w:val="20"/>
              </w:rPr>
            </w:pPr>
            <w:r>
              <w:rPr>
                <w:rFonts w:ascii="Times New Roman" w:eastAsia="Helvetica" w:hAnsi="Helvetica" w:cs="Helvetica"/>
                <w:b/>
                <w:color w:val="000000"/>
                <w:sz w:val="20"/>
                <w:szCs w:val="20"/>
              </w:rPr>
              <w:t>[0.020, 0.039]</w:t>
            </w:r>
          </w:p>
        </w:tc>
      </w:tr>
      <w:tr w:rsidR="009372FB" w14:paraId="5F7A2C32"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2E"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2F"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30"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-0.193</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31"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[-0.440, 0.042]</w:t>
            </w:r>
          </w:p>
        </w:tc>
      </w:tr>
      <w:tr w:rsidR="009372FB" w14:paraId="5F7A2C37"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33"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34"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35"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-0.176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2C36"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[-0.427, 0.050]</w:t>
            </w:r>
          </w:p>
        </w:tc>
      </w:tr>
      <w:tr w:rsidR="009372FB" w14:paraId="5F7A2C3C" w14:textId="77777777">
        <w:trPr>
          <w:jc w:val="center"/>
        </w:trPr>
        <w:tc>
          <w:tcPr>
            <w:tcW w:w="12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C38" w14:textId="77777777" w:rsidR="009372FB" w:rsidRDefault="009372FB">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p>
        </w:tc>
        <w:tc>
          <w:tcPr>
            <w:tcW w:w="223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C39"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Helvetica" w:cs="Helvetica"/>
                <w:color w:val="000000"/>
                <w:sz w:val="20"/>
                <w:szCs w:val="20"/>
              </w:rPr>
            </w:pPr>
            <w:r>
              <w:rPr>
                <w:rFonts w:ascii="Times New Roman" w:eastAsia="Helvetica" w:hAnsi="Helvetica" w:cs="Helvetica"/>
                <w:color w:val="000000"/>
                <w:sz w:val="20"/>
                <w:szCs w:val="20"/>
              </w:rPr>
              <w:t>b_trtControlMHot</w:t>
            </w:r>
          </w:p>
        </w:tc>
        <w:tc>
          <w:tcPr>
            <w:tcW w:w="102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C3A"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0.002</w:t>
            </w:r>
          </w:p>
        </w:tc>
        <w:tc>
          <w:tcPr>
            <w:tcW w:w="16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7A2C3B" w14:textId="77777777" w:rsidR="009372FB" w:rsidRDefault="00704D3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Helvetica" w:cs="Helvetica"/>
                <w:color w:val="000000"/>
                <w:sz w:val="20"/>
                <w:szCs w:val="20"/>
              </w:rPr>
            </w:pPr>
            <w:r>
              <w:rPr>
                <w:rFonts w:ascii="Times New Roman" w:eastAsia="Helvetica" w:hAnsi="Helvetica" w:cs="Helvetica"/>
                <w:color w:val="000000"/>
                <w:sz w:val="20"/>
                <w:szCs w:val="20"/>
              </w:rPr>
              <w:t>[-0.251, 0.243]</w:t>
            </w:r>
          </w:p>
        </w:tc>
      </w:tr>
    </w:tbl>
    <w:p w14:paraId="5F7A2C3D" w14:textId="77777777" w:rsidR="009372FB" w:rsidRDefault="00704D3E">
      <w:r>
        <w:br w:type="page"/>
      </w:r>
    </w:p>
    <w:p w14:paraId="5F7A2C3E" w14:textId="77777777" w:rsidR="009372FB" w:rsidRDefault="00704D3E">
      <w:pPr>
        <w:pStyle w:val="Bibliography"/>
      </w:pPr>
      <w:bookmarkStart w:id="19" w:name="ref-bezzina2014does"/>
      <w:bookmarkStart w:id="20" w:name="refs"/>
      <w:r>
        <w:lastRenderedPageBreak/>
        <w:t xml:space="preserve">Bezzina, C. N., Amiel, J. J., &amp; Shine, R. (2014). Does invasion success reflect superior cognitive ability? A case study of two congeneric lizard species (lampropholis, scincidae). </w:t>
      </w:r>
      <w:r>
        <w:rPr>
          <w:i/>
          <w:iCs/>
        </w:rPr>
        <w:t>PLoS One</w:t>
      </w:r>
      <w:r>
        <w:t xml:space="preserve">, </w:t>
      </w:r>
      <w:r>
        <w:rPr>
          <w:i/>
          <w:iCs/>
        </w:rPr>
        <w:t>9</w:t>
      </w:r>
      <w:r>
        <w:t>(1), e86271.</w:t>
      </w:r>
    </w:p>
    <w:p w14:paraId="5F7A2C3F" w14:textId="77777777" w:rsidR="009372FB" w:rsidRDefault="00704D3E">
      <w:pPr>
        <w:pStyle w:val="Bibliography"/>
      </w:pPr>
      <w:bookmarkStart w:id="21" w:name="ref-burkner2017brms"/>
      <w:bookmarkEnd w:id="19"/>
      <w:r>
        <w:t xml:space="preserve">Bürkner, P.-C. (2017). Brms: An r package for bayesian multilevel models using stan. </w:t>
      </w:r>
      <w:r>
        <w:rPr>
          <w:i/>
          <w:iCs/>
        </w:rPr>
        <w:t>Journal of Statistical Software</w:t>
      </w:r>
      <w:r>
        <w:t xml:space="preserve">, </w:t>
      </w:r>
      <w:r>
        <w:rPr>
          <w:i/>
          <w:iCs/>
        </w:rPr>
        <w:t>80</w:t>
      </w:r>
      <w:r>
        <w:t>, 1–28.</w:t>
      </w:r>
    </w:p>
    <w:p w14:paraId="5F7A2C40" w14:textId="77777777" w:rsidR="009372FB" w:rsidRDefault="00704D3E">
      <w:pPr>
        <w:pStyle w:val="Bibliography"/>
      </w:pPr>
      <w:bookmarkStart w:id="22" w:name="ref-chapple_biology_2014"/>
      <w:bookmarkEnd w:id="21"/>
      <w:r>
        <w:t xml:space="preserve">Chapple, D. G., Miller, K. A., Chaplin, K., Barnett, L., Thompson, M. B., &amp; Bray, R. D. (2014). Biology of the invasive delicate skink (Lampropholis delicata) on Lord Howe Island. </w:t>
      </w:r>
      <w:r>
        <w:rPr>
          <w:i/>
          <w:iCs/>
        </w:rPr>
        <w:t>Australian Journal of Zoology</w:t>
      </w:r>
      <w:r>
        <w:t xml:space="preserve">, </w:t>
      </w:r>
      <w:r>
        <w:rPr>
          <w:i/>
          <w:iCs/>
        </w:rPr>
        <w:t>62</w:t>
      </w:r>
      <w:r>
        <w:t xml:space="preserve">(6), 498. </w:t>
      </w:r>
      <w:hyperlink r:id="rId11">
        <w:r>
          <w:rPr>
            <w:rStyle w:val="Hyperlink"/>
          </w:rPr>
          <w:t>https://doi.org/10.1071/ZO14098</w:t>
        </w:r>
      </w:hyperlink>
    </w:p>
    <w:p w14:paraId="5F7A2C41" w14:textId="77777777" w:rsidR="009372FB" w:rsidRDefault="00704D3E">
      <w:pPr>
        <w:pStyle w:val="Bibliography"/>
      </w:pPr>
      <w:bookmarkStart w:id="23" w:name="ref-chapple_know_2011"/>
      <w:bookmarkEnd w:id="22"/>
      <w:r>
        <w:t xml:space="preserve">Chapple, D. G., Simmonds, S. M., &amp; Wong, B. B. M. (2011). Know when to run, know when to hide: Can behavioral differences explain the divergent invasion success of two sympatric lizards?: Invasion Success of Two Sympatric Lizards. </w:t>
      </w:r>
      <w:r>
        <w:rPr>
          <w:i/>
          <w:iCs/>
        </w:rPr>
        <w:t>Ecology and Evolution</w:t>
      </w:r>
      <w:r>
        <w:t xml:space="preserve">, </w:t>
      </w:r>
      <w:r>
        <w:rPr>
          <w:i/>
          <w:iCs/>
        </w:rPr>
        <w:t>1</w:t>
      </w:r>
      <w:r>
        <w:t xml:space="preserve">(3), 278–289. </w:t>
      </w:r>
      <w:hyperlink r:id="rId12">
        <w:r>
          <w:rPr>
            <w:rStyle w:val="Hyperlink"/>
          </w:rPr>
          <w:t>https://doi.org/10.1002/ece3.22</w:t>
        </w:r>
      </w:hyperlink>
    </w:p>
    <w:p w14:paraId="5F7A2C42" w14:textId="77777777" w:rsidR="009372FB" w:rsidRDefault="00704D3E">
      <w:pPr>
        <w:pStyle w:val="Bibliography"/>
      </w:pPr>
      <w:bookmarkStart w:id="24" w:name="ref-cheetham2011embryonic"/>
      <w:bookmarkEnd w:id="23"/>
      <w:r>
        <w:t xml:space="preserve">Cheetham, E., Doody, J. S., Stewart, B., &amp; Harlow, P. (2011). Embryonic mortality as a cost of communal nesting in the delicate skink. </w:t>
      </w:r>
      <w:r>
        <w:rPr>
          <w:i/>
          <w:iCs/>
        </w:rPr>
        <w:t>Journal of Zoology</w:t>
      </w:r>
      <w:r>
        <w:t xml:space="preserve">, </w:t>
      </w:r>
      <w:r>
        <w:rPr>
          <w:i/>
          <w:iCs/>
        </w:rPr>
        <w:t>283</w:t>
      </w:r>
      <w:r>
        <w:t>(4), 234–242. https://doi.org/</w:t>
      </w:r>
      <w:hyperlink r:id="rId13">
        <w:r>
          <w:rPr>
            <w:rStyle w:val="Hyperlink"/>
          </w:rPr>
          <w:t>https://doi.org/10.1111/j.1469-7998.2010.00764.x</w:t>
        </w:r>
      </w:hyperlink>
    </w:p>
    <w:p w14:paraId="5F7A2C43" w14:textId="77777777" w:rsidR="009372FB" w:rsidRDefault="00704D3E">
      <w:pPr>
        <w:pStyle w:val="Bibliography"/>
      </w:pPr>
      <w:bookmarkStart w:id="25" w:name="ref-crino2024eggs"/>
      <w:bookmarkEnd w:id="24"/>
      <w:r>
        <w:t xml:space="preserve">Crino, O. L., Wild, K. H., Friesen, C. R., Leibold, D., Laven, N., Peardon, A. Y., Recio, P., Salin, K., &amp; Noble, D. W. (2024). From eggs to adulthood: Sustained effects of early developmental temperature and corticosterone exposure on physiology and body size in an australian lizard. </w:t>
      </w:r>
      <w:r>
        <w:rPr>
          <w:i/>
          <w:iCs/>
        </w:rPr>
        <w:t>Journal of Experimental Biology</w:t>
      </w:r>
      <w:r>
        <w:t xml:space="preserve">, </w:t>
      </w:r>
      <w:r>
        <w:rPr>
          <w:i/>
          <w:iCs/>
        </w:rPr>
        <w:t>227</w:t>
      </w:r>
      <w:r>
        <w:t>(24).</w:t>
      </w:r>
    </w:p>
    <w:p w14:paraId="5F7A2C44" w14:textId="77777777" w:rsidR="009372FB" w:rsidRDefault="00704D3E">
      <w:pPr>
        <w:pStyle w:val="Bibliography"/>
      </w:pPr>
      <w:bookmarkStart w:id="26" w:name="ref-koolhaas1999coping"/>
      <w:bookmarkEnd w:id="25"/>
      <w:r>
        <w:t xml:space="preserve">Koolhaas, J., Korte, S., De Boer, S., Van Der Vegt, B., Van Reenen, C., Hopster, H., De Jong, I., Ruis, M., &amp; Blokhuis, H. (1999). Coping styles in animals: Current status in behavior and stress-physiology. </w:t>
      </w:r>
      <w:r>
        <w:rPr>
          <w:i/>
          <w:iCs/>
        </w:rPr>
        <w:t>Neuroscience &amp; Biobehavioral Reviews</w:t>
      </w:r>
      <w:r>
        <w:t xml:space="preserve">, </w:t>
      </w:r>
      <w:r>
        <w:rPr>
          <w:i/>
          <w:iCs/>
        </w:rPr>
        <w:t>23</w:t>
      </w:r>
      <w:r>
        <w:t>(7), 925–935.</w:t>
      </w:r>
    </w:p>
    <w:p w14:paraId="5F7A2C45" w14:textId="77777777" w:rsidR="009372FB" w:rsidRDefault="00704D3E">
      <w:pPr>
        <w:pStyle w:val="Bibliography"/>
      </w:pPr>
      <w:bookmarkStart w:id="27" w:name="ref-R"/>
      <w:bookmarkEnd w:id="26"/>
      <w:r>
        <w:t xml:space="preserve">R Core Team. (2021). </w:t>
      </w:r>
      <w:r>
        <w:rPr>
          <w:i/>
          <w:iCs/>
        </w:rPr>
        <w:t>R: A language and environment for statistical computing</w:t>
      </w:r>
      <w:r>
        <w:t xml:space="preserve">. R Foundation for Statistical Computing. </w:t>
      </w:r>
      <w:hyperlink r:id="rId14">
        <w:r>
          <w:rPr>
            <w:rStyle w:val="Hyperlink"/>
          </w:rPr>
          <w:t>https://www.R-project.org/</w:t>
        </w:r>
      </w:hyperlink>
    </w:p>
    <w:p w14:paraId="5F7A2C46" w14:textId="77777777" w:rsidR="009372FB" w:rsidRDefault="00704D3E">
      <w:pPr>
        <w:pStyle w:val="Bibliography"/>
      </w:pPr>
      <w:bookmarkStart w:id="28" w:name="ref-recio2025early"/>
      <w:bookmarkEnd w:id="27"/>
      <w:r>
        <w:t xml:space="preserve">Recio, P., Leibold, D. C., Crino, O. L., Wild, K. H., Friesen, C. R., Mauclaire, B., Peardon, A. Y., &amp; Noble, D. W. (2025). Early environmental conditions do not impact behavioural flexibility in an invasive and noninvasive lizard species. </w:t>
      </w:r>
      <w:r>
        <w:rPr>
          <w:i/>
          <w:iCs/>
        </w:rPr>
        <w:t>Animal Behaviour</w:t>
      </w:r>
      <w:r>
        <w:t>, 123106.</w:t>
      </w:r>
    </w:p>
    <w:p w14:paraId="5F7A2C47" w14:textId="77777777" w:rsidR="009372FB" w:rsidRDefault="00704D3E">
      <w:pPr>
        <w:pStyle w:val="Bibliography"/>
      </w:pPr>
      <w:bookmarkStart w:id="29" w:name="ref-stan"/>
      <w:bookmarkEnd w:id="28"/>
      <w:r>
        <w:t xml:space="preserve">Stan Development Team. (2024). </w:t>
      </w:r>
      <w:r>
        <w:rPr>
          <w:i/>
          <w:iCs/>
        </w:rPr>
        <w:t>RStan: The R interface to Stan</w:t>
      </w:r>
      <w:r>
        <w:t xml:space="preserve">. </w:t>
      </w:r>
      <w:hyperlink r:id="rId15">
        <w:r>
          <w:rPr>
            <w:rStyle w:val="Hyperlink"/>
          </w:rPr>
          <w:t>https://mc-stan.org/</w:t>
        </w:r>
      </w:hyperlink>
    </w:p>
    <w:bookmarkEnd w:id="29"/>
    <w:bookmarkEnd w:id="20"/>
    <w:bookmarkEnd w:id="18"/>
    <w:sectPr w:rsidR="009372F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7A2C54" w14:textId="77777777" w:rsidR="00704D3E" w:rsidRDefault="00704D3E">
      <w:pPr>
        <w:spacing w:after="0"/>
      </w:pPr>
      <w:r>
        <w:separator/>
      </w:r>
    </w:p>
  </w:endnote>
  <w:endnote w:type="continuationSeparator" w:id="0">
    <w:p w14:paraId="5F7A2C56" w14:textId="77777777" w:rsidR="00704D3E" w:rsidRDefault="00704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7A2C50" w14:textId="77777777" w:rsidR="009372FB" w:rsidRDefault="00704D3E">
      <w:r>
        <w:separator/>
      </w:r>
    </w:p>
  </w:footnote>
  <w:footnote w:type="continuationSeparator" w:id="0">
    <w:p w14:paraId="5F7A2C51" w14:textId="77777777" w:rsidR="009372FB" w:rsidRDefault="00704D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73AE2BB2"/>
    <w:multiLevelType w:val="multilevel"/>
    <w:tmpl w:val="13761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516428471">
    <w:abstractNumId w:val="10"/>
  </w:num>
  <w:num w:numId="73" w16cid:durableId="18381109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2FB"/>
    <w:rsid w:val="00704D3E"/>
    <w:rsid w:val="009372FB"/>
    <w:rsid w:val="00FA65C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7A2901"/>
  <w15:docId w15:val="{C5149F14-D686-A942-8389-8AC9F12D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rsid w:val="00956185"/>
    <w:rPr>
      <w:rFonts w:ascii="Times New Roman" w:hAnsi="Times New Roman"/>
    </w:rPr>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956185"/>
  </w:style>
  <w:style w:type="paragraph" w:styleId="NormalWeb">
    <w:name w:val="Normal (Web)"/>
    <w:basedOn w:val="Normal"/>
    <w:uiPriority w:val="99"/>
    <w:semiHidden/>
    <w:unhideWhenUsed/>
    <w:rsid w:val="00704D3E"/>
    <w:pPr>
      <w:spacing w:before="100" w:beforeAutospacing="1" w:after="100" w:afterAutospacing="1"/>
    </w:pPr>
    <w:rPr>
      <w:rFonts w:ascii="Times New Roman" w:eastAsia="Times New Roman" w:hAnsi="Times New Roman" w:cs="Times New Roman"/>
      <w:lang w:val="en-AU" w:eastAsia="en-GB"/>
    </w:rPr>
  </w:style>
  <w:style w:type="character" w:styleId="Strong">
    <w:name w:val="Strong"/>
    <w:basedOn w:val="DefaultParagraphFont"/>
    <w:uiPriority w:val="22"/>
    <w:qFormat/>
    <w:rsid w:val="00704D3E"/>
    <w:rPr>
      <w:b/>
      <w:bCs/>
    </w:rPr>
  </w:style>
  <w:style w:type="character" w:styleId="Emphasis">
    <w:name w:val="Emphasis"/>
    <w:basedOn w:val="DefaultParagraphFont"/>
    <w:uiPriority w:val="20"/>
    <w:qFormat/>
    <w:rsid w:val="00704D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59805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11/j.1469-7998.2010.00764.x"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002/ece3.22"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71/ZO14098" TargetMode="External"/><Relationship Id="rId5" Type="http://schemas.openxmlformats.org/officeDocument/2006/relationships/footnotes" Target="footnotes.xml"/><Relationship Id="rId15" Type="http://schemas.openxmlformats.org/officeDocument/2006/relationships/hyperlink" Target="https://mc-stan.or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4551</Words>
  <Characters>25945</Characters>
  <Application>Microsoft Office Word</Application>
  <DocSecurity>0</DocSecurity>
  <Lines>216</Lines>
  <Paragraphs>60</Paragraphs>
  <ScaleCrop>false</ScaleCrop>
  <Company/>
  <LinksUpToDate>false</LinksUpToDate>
  <CharactersWithSpaces>30436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prenatal CORT and temperature on the response to a stressor</dc:title>
  <dc:creator/>
  <cp:keywords/>
  <cp:lastModifiedBy>Pablo Recio Santiago</cp:lastModifiedBy>
  <cp:revision>2</cp:revision>
  <dcterms:created xsi:type="dcterms:W3CDTF">2025-07-07T05:48:00Z</dcterms:created>
  <dcterms:modified xsi:type="dcterms:W3CDTF">2025-07-07T06:25:00Z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./bib/animal-behaviour.csl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