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50F5F" w14:textId="77777777" w:rsidR="00C66620" w:rsidRPr="00D10D64" w:rsidRDefault="00000000" w:rsidP="00D10D64">
      <w:pPr>
        <w:pStyle w:val="Title"/>
        <w:spacing w:before="0" w:after="0" w:line="480" w:lineRule="auto"/>
        <w:rPr>
          <w:sz w:val="32"/>
          <w:szCs w:val="32"/>
        </w:rPr>
      </w:pPr>
      <w:r w:rsidRPr="00D10D64">
        <w:rPr>
          <w:sz w:val="32"/>
          <w:szCs w:val="32"/>
        </w:rPr>
        <w:t>Early environmental conditions do not impact associative learning in two species of skink</w:t>
      </w:r>
    </w:p>
    <w:p w14:paraId="6B5B5307" w14:textId="77777777" w:rsidR="00C66620" w:rsidRDefault="00000000" w:rsidP="00D10D64">
      <w:pPr>
        <w:pStyle w:val="FirstParagraph"/>
        <w:spacing w:line="480" w:lineRule="auto"/>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298D1121" w14:textId="77777777" w:rsidR="00C66620" w:rsidRDefault="00000000" w:rsidP="00D10D64">
      <w:pPr>
        <w:pStyle w:val="BodyText"/>
        <w:spacing w:line="480" w:lineRule="auto"/>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23D6F3E2" w14:textId="77777777" w:rsidR="00C66620" w:rsidRDefault="00000000" w:rsidP="00D10D64">
      <w:pPr>
        <w:pStyle w:val="BodyText"/>
        <w:spacing w:line="480" w:lineRule="auto"/>
      </w:pPr>
      <w:r>
        <w:t>ORCID:</w:t>
      </w:r>
    </w:p>
    <w:p w14:paraId="0856F73A" w14:textId="77777777" w:rsidR="00C66620" w:rsidRDefault="00000000" w:rsidP="00D10D64">
      <w:pPr>
        <w:pStyle w:val="BodyText"/>
        <w:spacing w:line="480" w:lineRule="auto"/>
      </w:pPr>
      <w:r>
        <w:t>Pablo Recio ORCID: 0000-0002-5890-0218</w:t>
      </w:r>
      <w:r>
        <w:br/>
        <w:t>Dalton C. Leibold ORCID: 0000-0001-9645-2033</w:t>
      </w:r>
      <w:r>
        <w:br/>
        <w:t>Ondi L. Crino ORCID: 0000-0001-5700-1387</w:t>
      </w:r>
      <w:r>
        <w:br/>
        <w:t>Kristoffer H. Wild ORCID: 0000-0001-6714-3311</w:t>
      </w:r>
      <w:r>
        <w:br/>
        <w:t>Chris Friesen ORCID: 0000-0001-5338-7454</w:t>
      </w:r>
      <w:r>
        <w:br/>
        <w:t>Basile Mauclaire ORCID:</w:t>
      </w:r>
      <w:r>
        <w:br/>
        <w:t>Amelia Y. Peardon ORCID: 0009-0005-6227-8379</w:t>
      </w:r>
      <w:r>
        <w:br/>
        <w:t>Daniel W.A. Noble ORCID: 0000-0001-9460-8743</w:t>
      </w:r>
    </w:p>
    <w:p w14:paraId="0B57228C" w14:textId="77777777" w:rsidR="00C66620" w:rsidRDefault="00000000" w:rsidP="00D10D64">
      <w:pPr>
        <w:spacing w:line="480" w:lineRule="auto"/>
      </w:pPr>
      <w:r>
        <w:br w:type="page"/>
      </w:r>
    </w:p>
    <w:p w14:paraId="28D50A5C" w14:textId="77777777" w:rsidR="00C66620" w:rsidRDefault="00000000" w:rsidP="00D10D64">
      <w:pPr>
        <w:pStyle w:val="Heading2"/>
        <w:spacing w:line="480" w:lineRule="auto"/>
      </w:pPr>
      <w:bookmarkStart w:id="0" w:name="abstract"/>
      <w:r>
        <w:lastRenderedPageBreak/>
        <w:t>Abstract</w:t>
      </w:r>
    </w:p>
    <w:p w14:paraId="0FFB396D" w14:textId="0BA48558" w:rsidR="00C66620" w:rsidRDefault="00000000" w:rsidP="00D10D64">
      <w:pPr>
        <w:pStyle w:val="FirstParagraph"/>
        <w:spacing w:line="480" w:lineRule="auto"/>
      </w:pPr>
      <w:r>
        <w:t xml:space="preserve">Acquiring new information through learning is essential for animals to adjust their behaviour adaptively. However, animals’ abilities to learn can be constrained by the conditions experienced during early stages of development, when the brain is especially susceptible to environmental inputs. Temperature is a pervasive mechanism of phenotypic plasticity in ectotherms, exerting direct effects on growth, metabolism, or learning. In vertebrates, abrupt thermal changes can trigger an allostatic response, which is mediated by glucocorticoids - stress-related hormones - that can be transmitted to the offspring, potentially impacting their learning abilities. Thus, glucocorticoids and the thermal environment are predicted to have interactive effects on the development of learning functions in animals. Here, we investigated the combined consequences of corticosterone (CORT) and temperature elevations on learning in two species of lizards, </w:t>
      </w:r>
      <w:r>
        <w:rPr>
          <w:i/>
          <w:iCs/>
        </w:rPr>
        <w:t>Lampropholis delicata</w:t>
      </w:r>
      <w:r>
        <w:t xml:space="preserve"> and </w:t>
      </w:r>
      <w:r>
        <w:rPr>
          <w:i/>
          <w:iCs/>
        </w:rPr>
        <w:t>L. guichenoti</w:t>
      </w:r>
      <w:r>
        <w:t>. We manipulated prenatal CORT levels and incubation temperature in a 2x2 factorial design, and then subjected juveniles to a colour-associative learning task. In the learning task</w:t>
      </w:r>
      <w:ins w:id="1" w:author="Amelia Peardon" w:date="2024-09-08T11:22:00Z" w16du:dateUtc="2024-09-08T01:22:00Z">
        <w:r w:rsidR="002F5A6B">
          <w:t>,</w:t>
        </w:r>
      </w:ins>
      <w:r>
        <w:t xml:space="preserve"> lizards had to associate the attainability of a food item with the colour of the feeder. We perfomed 35 trials per individual and recorded whether lizards made the correct choice or not. In our analyses, we compared the rate of behavioural change over time (learning slopes) between treatments. We anticipated that elevated CORT and low temperatures would impair lizards’ performance. However, our results show that associative learning skills in these two species is robust to prenatal temperature and CORT. We also found a significant effect of the colour employed as the correct choice in our tests for </w:t>
      </w:r>
      <w:r>
        <w:rPr>
          <w:i/>
          <w:iCs/>
        </w:rPr>
        <w:t>L. delicata</w:t>
      </w:r>
      <w:r>
        <w:t>, underscoring the need to carefully select the color used in cognitive tests involving visual stimuli.</w:t>
      </w:r>
    </w:p>
    <w:p w14:paraId="33D6C172" w14:textId="77777777" w:rsidR="00C66620" w:rsidRDefault="00000000" w:rsidP="00D10D64">
      <w:pPr>
        <w:pStyle w:val="Heading2"/>
        <w:spacing w:line="480" w:lineRule="auto"/>
      </w:pPr>
      <w:bookmarkStart w:id="2" w:name="introduction"/>
      <w:bookmarkEnd w:id="0"/>
      <w:r>
        <w:lastRenderedPageBreak/>
        <w:t>Introduction</w:t>
      </w:r>
    </w:p>
    <w:p w14:paraId="50C80AC1" w14:textId="77777777" w:rsidR="00C66620" w:rsidRDefault="00000000" w:rsidP="00D10D64">
      <w:pPr>
        <w:pStyle w:val="FirstParagraph"/>
        <w:spacing w:line="480" w:lineRule="auto"/>
      </w:pPr>
      <w:r>
        <w:t>Cognition is defined as the processes by which animals gather, preserve, and use information from their environment through perception, learning, memory, and decision making (</w:t>
      </w:r>
      <w:hyperlink w:anchor="ref-shettleworth">
        <w:r>
          <w:rPr>
            <w:rStyle w:val="Hyperlink"/>
          </w:rPr>
          <w:t>Shettleworth 2010</w:t>
        </w:r>
      </w:hyperlink>
      <w:r>
        <w:t>). These cognitive processes are fundamental to foraging, mate selection, antipredatory strategies, and social behaviours, all of which are crucial for survival and reproduction (</w:t>
      </w:r>
      <w:hyperlink w:anchor="ref-dukas_evolutionary_2004">
        <w:r>
          <w:rPr>
            <w:rStyle w:val="Hyperlink"/>
          </w:rPr>
          <w:t>Dukas 2004</w:t>
        </w:r>
      </w:hyperlink>
      <w:r>
        <w:t>). Particularly, learning - the acquisition of new information (</w:t>
      </w:r>
      <w:hyperlink w:anchor="ref-dukas_evolutionary_2004">
        <w:r>
          <w:rPr>
            <w:rStyle w:val="Hyperlink"/>
          </w:rPr>
          <w:t>Dukas 2004</w:t>
        </w:r>
      </w:hyperlink>
      <w:r>
        <w:t>) - is essential for coping with environmental changes by enabling individuals to create new associations between events (</w:t>
      </w:r>
      <w:hyperlink w:anchor="ref-dukas_evolutionary_2004">
        <w:r>
          <w:rPr>
            <w:rStyle w:val="Hyperlink"/>
          </w:rPr>
          <w:t>Dukas 2004</w:t>
        </w:r>
      </w:hyperlink>
      <w:r>
        <w:t xml:space="preserve">; </w:t>
      </w:r>
      <w:hyperlink w:anchor="ref-leal_behavioural_2012">
        <w:r>
          <w:rPr>
            <w:rStyle w:val="Hyperlink"/>
          </w:rPr>
          <w:t>Leal and Powell 2012</w:t>
        </w:r>
      </w:hyperlink>
      <w:r>
        <w:t xml:space="preserve">; </w:t>
      </w:r>
      <w:hyperlink w:anchor="ref-buchanan_condition_2013">
        <w:r>
          <w:rPr>
            <w:rStyle w:val="Hyperlink"/>
          </w:rPr>
          <w:t>Buchanan et al. 2013</w:t>
        </w:r>
      </w:hyperlink>
      <w:r>
        <w:t xml:space="preserve">). Allowing animals to </w:t>
      </w:r>
      <w:commentRangeStart w:id="3"/>
      <w:r>
        <w:t>adequate</w:t>
      </w:r>
      <w:commentRangeEnd w:id="3"/>
      <w:r w:rsidR="004E09BB">
        <w:rPr>
          <w:rStyle w:val="CommentReference"/>
          <w:rFonts w:asciiTheme="minorHAnsi" w:hAnsiTheme="minorHAnsi"/>
        </w:rPr>
        <w:commentReference w:id="3"/>
      </w:r>
      <w:r>
        <w:t xml:space="preserve"> their behavior to their conditions implies that learning can have cascading effects on population dynamics by influencing survival rates or reproductive success. However, the capacity to acquire information varies among individuals, shaped by factors such as age, sex, gut microbiota, and the developmental environment (</w:t>
      </w:r>
      <w:hyperlink w:anchor="ref-szuran_water_1994">
        <w:r>
          <w:rPr>
            <w:rStyle w:val="Hyperlink"/>
          </w:rPr>
          <w:t>Szuran et al. 1994</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amiel_egg_2014">
        <w:r>
          <w:rPr>
            <w:rStyle w:val="Hyperlink"/>
          </w:rPr>
          <w:t>Amiel et al. 2014</w:t>
        </w:r>
      </w:hyperlink>
      <w:r>
        <w:t xml:space="preserve">; </w:t>
      </w:r>
      <w:hyperlink w:anchor="ref-carazo_sex_2014">
        <w:r>
          <w:rPr>
            <w:rStyle w:val="Hyperlink"/>
          </w:rPr>
          <w:t>Carazo et al. 2014</w:t>
        </w:r>
      </w:hyperlink>
      <w:r>
        <w:t xml:space="preserve">; </w:t>
      </w:r>
      <w:hyperlink w:anchor="ref-noble_age-dependent_2014">
        <w:r>
          <w:rPr>
            <w:rStyle w:val="Hyperlink"/>
          </w:rPr>
          <w:t>Noble et al. 2014</w:t>
        </w:r>
      </w:hyperlink>
      <w:r>
        <w:t xml:space="preserve">; </w:t>
      </w:r>
      <w:hyperlink w:anchor="ref-alemohammad_2022_microbiota_learning">
        <w:r>
          <w:rPr>
            <w:rStyle w:val="Hyperlink"/>
          </w:rPr>
          <w:t>Alemohammad et al. 2022</w:t>
        </w:r>
      </w:hyperlink>
      <w:r>
        <w:t>). These variations can further affect population dynamics, as differences in learning ability may lead to unequal responses to environmental pressures. Therefore, understanding the factors that shape learning is crucial to predict how populations will respond to novel circumstances.</w:t>
      </w:r>
    </w:p>
    <w:p w14:paraId="25516DE0" w14:textId="16854A4E" w:rsidR="00C66620" w:rsidRDefault="00000000" w:rsidP="00D10D64">
      <w:pPr>
        <w:pStyle w:val="BodyText"/>
        <w:spacing w:line="480" w:lineRule="auto"/>
      </w:pPr>
      <w:commentRangeStart w:id="4"/>
      <w:r>
        <w:t xml:space="preserve">Developing conditions are especially </w:t>
      </w:r>
      <w:commentRangeEnd w:id="4"/>
      <w:r w:rsidR="004E09BB">
        <w:rPr>
          <w:rStyle w:val="CommentReference"/>
        </w:rPr>
        <w:commentReference w:id="4"/>
      </w:r>
      <w:r>
        <w:t>relevant in shaping learning abilities because the brain is highly susceptible to environmental inputs during early stages of development (</w:t>
      </w:r>
      <w:hyperlink w:anchor="ref-zhu_prenatal_2004">
        <w:r>
          <w:rPr>
            <w:rStyle w:val="Hyperlink"/>
          </w:rPr>
          <w:t>Zhu et al. 2004</w:t>
        </w:r>
      </w:hyperlink>
      <w:r>
        <w:t>). Impacts on brain development can have long-lasting effects on cognitive abilities, potentially influencing an individual’s ability to learn and adapt to new environments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abayarathna_effects_2020">
        <w:r>
          <w:rPr>
            <w:rStyle w:val="Hyperlink"/>
          </w:rPr>
          <w:t>Abayarathna and Webb 2020</w:t>
        </w:r>
      </w:hyperlink>
      <w:r>
        <w:t xml:space="preserve">). For instance, prenatal glucocorticoids (GCs) - hormones related to </w:t>
      </w:r>
      <w:r>
        <w:lastRenderedPageBreak/>
        <w:t>organisms’ response to allostasis (</w:t>
      </w:r>
      <w:hyperlink w:anchor="ref-sapolsky_how_2000">
        <w:r>
          <w:rPr>
            <w:rStyle w:val="Hyperlink"/>
          </w:rPr>
          <w:t>Sapolsky et al. 2000</w:t>
        </w:r>
      </w:hyperlink>
      <w:r>
        <w:t xml:space="preserve">) - and prenatal thermal environment are predicted to be important factors shaping learning abilities (see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crino_corticosterone_2014">
        <w:r>
          <w:rPr>
            <w:rStyle w:val="Hyperlink"/>
          </w:rPr>
          <w:t>Crino et al. 2014a</w:t>
        </w:r>
      </w:hyperlink>
      <w:r>
        <w:t xml:space="preserve">; </w:t>
      </w:r>
      <w:hyperlink w:anchor="ref-amiel_egg_2014">
        <w:r>
          <w:rPr>
            <w:rStyle w:val="Hyperlink"/>
          </w:rPr>
          <w:t>Amiel et al. 2014</w:t>
        </w:r>
      </w:hyperlink>
      <w:r>
        <w:t xml:space="preserve">; </w:t>
      </w:r>
      <w:hyperlink w:anchor="ref-abayarathna_effects_2020">
        <w:r>
          <w:rPr>
            <w:rStyle w:val="Hyperlink"/>
          </w:rPr>
          <w:t>Abayarathna and Webb 2020</w:t>
        </w:r>
      </w:hyperlink>
      <w:r>
        <w:t>). Elevating GCs during early stages of develo</w:t>
      </w:r>
      <w:ins w:id="5" w:author="Amelia Peardon" w:date="2024-09-08T11:37:00Z" w16du:dateUtc="2024-09-08T01:37:00Z">
        <w:r w:rsidR="002B26AF">
          <w:t>p</w:t>
        </w:r>
      </w:ins>
      <w:r>
        <w:t>ment is t</w:t>
      </w:r>
      <w:ins w:id="6" w:author="Amelia Peardon" w:date="2024-09-08T11:36:00Z" w16du:dateUtc="2024-09-08T01:36:00Z">
        <w:r w:rsidR="004E09BB">
          <w:t>y</w:t>
        </w:r>
      </w:ins>
      <w:del w:id="7" w:author="Amelia Peardon" w:date="2024-09-08T11:36:00Z" w16du:dateUtc="2024-09-08T01:36:00Z">
        <w:r w:rsidDel="004E09BB">
          <w:delText>i</w:delText>
        </w:r>
      </w:del>
      <w:r>
        <w:t xml:space="preserve">pically associated </w:t>
      </w:r>
      <w:del w:id="8" w:author="Amelia Peardon" w:date="2024-09-08T11:36:00Z" w16du:dateUtc="2024-09-08T01:36:00Z">
        <w:r w:rsidDel="0058608D">
          <w:delText xml:space="preserve">to </w:delText>
        </w:r>
      </w:del>
      <w:ins w:id="9" w:author="Amelia Peardon" w:date="2024-09-08T11:36:00Z" w16du:dateUtc="2024-09-08T01:36:00Z">
        <w:r w:rsidR="0058608D">
          <w:t xml:space="preserve">with </w:t>
        </w:r>
      </w:ins>
      <w:r>
        <w:t>learning impairments in different taxa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eaton2015mild">
        <w:r>
          <w:rPr>
            <w:rStyle w:val="Hyperlink"/>
          </w:rPr>
          <w:t>Eaton et al. 2015</w:t>
        </w:r>
      </w:hyperlink>
      <w:r>
        <w:t xml:space="preserve">; </w:t>
      </w:r>
      <w:hyperlink w:anchor="ref-farrell_developmental_2015-learn">
        <w:r>
          <w:rPr>
            <w:rStyle w:val="Hyperlink"/>
          </w:rPr>
          <w:t>Farrell et al. 2015</w:t>
        </w:r>
      </w:hyperlink>
      <w:r>
        <w:t>); but factors like sex or the nature of the learning task can affect the direction and magnitud</w:t>
      </w:r>
      <w:ins w:id="10" w:author="Amelia Peardon" w:date="2024-09-08T11:37:00Z" w16du:dateUtc="2024-09-08T01:37:00Z">
        <w:r w:rsidR="0035785F">
          <w:t>e</w:t>
        </w:r>
      </w:ins>
      <w:r>
        <w:t xml:space="preserve"> of these effects (</w:t>
      </w:r>
      <w:hyperlink w:anchor="ref-szuran_water_1994">
        <w:r>
          <w:rPr>
            <w:rStyle w:val="Hyperlink"/>
          </w:rPr>
          <w:t>Szuran et al. 1994</w:t>
        </w:r>
      </w:hyperlink>
      <w:r>
        <w:t xml:space="preserve">; </w:t>
      </w:r>
      <w:hyperlink w:anchor="ref-crino_corticosterone_2014-learn">
        <w:r>
          <w:rPr>
            <w:rStyle w:val="Hyperlink"/>
          </w:rPr>
          <w:t>Crino et al. 2014b</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In ectotherms, temperature is a pervasive mechanism</w:t>
      </w:r>
      <w:del w:id="11" w:author="Amelia Peardon" w:date="2024-09-08T11:38:00Z" w16du:dateUtc="2024-09-08T01:38:00Z">
        <w:r w:rsidDel="0035785F">
          <w:delText>s</w:delText>
        </w:r>
      </w:del>
      <w:r>
        <w:t xml:space="preserve"> of phenotypic plasticity, influencing a </w:t>
      </w:r>
      <w:del w:id="12" w:author="Amelia Peardon" w:date="2024-09-08T11:37:00Z" w16du:dateUtc="2024-09-08T01:37:00Z">
        <w:r w:rsidDel="0035785F">
          <w:delText xml:space="preserve">suite </w:delText>
        </w:r>
      </w:del>
      <w:r>
        <w:t>broad spectrum of traits including growth, metabolism, or learning abilities (</w:t>
      </w:r>
      <w:hyperlink w:anchor="ref-amiel_hotter_2012">
        <w:r>
          <w:rPr>
            <w:rStyle w:val="Hyperlink"/>
          </w:rPr>
          <w:t>Amiel and Shine 2012</w:t>
        </w:r>
      </w:hyperlink>
      <w:r>
        <w:t xml:space="preserve">; </w:t>
      </w:r>
      <w:hyperlink w:anchor="ref-amiel_egg_2014">
        <w:r>
          <w:rPr>
            <w:rStyle w:val="Hyperlink"/>
          </w:rPr>
          <w:t>Amiel et al. 2014</w:t>
        </w:r>
      </w:hyperlink>
      <w:r>
        <w:t xml:space="preserve">; </w:t>
      </w:r>
      <w:hyperlink w:anchor="ref-dayananda_incubation_2017">
        <w:r>
          <w:rPr>
            <w:rStyle w:val="Hyperlink"/>
          </w:rPr>
          <w:t>Dayananda and Webb 2017</w:t>
        </w:r>
      </w:hyperlink>
      <w:r>
        <w:t xml:space="preserve">; </w:t>
      </w:r>
      <w:hyperlink w:anchor="ref-noble_developmental_2018">
        <w:r>
          <w:rPr>
            <w:rStyle w:val="Hyperlink"/>
          </w:rPr>
          <w:t>Noble et al. 2018</w:t>
        </w:r>
      </w:hyperlink>
      <w:r>
        <w:t xml:space="preserve">; </w:t>
      </w:r>
      <w:hyperlink w:anchor="ref-abayarathna_effects_2020">
        <w:r>
          <w:rPr>
            <w:rStyle w:val="Hyperlink"/>
          </w:rPr>
          <w:t>Abayarathna and Webb 2020</w:t>
        </w:r>
      </w:hyperlink>
      <w:r>
        <w:t>). High incubation temperatures have been linked with faster learning rates in skinks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while for velvet geckos, being incubated at temperatures beyond their natural thermal range reduce their performance in learning tasks compared to those incubated at colder temperatures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Learning effects of prenatal GCs and temperature are both related to alterations in neurogenesis, neural structure, and brain metabolic activity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du_dynamic_2009">
        <w:r>
          <w:rPr>
            <w:rStyle w:val="Hyperlink"/>
          </w:rPr>
          <w:t>Du et al. 2009</w:t>
        </w:r>
      </w:hyperlink>
      <w:r>
        <w:t xml:space="preserve">; </w:t>
      </w:r>
      <w:hyperlink w:anchor="ref-amiel_effects_2017">
        <w:r>
          <w:rPr>
            <w:rStyle w:val="Hyperlink"/>
          </w:rPr>
          <w:t>Amiel et al. 2017</w:t>
        </w:r>
      </w:hyperlink>
      <w:r>
        <w:t xml:space="preserve">; </w:t>
      </w:r>
      <w:hyperlink w:anchor="ref-beltran_are_2021">
        <w:r>
          <w:rPr>
            <w:rStyle w:val="Hyperlink"/>
          </w:rPr>
          <w:t>Beltrán et al. 2021</w:t>
        </w:r>
      </w:hyperlink>
      <w:r>
        <w:t>), suggesting that both factors could be impacting similar neurological mechanisms to influence learning abilities. Furthermore, GCs can play a</w:t>
      </w:r>
      <w:del w:id="13" w:author="Amelia Peardon" w:date="2024-09-08T11:39:00Z" w16du:dateUtc="2024-09-08T01:39:00Z">
        <w:r w:rsidDel="0035785F">
          <w:delText>n</w:delText>
        </w:r>
      </w:del>
      <w:r>
        <w:t xml:space="preserve"> pivotal role in determining vertebrate responses to elevated temperatures (</w:t>
      </w:r>
      <w:hyperlink w:anchor="ref-Crino_2023">
        <w:r>
          <w:rPr>
            <w:rStyle w:val="Hyperlink"/>
          </w:rPr>
          <w:t>Crino et al. 2023</w:t>
        </w:r>
      </w:hyperlink>
      <w:r>
        <w:t xml:space="preserve">) potentially fostering natural interactions between temperature and GCs. This implies that the effects of GCs and temperature on learning could be interdependent, </w:t>
      </w:r>
      <w:r>
        <w:lastRenderedPageBreak/>
        <w:t>with the impact of one factor being modulated by the other. Nevertheless, the interactive effects of GCs and temperature on learning abilities remain unexplored.</w:t>
      </w:r>
    </w:p>
    <w:p w14:paraId="3FF0E319" w14:textId="521CFC0B" w:rsidR="00C66620" w:rsidRDefault="00000000" w:rsidP="00D10D64">
      <w:pPr>
        <w:pStyle w:val="BodyText"/>
        <w:spacing w:line="480" w:lineRule="auto"/>
      </w:pPr>
      <w:commentRangeStart w:id="14"/>
      <w:r>
        <w:t xml:space="preserve">In this study, we investigated </w:t>
      </w:r>
      <w:commentRangeEnd w:id="14"/>
      <w:r w:rsidR="00CC2CB4">
        <w:rPr>
          <w:rStyle w:val="CommentReference"/>
        </w:rPr>
        <w:commentReference w:id="14"/>
      </w:r>
      <w:r>
        <w:t>the combined effects of prenatal GCs and thermal environment on learning in two species of skinks, the delicate skink (</w:t>
      </w:r>
      <w:r>
        <w:rPr>
          <w:i/>
          <w:iCs/>
        </w:rPr>
        <w:t>Lampropholis delicata</w:t>
      </w:r>
      <w:r>
        <w:t>) and the common garden skink (</w:t>
      </w:r>
      <w:r>
        <w:rPr>
          <w:i/>
          <w:iCs/>
        </w:rPr>
        <w:t xml:space="preserve">L. </w:t>
      </w:r>
      <w:proofErr w:type="spellStart"/>
      <w:r>
        <w:rPr>
          <w:i/>
          <w:iCs/>
        </w:rPr>
        <w:t>guichenoti</w:t>
      </w:r>
      <w:proofErr w:type="spellEnd"/>
      <w:r>
        <w:t>). We manipulated corticosterone (CORT) - the main GC in reptiles (</w:t>
      </w:r>
      <w:hyperlink w:anchor="ref-Crino_2023">
        <w:r>
          <w:rPr>
            <w:rStyle w:val="Hyperlink"/>
          </w:rPr>
          <w:t>Crino et al. 2023</w:t>
        </w:r>
      </w:hyperlink>
      <w:r>
        <w:t xml:space="preserve">) - levels in the eggs and then incubated them at two different temperatures in a 2X2 factorial design. Post-incubation, juveniles were subjectd to a colour-associative task to assess their learning abilities. Our hypothesis posits that prenatal CORT levels and thermal environment will induce sustained effects on </w:t>
      </w:r>
      <w:ins w:id="15" w:author="Amelia Peardon" w:date="2024-09-08T11:45:00Z" w16du:dateUtc="2024-09-08T01:45:00Z">
        <w:r w:rsidR="00CC2CB4">
          <w:t xml:space="preserve">the </w:t>
        </w:r>
      </w:ins>
      <w:r>
        <w:t>brain’s physiology that will ultimately impact learning skills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eaton2015mild">
        <w:r>
          <w:rPr>
            <w:rStyle w:val="Hyperlink"/>
          </w:rPr>
          <w:t>Eaton et al. 2015</w:t>
        </w:r>
      </w:hyperlink>
      <w:r>
        <w:t xml:space="preserve">; </w:t>
      </w:r>
      <w:hyperlink w:anchor="ref-amiel_effects_2017">
        <w:r>
          <w:rPr>
            <w:rStyle w:val="Hyperlink"/>
          </w:rPr>
          <w:t>Amiel et al. 2017</w:t>
        </w:r>
      </w:hyperlink>
      <w:r>
        <w:t>). We predicted that individuals exposed to high levels of CORT or low temperatures will perform less proficiently compared to control individuals or those incubated at higher temperatures. Additionally, we predicted that incubation at high temperatures will mitigate the impact of CORT on skink performance, while cold incubation temperatures are expected to enhance the detrimental effects of CORT on learning. This may occur for two reasons that are not mutually exclusive: first, an increase in temperature leads to an overall rise in neural density (</w:t>
      </w:r>
      <w:hyperlink w:anchor="ref-amiel_effects_2017">
        <w:r>
          <w:rPr>
            <w:rStyle w:val="Hyperlink"/>
          </w:rPr>
          <w:t>Amiel et al. 2017</w:t>
        </w:r>
      </w:hyperlink>
      <w:r>
        <w:t xml:space="preserve">), thereby counteracting the impact of CORT (see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eaton2015mild">
        <w:r>
          <w:rPr>
            <w:rStyle w:val="Hyperlink"/>
          </w:rPr>
          <w:t>Eaton et al. 2015</w:t>
        </w:r>
      </w:hyperlink>
      <w:r>
        <w:t>); and second, the elevated metabolic rate associated with higher temperatures can accelerate CORT metabolism, resulting in embryos being exposed to CORT for a shorter time.</w:t>
      </w:r>
    </w:p>
    <w:p w14:paraId="1744FCD1" w14:textId="77777777" w:rsidR="00C66620" w:rsidRDefault="00000000" w:rsidP="00D10D64">
      <w:pPr>
        <w:pStyle w:val="Heading2"/>
        <w:spacing w:line="480" w:lineRule="auto"/>
      </w:pPr>
      <w:bookmarkStart w:id="16" w:name="methods"/>
      <w:bookmarkEnd w:id="2"/>
      <w:r>
        <w:lastRenderedPageBreak/>
        <w:t>Methods</w:t>
      </w:r>
    </w:p>
    <w:p w14:paraId="4CA3A362" w14:textId="77777777" w:rsidR="00C66620" w:rsidRDefault="00000000" w:rsidP="00D10D64">
      <w:pPr>
        <w:pStyle w:val="Heading4"/>
        <w:spacing w:line="480" w:lineRule="auto"/>
      </w:pPr>
      <w:bookmarkStart w:id="17" w:name="subjects"/>
      <w:r>
        <w:t>Subjects</w:t>
      </w:r>
    </w:p>
    <w:p w14:paraId="3CBFCF0D" w14:textId="77777777" w:rsidR="00C66620" w:rsidRDefault="00000000" w:rsidP="00D10D64">
      <w:pPr>
        <w:pStyle w:val="FirstParagraph"/>
        <w:spacing w:line="480" w:lineRule="auto"/>
      </w:pPr>
      <w:r>
        <w:rPr>
          <w:i/>
          <w:iCs/>
        </w:rPr>
        <w:t>L. guichenoti</w:t>
      </w:r>
      <w:r>
        <w:t xml:space="preserve"> and </w:t>
      </w:r>
      <w:r>
        <w:rPr>
          <w:i/>
          <w:iCs/>
        </w:rPr>
        <w:t>L. delicata</w:t>
      </w:r>
      <w:r>
        <w:t xml:space="preserve"> are small (∼35–55 mm snout-vent length (SVL)), oviparous, and generalist skinks that usually share the same habitat in suburban areas throughout south-eastern Australia (</w:t>
      </w:r>
      <w:hyperlink w:anchor="ref-chapple_know_2011">
        <w:r>
          <w:rPr>
            <w:rStyle w:val="Hyperlink"/>
          </w:rPr>
          <w:t>Chapple et al. 2011</w:t>
        </w:r>
      </w:hyperlink>
      <w:r>
        <w:t xml:space="preserve">). Both species have similar breeding periods, but with some differences in reproductive output: while </w:t>
      </w:r>
      <w:r>
        <w:rPr>
          <w:i/>
          <w:iCs/>
        </w:rPr>
        <w:t>L. delicata</w:t>
      </w:r>
      <w:r>
        <w:t xml:space="preserve"> lays 1 to 6 eggs in only one clutch per season, </w:t>
      </w:r>
      <w:r>
        <w:rPr>
          <w:i/>
          <w:iCs/>
        </w:rPr>
        <w:t>L. guichenoti</w:t>
      </w:r>
      <w:r>
        <w:t xml:space="preserve"> clutches are smaller (1-5 eggs per clutch) and they usually lay two clutches per season (</w:t>
      </w:r>
      <w:hyperlink w:anchor="ref-chapple_know_2011">
        <w:r>
          <w:rPr>
            <w:rStyle w:val="Hyperlink"/>
          </w:rPr>
          <w:t>Chapple et al. 2011</w:t>
        </w:r>
      </w:hyperlink>
      <w:r>
        <w:t xml:space="preserve">, </w:t>
      </w:r>
      <w:hyperlink w:anchor="ref-chapple_biology_2014">
        <w:r>
          <w:rPr>
            <w:rStyle w:val="Hyperlink"/>
          </w:rPr>
          <w:t>2014</w:t>
        </w:r>
      </w:hyperlink>
      <w:r>
        <w:t xml:space="preserve">). </w:t>
      </w:r>
      <w:commentRangeStart w:id="18"/>
      <w:r>
        <w:t>Besides</w:t>
      </w:r>
      <w:commentRangeEnd w:id="18"/>
      <w:r w:rsidR="00CC2CB4">
        <w:rPr>
          <w:rStyle w:val="CommentReference"/>
          <w:rFonts w:asciiTheme="minorHAnsi" w:hAnsiTheme="minorHAnsi"/>
        </w:rPr>
        <w:commentReference w:id="18"/>
      </w:r>
      <w:r>
        <w:t xml:space="preserve">, previous studies exploring behavioral differences between the two species have found </w:t>
      </w:r>
      <w:r>
        <w:rPr>
          <w:i/>
          <w:iCs/>
        </w:rPr>
        <w:t>L. delicata</w:t>
      </w:r>
      <w:r>
        <w:t xml:space="preserve"> to be more exploratory than </w:t>
      </w:r>
      <w:r>
        <w:rPr>
          <w:i/>
          <w:iCs/>
        </w:rPr>
        <w:t>L. guichenoti</w:t>
      </w:r>
      <w:r>
        <w:t xml:space="preserve"> (</w:t>
      </w:r>
      <w:hyperlink w:anchor="ref-chapple_know_2011">
        <w:r>
          <w:rPr>
            <w:rStyle w:val="Hyperlink"/>
          </w:rPr>
          <w:t>Chapple et al. 2011</w:t>
        </w:r>
      </w:hyperlink>
      <w:r>
        <w:t>) but no differences in learning were observed between the skinks in an associative learning task (</w:t>
      </w:r>
      <w:hyperlink w:anchor="ref-bezzina2014does">
        <w:r>
          <w:rPr>
            <w:rStyle w:val="Hyperlink"/>
          </w:rPr>
          <w:t>Bezzina et al. 2014</w:t>
        </w:r>
      </w:hyperlink>
      <w:r>
        <w:t>).</w:t>
      </w:r>
    </w:p>
    <w:p w14:paraId="25770782" w14:textId="77777777" w:rsidR="00C66620" w:rsidRDefault="00000000" w:rsidP="00D10D64">
      <w:pPr>
        <w:pStyle w:val="Heading4"/>
        <w:spacing w:line="480" w:lineRule="auto"/>
      </w:pPr>
      <w:bookmarkStart w:id="19" w:name="husbandry"/>
      <w:bookmarkEnd w:id="17"/>
      <w:r>
        <w:t>Husbandry</w:t>
      </w:r>
    </w:p>
    <w:p w14:paraId="6267BB46" w14:textId="664200A6" w:rsidR="00C66620" w:rsidRDefault="00000000" w:rsidP="00D10D64">
      <w:pPr>
        <w:pStyle w:val="FirstParagraph"/>
        <w:spacing w:line="480" w:lineRule="auto"/>
      </w:pPr>
      <w:r>
        <w:rPr>
          <w:i/>
          <w:iCs/>
        </w:rPr>
        <w:t>Breeding colony</w:t>
      </w:r>
      <w:r>
        <w:t xml:space="preserve"> – We tested juveniles </w:t>
      </w:r>
      <w:ins w:id="20" w:author="Amelia Peardon" w:date="2024-09-08T14:13:00Z" w16du:dateUtc="2024-09-08T04:13:00Z">
        <w:r w:rsidR="00E15C7C">
          <w:t xml:space="preserve">from </w:t>
        </w:r>
      </w:ins>
      <w:ins w:id="21" w:author="Amelia Peardon" w:date="2024-09-08T14:14:00Z" w16du:dateUtc="2024-09-08T04:14:00Z">
        <w:r w:rsidR="00385EC9">
          <w:t xml:space="preserve">a </w:t>
        </w:r>
        <w:r w:rsidR="00E15C7C">
          <w:t>2019-</w:t>
        </w:r>
      </w:ins>
      <w:ins w:id="22" w:author="Amelia Peardon" w:date="2024-09-08T14:13:00Z" w16du:dateUtc="2024-09-08T04:13:00Z">
        <w:r w:rsidR="00E15C7C">
          <w:t>established lab breeding colony</w:t>
        </w:r>
      </w:ins>
      <w:del w:id="23" w:author="Amelia Peardon" w:date="2024-09-08T14:14:00Z" w16du:dateUtc="2024-09-08T04:14:00Z">
        <w:r w:rsidDel="00E15C7C">
          <w:delText>coming from a breeding colony established in the lab since 2019</w:delText>
        </w:r>
      </w:del>
      <w:r>
        <w:t xml:space="preserve">. </w:t>
      </w:r>
      <w:del w:id="24" w:author="Amelia Peardon" w:date="2024-09-08T14:16:00Z" w16du:dateUtc="2024-09-08T04:16:00Z">
        <w:r w:rsidDel="00385EC9">
          <w:delText>There is a</w:delText>
        </w:r>
      </w:del>
      <w:ins w:id="25" w:author="Amelia Peardon" w:date="2024-09-08T14:16:00Z" w16du:dateUtc="2024-09-08T04:16:00Z">
        <w:r w:rsidR="00385EC9">
          <w:t>A</w:t>
        </w:r>
      </w:ins>
      <w:r>
        <w:t xml:space="preserve"> total of 270 and 180 adults of </w:t>
      </w:r>
      <w:r>
        <w:rPr>
          <w:i/>
          <w:iCs/>
        </w:rPr>
        <w:t>L. delicata</w:t>
      </w:r>
      <w:r>
        <w:t xml:space="preserve"> and </w:t>
      </w:r>
      <w:r>
        <w:rPr>
          <w:i/>
          <w:iCs/>
        </w:rPr>
        <w:t xml:space="preserve">L. </w:t>
      </w:r>
      <w:proofErr w:type="spellStart"/>
      <w:r>
        <w:rPr>
          <w:i/>
          <w:iCs/>
        </w:rPr>
        <w:t>guichenoti</w:t>
      </w:r>
      <w:proofErr w:type="spellEnd"/>
      <w:r>
        <w:t xml:space="preserve"> respectively,</w:t>
      </w:r>
      <w:ins w:id="26" w:author="Amelia Peardon" w:date="2024-09-08T14:16:00Z" w16du:dateUtc="2024-09-08T04:16:00Z">
        <w:r w:rsidR="00385EC9">
          <w:t xml:space="preserve"> were</w:t>
        </w:r>
      </w:ins>
      <w:r>
        <w:t xml:space="preserve"> housed in big containers (41.5 L x 30.5 W x 21 H cm) with six lizards (2 males and 4 females) per enclosure. Enclosures are provided with non-stick matting, shelter, and several small water dishes. Water is given daily, and they are fed approx</w:t>
      </w:r>
      <w:ins w:id="27" w:author="Amelia Peardon" w:date="2024-09-08T14:17:00Z" w16du:dateUtc="2024-09-08T04:17:00Z">
        <w:r w:rsidR="00385EC9">
          <w:t>imately</w:t>
        </w:r>
      </w:ins>
      <w:del w:id="28" w:author="Amelia Peardon" w:date="2024-09-08T14:17:00Z" w16du:dateUtc="2024-09-08T04:17:00Z">
        <w:r w:rsidDel="00385EC9">
          <w:delText>.</w:delText>
        </w:r>
      </w:del>
      <w:r>
        <w:t xml:space="preserve"> 40 mid-size crickets (</w:t>
      </w:r>
      <w:r>
        <w:rPr>
          <w:i/>
          <w:iCs/>
        </w:rPr>
        <w:t>Acheta domestica</w:t>
      </w:r>
      <w:r>
        <w:t>) per enclosure three days a week. Crickets are dusted with calcium weekly and multivitamin and calcium biweekly. To ensure a temperature gradient, we employ a heat chord and a heat lamp following a 12 h light:12 h dark cycle. Room temperatures are set to 22-24 Celsius, and the warm side of enclosures is usually at 32 Celsius.</w:t>
      </w:r>
    </w:p>
    <w:p w14:paraId="40885D59" w14:textId="0C71BD8B" w:rsidR="00C66620" w:rsidRDefault="00000000" w:rsidP="00D10D64">
      <w:pPr>
        <w:pStyle w:val="BodyText"/>
        <w:spacing w:line="480" w:lineRule="auto"/>
      </w:pPr>
      <w:commentRangeStart w:id="29"/>
      <w:r>
        <w:rPr>
          <w:i/>
          <w:iCs/>
        </w:rPr>
        <w:lastRenderedPageBreak/>
        <w:t>Eggs collection and incubation</w:t>
      </w:r>
      <w:r>
        <w:t xml:space="preserve"> </w:t>
      </w:r>
      <w:commentRangeEnd w:id="29"/>
      <w:r w:rsidR="00EA3D6A">
        <w:rPr>
          <w:rStyle w:val="CommentReference"/>
        </w:rPr>
        <w:commentReference w:id="29"/>
      </w:r>
      <w:r>
        <w:t>–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weigh</w:t>
      </w:r>
      <w:ins w:id="30" w:author="Amelia Peardon" w:date="2024-09-08T14:18:00Z" w16du:dateUtc="2024-09-08T04:18:00Z">
        <w:r w:rsidR="00EA3D6A">
          <w:t>ed</w:t>
        </w:r>
      </w:ins>
      <w:del w:id="31" w:author="Amelia Peardon" w:date="2024-09-08T14:18:00Z" w16du:dateUtc="2024-09-08T04:18:00Z">
        <w:r w:rsidDel="00EA3D6A">
          <w:delText>t</w:delText>
        </w:r>
      </w:del>
      <w:r>
        <w:t xml:space="preserve"> them with a (OHAUS, Model spx123) digital scale ± 0.001g error, and assigned identities to the clutch and each egg.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4A71EEE8" w14:textId="5ADCC9AA" w:rsidR="00C66620" w:rsidRDefault="00000000" w:rsidP="00D10D64">
      <w:pPr>
        <w:pStyle w:val="BodyText"/>
        <w:spacing w:line="480" w:lineRule="auto"/>
      </w:pPr>
      <w:commentRangeStart w:id="32"/>
      <w:r>
        <w:rPr>
          <w:i/>
          <w:iCs/>
        </w:rPr>
        <w:t>Hatchlings</w:t>
      </w:r>
      <w:r>
        <w:t xml:space="preserve"> – Eggs in </w:t>
      </w:r>
      <w:commentRangeEnd w:id="32"/>
      <w:r w:rsidR="00EA3D6A">
        <w:rPr>
          <w:rStyle w:val="CommentReference"/>
        </w:rPr>
        <w:commentReference w:id="32"/>
      </w:r>
      <w:r>
        <w:t>the incubator were checked three times a week for hatchlings. After hatch</w:t>
      </w:r>
      <w:del w:id="33" w:author="Amelia Peardon" w:date="2024-09-08T14:20:00Z" w16du:dateUtc="2024-09-08T04:20:00Z">
        <w:r w:rsidDel="00EA3D6A">
          <w:delText>l</w:delText>
        </w:r>
      </w:del>
      <w:r>
        <w:t>ing, we measured juveniles’ SVL and Tail Length (TL) with a rule</w:t>
      </w:r>
      <w:ins w:id="34" w:author="Amelia Peardon" w:date="2024-09-08T14:20:00Z" w16du:dateUtc="2024-09-08T04:20:00Z">
        <w:r w:rsidR="00905235">
          <w:t>r</w:t>
        </w:r>
      </w:ins>
      <w:r>
        <w:t xml:space="preserve"> to the nearest mm and weigh</w:t>
      </w:r>
      <w:del w:id="35" w:author="Amelia Peardon" w:date="2024-09-08T14:20:00Z" w16du:dateUtc="2024-09-08T04:20:00Z">
        <w:r w:rsidDel="00905235">
          <w:delText>t</w:delText>
        </w:r>
      </w:del>
      <w:r>
        <w:t xml:space="preserve">ed them with a (OHAUS, Model spx123) digital scale ± 0.001g error. We then placed hatchlings in individual enclosures (18.7L x 13.2W x 6.3H cm) and provided them with non-stick matting, shelter, and a small water dish. During this period, they were </w:t>
      </w:r>
      <w:commentRangeStart w:id="36"/>
      <w:r>
        <w:t xml:space="preserve">sprayed water </w:t>
      </w:r>
      <w:commentRangeEnd w:id="36"/>
      <w:r w:rsidR="00583EEB">
        <w:rPr>
          <w:rStyle w:val="CommentReference"/>
        </w:rPr>
        <w:commentReference w:id="36"/>
      </w:r>
      <w:r>
        <w:t xml:space="preserve">every day and received 3-6 small </w:t>
      </w:r>
      <w:r>
        <w:rPr>
          <w:i/>
          <w:iCs/>
        </w:rPr>
        <w:t>A. domestica</w:t>
      </w:r>
      <w:r>
        <w:t xml:space="preserve"> crickets three times a week. All care otherwise follows similar protocols to adults (see above).</w:t>
      </w:r>
      <w:r>
        <w:br/>
        <w:t xml:space="preserve">Two weeks before we started the training phase (see below), lizards were moved to the experimental arena for acclimatisation. The arenas were individual medium size (41 L x 29.7 W x 22 H cm) plastic containers with a shelter (9 L x 6 W x 1.5 H cm) on one of the sides and a water dish on the other. These new enclosures were placed in two rooms in 7 </w:t>
      </w:r>
      <w:r>
        <w:lastRenderedPageBreak/>
        <w:t xml:space="preserve">different racks that were monitored by 7 different CCTV systems (device model DVR-HP210475) that allowed us to record their behaviour during the experiment (see details below). Although the conditions in the new room were identical to the main room, the number of lizards per species and treatment in each rack was counterbalanced to control for any potential effect of the room or the position of the lizard in the rack. During </w:t>
      </w:r>
      <w:proofErr w:type="spellStart"/>
      <w:r>
        <w:t>acclimatisation</w:t>
      </w:r>
      <w:proofErr w:type="spellEnd"/>
      <w:r>
        <w:t xml:space="preserve"> and </w:t>
      </w:r>
      <w:del w:id="37" w:author="Amelia Peardon" w:date="2024-09-08T14:24:00Z" w16du:dateUtc="2024-09-08T04:24:00Z">
        <w:r w:rsidDel="00583EEB">
          <w:delText xml:space="preserve">all </w:delText>
        </w:r>
      </w:del>
      <w:ins w:id="38" w:author="Amelia Peardon" w:date="2024-09-08T14:24:00Z" w16du:dateUtc="2024-09-08T04:24:00Z">
        <w:r w:rsidR="00583EEB">
          <w:t xml:space="preserve">throughout </w:t>
        </w:r>
      </w:ins>
      <w:r>
        <w:t xml:space="preserve">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w:t>
      </w:r>
    </w:p>
    <w:p w14:paraId="0FE71061" w14:textId="02D34182" w:rsidR="00C66620" w:rsidRDefault="00000000" w:rsidP="00D10D64">
      <w:pPr>
        <w:pStyle w:val="Heading4"/>
        <w:spacing w:line="480" w:lineRule="auto"/>
      </w:pPr>
      <w:bookmarkStart w:id="39" w:name="cort-and-temperature-manipulation"/>
      <w:bookmarkEnd w:id="19"/>
      <w:r>
        <w:t xml:space="preserve">CORT and Temperature </w:t>
      </w:r>
      <w:ins w:id="40" w:author="Amelia Peardon" w:date="2024-09-08T14:25:00Z" w16du:dateUtc="2024-09-08T04:25:00Z">
        <w:r w:rsidR="004A29A0">
          <w:t>M</w:t>
        </w:r>
      </w:ins>
      <w:del w:id="41" w:author="Amelia Peardon" w:date="2024-09-08T14:25:00Z" w16du:dateUtc="2024-09-08T04:25:00Z">
        <w:r w:rsidDel="004A29A0">
          <w:delText>m</w:delText>
        </w:r>
      </w:del>
      <w:r>
        <w:t>anipulation</w:t>
      </w:r>
    </w:p>
    <w:p w14:paraId="2E6C0167" w14:textId="7E2635E9" w:rsidR="00C66620" w:rsidRDefault="00000000" w:rsidP="00D10D64">
      <w:pPr>
        <w:pStyle w:val="FirstParagraph"/>
        <w:spacing w:line="480" w:lineRule="auto"/>
      </w:pPr>
      <w:r>
        <w:t>To empirically test the effect of early environment</w:t>
      </w:r>
      <w:ins w:id="42" w:author="Amelia Peardon" w:date="2024-09-08T14:25:00Z" w16du:dateUtc="2024-09-08T04:25:00Z">
        <w:r w:rsidR="00F15F5F">
          <w:t>,</w:t>
        </w:r>
      </w:ins>
      <w:r>
        <w:t xml:space="preserve">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to one of two different treatments: CORT treatment, where eggs were topically supplied with 5µL of CORT dissolved in 70% Ethanol and 30% DMSO (vehicle) at a final (10 pg CORT/mL) concentration (CORT treatment); and a Control treatment, where eggs received an equal volume of the vehicle. We selected these doses based on previous studies publishing yolk CORT concentrations in other ovipaorus reptiles (</w:t>
      </w:r>
      <w:hyperlink w:anchor="ref-lovern2008effects">
        <w:r>
          <w:rPr>
            <w:rStyle w:val="Hyperlink"/>
          </w:rPr>
          <w:t>Lovern and Adams 2008</w:t>
        </w:r>
      </w:hyperlink>
      <w:r>
        <w:t xml:space="preserve">; </w:t>
      </w:r>
      <w:hyperlink w:anchor="ref-hanover2019corticosterone">
        <w:r>
          <w:rPr>
            <w:rStyle w:val="Hyperlink"/>
          </w:rPr>
          <w:t>Hanover et al. 2019</w:t>
        </w:r>
      </w:hyperlink>
      <w:r>
        <w:t>) and our own unpublished data. CORT concentration represents 2 standard deviations above the mean natural concentration. After the treatment, the eggs were incubated in one of the two previously mentioned temperature regimes (‘Cold’ or ‘Hot’) until hatching. The number of eggs per clutch assigned to each hormone and temperature treatment were counterbalanced in both species.</w:t>
      </w:r>
    </w:p>
    <w:p w14:paraId="007E8DAF" w14:textId="77777777" w:rsidR="00C66620" w:rsidRDefault="00000000" w:rsidP="00D10D64">
      <w:pPr>
        <w:pStyle w:val="Heading4"/>
        <w:spacing w:line="480" w:lineRule="auto"/>
      </w:pPr>
      <w:bookmarkStart w:id="43" w:name="learning"/>
      <w:bookmarkEnd w:id="39"/>
      <w:r>
        <w:lastRenderedPageBreak/>
        <w:t>Learning</w:t>
      </w:r>
    </w:p>
    <w:p w14:paraId="120E2E12" w14:textId="4B9ED95A" w:rsidR="00C66620" w:rsidRDefault="00000000" w:rsidP="00D10D64">
      <w:pPr>
        <w:pStyle w:val="FirstParagraph"/>
        <w:spacing w:line="480" w:lineRule="auto"/>
      </w:pPr>
      <w:r>
        <w:t>To estimate learning skills, we tested skinks’ ability to locate a food reward in an colour-associative learning task (</w:t>
      </w:r>
      <w:hyperlink w:anchor="fig-Methods">
        <w:r>
          <w:rPr>
            <w:rStyle w:val="Hyperlink"/>
          </w:rPr>
          <w:t>Fig. 1</w:t>
        </w:r>
      </w:hyperlink>
      <w:r>
        <w:t xml:space="preserve"> C, D). First, we performed a training phase where lizards had to learn to eat from white 3D-printed PLA ramps (9 L x 4 W x 5 H cm) identical to the ones from the experiment except for the colour (see below). We divided this training phase into three stages: in the first stage, lizards had to eat a small, frozen cricket (</w:t>
      </w:r>
      <w:r>
        <w:rPr>
          <w:i/>
          <w:iCs/>
        </w:rPr>
        <w:t>A. domestica</w:t>
      </w:r>
      <w:r>
        <w:t>) from an opaque petri dish (3D x 1.6H cm) placed in the middle of their enclosure (</w:t>
      </w:r>
      <w:hyperlink w:anchor="fig-Methods">
        <w:r>
          <w:rPr>
            <w:rStyle w:val="Hyperlink"/>
          </w:rPr>
          <w:t>Fig. 1</w:t>
        </w:r>
      </w:hyperlink>
      <w:r>
        <w:t xml:space="preserve"> C, Stage 1); in the second stage, the petri dish with the cricket was placed on top of the white 3D printed ramps (</w:t>
      </w:r>
      <w:hyperlink w:anchor="fig-Methods">
        <w:r>
          <w:rPr>
            <w:rStyle w:val="Hyperlink"/>
          </w:rPr>
          <w:t>Fig. 1</w:t>
        </w:r>
      </w:hyperlink>
      <w:r>
        <w:t xml:space="preserve"> C, Stage 2); and finally, the cricket was left inside a well (3D x 1.75H cm) on the top of the ramp in the third and last stage (Fig. </w:t>
      </w:r>
      <w:hyperlink w:anchor="fig-Methods">
        <w:r>
          <w:rPr>
            <w:rStyle w:val="Hyperlink"/>
          </w:rPr>
          <w:t>Fig. 1</w:t>
        </w:r>
      </w:hyperlink>
      <w:r>
        <w:t xml:space="preserve"> C, Stage 3). Every trial began when we left the feeding block (petri dish, ramp, or both) inside the enclosure and finished one hour later when we took it away. At the end of each trial, we recorded whether the cricket had been consumed or not. </w:t>
      </w:r>
      <w:ins w:id="44" w:author="Amelia Peardon" w:date="2024-09-08T14:32:00Z" w16du:dateUtc="2024-09-08T04:32:00Z">
        <w:r w:rsidR="00823DB9">
          <w:t xml:space="preserve">The </w:t>
        </w:r>
      </w:ins>
      <w:del w:id="45" w:author="Amelia Peardon" w:date="2024-09-08T14:32:00Z" w16du:dateUtc="2024-09-08T04:32:00Z">
        <w:r w:rsidDel="00823DB9">
          <w:delText>T</w:delText>
        </w:r>
      </w:del>
      <w:ins w:id="46" w:author="Amelia Peardon" w:date="2024-09-08T14:32:00Z" w16du:dateUtc="2024-09-08T04:32:00Z">
        <w:r w:rsidR="00823DB9">
          <w:t>t</w:t>
        </w:r>
      </w:ins>
      <w:r>
        <w:t>rial was considered successful if the lizard could locate and consume the reward, while completion of each stage required the lizards to eat the crickets in at least 5 out of 6 trials to ensure lizards’ consistency. This phase lasted 38 days until all the lizards were able to eat from the ramp; only in one case we decided not to use the lizard because its behaviour was not consistent over the course of the training phase.</w:t>
      </w:r>
    </w:p>
    <w:p w14:paraId="450A248F" w14:textId="68FEFC47" w:rsidR="00C66620" w:rsidRDefault="00000000" w:rsidP="00D10D64">
      <w:pPr>
        <w:pStyle w:val="BodyText"/>
        <w:spacing w:line="480" w:lineRule="auto"/>
      </w:pPr>
      <w:commentRangeStart w:id="47"/>
      <w:r>
        <w:t>In the associative learning phase</w:t>
      </w:r>
      <w:commentRangeEnd w:id="47"/>
      <w:r w:rsidR="009C4C78">
        <w:rPr>
          <w:rStyle w:val="CommentReference"/>
        </w:rPr>
        <w:commentReference w:id="47"/>
      </w:r>
      <w:r>
        <w:t>, we trained lizards to associate between colour and a food reward (</w:t>
      </w:r>
      <w:del w:id="48" w:author="Amelia Peardon" w:date="2024-09-08T14:40:00Z" w16du:dateUtc="2024-09-08T04:40:00Z">
        <w:r w:rsidDel="00E9082C">
          <w:delText xml:space="preserve">Fig. </w:delText>
        </w:r>
      </w:del>
      <w:hyperlink w:anchor="fig-Methods">
        <w:r>
          <w:rPr>
            <w:rStyle w:val="Hyperlink"/>
          </w:rPr>
          <w:t>Fig. 1</w:t>
        </w:r>
      </w:hyperlink>
      <w:r>
        <w:t xml:space="preserve"> D). The test was </w:t>
      </w:r>
      <w:del w:id="49" w:author="Amelia Peardon" w:date="2024-09-08T14:41:00Z" w16du:dateUtc="2024-09-08T04:41:00Z">
        <w:r w:rsidDel="00E9082C">
          <w:delText xml:space="preserve">like </w:delText>
        </w:r>
      </w:del>
      <w:proofErr w:type="gramStart"/>
      <w:ins w:id="50" w:author="Amelia Peardon" w:date="2024-09-08T14:41:00Z" w16du:dateUtc="2024-09-08T04:41:00Z">
        <w:r w:rsidR="00E9082C">
          <w:t>similar to</w:t>
        </w:r>
        <w:proofErr w:type="gramEnd"/>
        <w:r w:rsidR="00E9082C">
          <w:t xml:space="preserve"> </w:t>
        </w:r>
      </w:ins>
      <w:r>
        <w:t xml:space="preserve">the third stage of the training phase, but here lizards were presented with three feeders that differed in colour. We placed the food reward (small, frozen, </w:t>
      </w:r>
      <w:r>
        <w:rPr>
          <w:i/>
          <w:iCs/>
        </w:rPr>
        <w:t>A. domestica</w:t>
      </w:r>
      <w:r>
        <w:t xml:space="preserve"> crickets) inside the wells of the three feeders, covering two of the crickets with 3D-printed lids (3D x 0.5H cm) so prey was only accessible in “the correct” ramp. The food reward was placed insidde all three wells to avoid lizard using </w:t>
      </w:r>
      <w:r>
        <w:lastRenderedPageBreak/>
        <w:t>prey chemical cues, and the lids had a series of small holes on the top to allow the release of those chemicals. The colours of the feeders were green, red, and blue, as previous studies demonstrate that squamates can discriminate between these colours (</w:t>
      </w:r>
      <w:hyperlink w:anchor="ref-Baden_Osorio_2019_Vert_vision">
        <w:r>
          <w:rPr>
            <w:rStyle w:val="Hyperlink"/>
          </w:rPr>
          <w:t>Baden and Osorio 2019</w:t>
        </w:r>
      </w:hyperlink>
      <w:r>
        <w:t>). To control for potential colour preference that could bias our results</w:t>
      </w:r>
      <w:ins w:id="51" w:author="Amelia Peardon" w:date="2024-09-08T14:42:00Z" w16du:dateUtc="2024-09-08T04:42:00Z">
        <w:r w:rsidR="00E9082C">
          <w:t>,</w:t>
        </w:r>
      </w:ins>
      <w:r>
        <w:t xml:space="preserve"> we split the subjects into two groups counterbalanced by treatment and species: in one group the correct choice (i.e., the ramp with the non-covered frozen cricket) was </w:t>
      </w:r>
      <w:del w:id="52" w:author="Amelia Peardon" w:date="2024-09-08T14:43:00Z" w16du:dateUtc="2024-09-08T04:43:00Z">
        <w:r w:rsidDel="009278D2">
          <w:delText xml:space="preserve">the </w:delText>
        </w:r>
      </w:del>
      <w:r>
        <w:t>blue</w:t>
      </w:r>
      <w:del w:id="53" w:author="Amelia Peardon" w:date="2024-09-08T14:43:00Z" w16du:dateUtc="2024-09-08T04:43:00Z">
        <w:r w:rsidDel="009278D2">
          <w:delText xml:space="preserve"> one</w:delText>
        </w:r>
      </w:del>
      <w:r>
        <w:t>, while</w:t>
      </w:r>
      <w:ins w:id="54" w:author="Amelia Peardon" w:date="2024-09-08T14:44:00Z" w16du:dateUtc="2024-09-08T04:44:00Z">
        <w:r w:rsidR="009278D2">
          <w:t xml:space="preserve"> </w:t>
        </w:r>
      </w:ins>
      <w:del w:id="55" w:author="Amelia Peardon" w:date="2024-09-08T14:44:00Z" w16du:dateUtc="2024-09-08T04:44:00Z">
        <w:r w:rsidDel="009278D2">
          <w:delText xml:space="preserve"> </w:delText>
        </w:r>
      </w:del>
      <w:del w:id="56" w:author="Amelia Peardon" w:date="2024-09-08T14:43:00Z" w16du:dateUtc="2024-09-08T04:43:00Z">
        <w:r w:rsidDel="009278D2">
          <w:delText>for</w:delText>
        </w:r>
      </w:del>
      <w:del w:id="57" w:author="Amelia Peardon" w:date="2024-09-08T14:44:00Z" w16du:dateUtc="2024-09-08T04:44:00Z">
        <w:r w:rsidDel="009278D2">
          <w:delText xml:space="preserve"> </w:delText>
        </w:r>
      </w:del>
      <w:r>
        <w:t xml:space="preserve">the other group </w:t>
      </w:r>
      <w:ins w:id="58" w:author="Amelia Peardon" w:date="2024-09-08T14:44:00Z" w16du:dateUtc="2024-09-08T04:44:00Z">
        <w:r w:rsidR="009278D2">
          <w:t>was</w:t>
        </w:r>
      </w:ins>
      <w:del w:id="59" w:author="Amelia Peardon" w:date="2024-09-08T14:44:00Z" w16du:dateUtc="2024-09-08T04:44:00Z">
        <w:r w:rsidDel="009278D2">
          <w:delText>we</w:delText>
        </w:r>
      </w:del>
      <w:r>
        <w:t xml:space="preserve"> assigned red as correct. In all trials, the position of the feeders was changed randomly to ensure subjects were using colour rather than spatial cues for the association. Lizards were tested in this task once a day for 35 days.</w:t>
      </w:r>
    </w:p>
    <w:p w14:paraId="312953E2" w14:textId="28E806C6" w:rsidR="00C66620" w:rsidRDefault="00000000" w:rsidP="00D10D64">
      <w:pPr>
        <w:pStyle w:val="BodyText"/>
        <w:spacing w:line="480" w:lineRule="auto"/>
      </w:pPr>
      <w:commentRangeStart w:id="60"/>
      <w:r>
        <w:t xml:space="preserve">The full task took place </w:t>
      </w:r>
      <w:commentRangeEnd w:id="60"/>
      <w:r w:rsidR="00240BEC">
        <w:rPr>
          <w:rStyle w:val="CommentReference"/>
        </w:rPr>
        <w:commentReference w:id="60"/>
      </w:r>
      <w:r>
        <w:t>between the 6</w:t>
      </w:r>
      <w:r>
        <w:rPr>
          <w:vertAlign w:val="superscript"/>
        </w:rPr>
        <w:t>th</w:t>
      </w:r>
      <w:r>
        <w:t xml:space="preserve"> of March until the 17</w:t>
      </w:r>
      <w:r>
        <w:rPr>
          <w:vertAlign w:val="superscript"/>
        </w:rPr>
        <w:t>th</w:t>
      </w:r>
      <w:r>
        <w:t xml:space="preserve"> of May 2023, and tests were performed between </w:t>
      </w:r>
      <w:commentRangeStart w:id="61"/>
      <w:r>
        <w:t xml:space="preserve">11 to 12 am </w:t>
      </w:r>
      <w:commentRangeEnd w:id="61"/>
      <w:r w:rsidR="004F3748">
        <w:rPr>
          <w:rStyle w:val="CommentReference"/>
        </w:rPr>
        <w:commentReference w:id="61"/>
      </w:r>
      <w:r>
        <w:t>when the lizards were active. Trials in the learning phase were recorded with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w:t>
      </w:r>
      <w:ins w:id="62" w:author="Amelia Peardon" w:date="2024-09-08T14:46:00Z" w16du:dateUtc="2024-09-08T04:46:00Z">
        <w:r w:rsidR="004F3748">
          <w:t xml:space="preserve"> and </w:t>
        </w:r>
      </w:ins>
      <w:ins w:id="63" w:author="Amelia Peardon" w:date="2024-09-08T14:47:00Z" w16du:dateUtc="2024-09-08T04:47:00Z">
        <w:r w:rsidR="004F3748">
          <w:t>recorded</w:t>
        </w:r>
      </w:ins>
      <w:ins w:id="64" w:author="Amelia Peardon" w:date="2024-09-08T14:48:00Z" w16du:dateUtc="2024-09-08T04:48:00Z">
        <w:r w:rsidR="00240BEC">
          <w:t xml:space="preserve"> </w:t>
        </w:r>
      </w:ins>
      <w:del w:id="65" w:author="Amelia Peardon" w:date="2024-09-08T14:47:00Z" w16du:dateUtc="2024-09-08T04:47:00Z">
        <w:r w:rsidDel="004F3748">
          <w:delText xml:space="preserve">cored </w:delText>
        </w:r>
      </w:del>
      <w:r>
        <w:t xml:space="preserve">those trials as NA. We excluded from our analyses those individuals with more than 15 trials failed (i.e. they did not make a choice), and we considered the first trial for each individual to be the first one where </w:t>
      </w:r>
      <w:del w:id="66" w:author="Amelia Peardon" w:date="2024-09-08T14:47:00Z" w16du:dateUtc="2024-09-08T04:47:00Z">
        <w:r w:rsidDel="004F3748">
          <w:delText xml:space="preserve">the </w:delText>
        </w:r>
      </w:del>
      <w:r>
        <w:t>a choice was made.</w:t>
      </w:r>
    </w:p>
    <w:tbl>
      <w:tblPr>
        <w:tblStyle w:val="Table"/>
        <w:tblW w:w="5000" w:type="pct"/>
        <w:tblLook w:val="0000" w:firstRow="0" w:lastRow="0" w:firstColumn="0" w:lastColumn="0" w:noHBand="0" w:noVBand="0"/>
      </w:tblPr>
      <w:tblGrid>
        <w:gridCol w:w="9360"/>
      </w:tblGrid>
      <w:tr w:rsidR="00C66620" w14:paraId="565FFE19" w14:textId="77777777">
        <w:tc>
          <w:tcPr>
            <w:tcW w:w="0" w:type="auto"/>
          </w:tcPr>
          <w:p w14:paraId="1983E3BD" w14:textId="77777777" w:rsidR="00C66620" w:rsidRDefault="00000000" w:rsidP="00D10D64">
            <w:pPr>
              <w:spacing w:line="480" w:lineRule="auto"/>
              <w:jc w:val="center"/>
            </w:pPr>
            <w:bookmarkStart w:id="67" w:name="fig-Methods"/>
            <w:r>
              <w:rPr>
                <w:noProof/>
              </w:rPr>
              <w:lastRenderedPageBreak/>
              <w:drawing>
                <wp:inline distT="0" distB="0" distL="0" distR="0" wp14:anchorId="0E3D14DF" wp14:editId="58566C60">
                  <wp:extent cx="5943600" cy="503277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Others/LEARN_FIG1.png"/>
                          <pic:cNvPicPr>
                            <a:picLocks noChangeAspect="1" noChangeArrowheads="1"/>
                          </pic:cNvPicPr>
                        </pic:nvPicPr>
                        <pic:blipFill>
                          <a:blip r:embed="rId11"/>
                          <a:stretch>
                            <a:fillRect/>
                          </a:stretch>
                        </pic:blipFill>
                        <pic:spPr bwMode="auto">
                          <a:xfrm>
                            <a:off x="0" y="0"/>
                            <a:ext cx="5943600" cy="5032779"/>
                          </a:xfrm>
                          <a:prstGeom prst="rect">
                            <a:avLst/>
                          </a:prstGeom>
                          <a:noFill/>
                          <a:ln w="9525">
                            <a:noFill/>
                            <a:headEnd/>
                            <a:tailEnd/>
                          </a:ln>
                        </pic:spPr>
                      </pic:pic>
                    </a:graphicData>
                  </a:graphic>
                </wp:inline>
              </w:drawing>
            </w:r>
          </w:p>
          <w:p w14:paraId="5020B216" w14:textId="4BCE44B7" w:rsidR="00D10D64" w:rsidRPr="00D10D64" w:rsidRDefault="00000000" w:rsidP="00D10D64">
            <w:pPr>
              <w:pStyle w:val="ImageCaption"/>
              <w:spacing w:before="200" w:line="480" w:lineRule="auto"/>
              <w:rPr>
                <w:lang w:val="en-AU"/>
              </w:rPr>
            </w:pPr>
            <w:commentRangeStart w:id="68"/>
            <w:r>
              <w:t>Fig 1</w:t>
            </w:r>
            <w:commentRangeEnd w:id="68"/>
            <w:r w:rsidR="00F15F5F">
              <w:rPr>
                <w:rStyle w:val="CommentReference"/>
                <w:rFonts w:asciiTheme="minorHAnsi" w:hAnsiTheme="minorHAnsi"/>
              </w:rPr>
              <w:commentReference w:id="68"/>
            </w:r>
            <w:r>
              <w:t xml:space="preserve">— </w:t>
            </w:r>
            <w:r w:rsidR="00D10D64" w:rsidRPr="00D10D64">
              <w:rPr>
                <w:lang w:val="en-AU"/>
              </w:rPr>
              <w:t xml:space="preserve">Experimental design of the experiment. Panel A shows the early environment manipulation. In panel B, the measurements of the 3D-printed ramps employed in the habituation and learning tasks. Panel C shows the habituation process with the three different stages. And in panel D, the associative task. White lids in </w:t>
            </w:r>
            <w:commentRangeStart w:id="69"/>
            <w:r w:rsidR="00D10D64" w:rsidRPr="00D10D64">
              <w:rPr>
                <w:lang w:val="en-AU"/>
              </w:rPr>
              <w:t xml:space="preserve">**D** </w:t>
            </w:r>
            <w:commentRangeEnd w:id="69"/>
            <w:r w:rsidR="00F15F5F">
              <w:rPr>
                <w:rStyle w:val="CommentReference"/>
                <w:rFonts w:asciiTheme="minorHAnsi" w:hAnsiTheme="minorHAnsi"/>
              </w:rPr>
              <w:commentReference w:id="69"/>
            </w:r>
            <w:r w:rsidR="00D10D64" w:rsidRPr="00D10D64">
              <w:rPr>
                <w:lang w:val="en-AU"/>
              </w:rPr>
              <w:t>show the ramps where the food reward was not attainable.</w:t>
            </w:r>
          </w:p>
          <w:p w14:paraId="73C48CF1" w14:textId="115CCF76" w:rsidR="00C66620" w:rsidRDefault="00C66620" w:rsidP="00D10D64">
            <w:pPr>
              <w:pStyle w:val="ImageCaption"/>
              <w:spacing w:before="200" w:line="480" w:lineRule="auto"/>
            </w:pPr>
          </w:p>
        </w:tc>
        <w:bookmarkEnd w:id="67"/>
      </w:tr>
    </w:tbl>
    <w:p w14:paraId="3BA3EB5C" w14:textId="77777777" w:rsidR="00C66620" w:rsidRDefault="00000000" w:rsidP="00D10D64">
      <w:pPr>
        <w:pStyle w:val="Heading4"/>
        <w:spacing w:line="480" w:lineRule="auto"/>
      </w:pPr>
      <w:bookmarkStart w:id="70" w:name="statistical-analyses"/>
      <w:bookmarkEnd w:id="43"/>
      <w:r>
        <w:lastRenderedPageBreak/>
        <w:t>Statistical analyses</w:t>
      </w:r>
    </w:p>
    <w:p w14:paraId="1A88FFF1" w14:textId="321F92C1" w:rsidR="00C66620" w:rsidRDefault="00000000" w:rsidP="00D10D64">
      <w:pPr>
        <w:pStyle w:val="FirstParagraph"/>
        <w:spacing w:line="480" w:lineRule="auto"/>
      </w:pPr>
      <w:r>
        <w:t xml:space="preserve">We performed the analyses for species separately. </w:t>
      </w:r>
      <w:del w:id="71" w:author="Amelia Peardon" w:date="2024-09-08T14:47:00Z" w16du:dateUtc="2024-09-08T04:47:00Z">
        <w:r w:rsidDel="00240BEC">
          <w:delText xml:space="preserve">Because </w:delText>
        </w:r>
      </w:del>
      <w:ins w:id="72" w:author="Amelia Peardon" w:date="2024-09-08T14:47:00Z" w16du:dateUtc="2024-09-08T04:47:00Z">
        <w:r w:rsidR="00240BEC">
          <w:t xml:space="preserve">As </w:t>
        </w:r>
      </w:ins>
      <w:r>
        <w:t>preliminary analyses showed a significant effect of the colour assigned, we decided to split the data by colour (blue or red). Therefore, we run a total of four different Bayesian multilevel models using the brm function from the brms package (Bürkner (</w:t>
      </w:r>
      <w:hyperlink w:anchor="ref-burkner2017brms">
        <w:r>
          <w:rPr>
            <w:rStyle w:val="Hyperlink"/>
          </w:rPr>
          <w:t>2017</w:t>
        </w:r>
      </w:hyperlink>
      <w:r>
        <w:t>)) in Quarto (Allaire et al. (</w:t>
      </w:r>
      <w:hyperlink w:anchor="ref-Allaire_Quarto_2022">
        <w:r>
          <w:rPr>
            <w:rStyle w:val="Hyperlink"/>
          </w:rPr>
          <w:t>2022</w:t>
        </w:r>
      </w:hyperlink>
      <w:r>
        <w:t>)). We ran four parallel MCMC chains of 3000 iterations for each model, with a warmup period of 1000 iterations.</w:t>
      </w:r>
    </w:p>
    <w:p w14:paraId="14CF7A06" w14:textId="77777777" w:rsidR="00C66620" w:rsidRDefault="00000000" w:rsidP="00D10D64">
      <w:pPr>
        <w:pStyle w:val="BodyText"/>
        <w:spacing w:line="480" w:lineRule="auto"/>
      </w:pPr>
      <w:commentRangeStart w:id="73"/>
      <w:r>
        <w:t xml:space="preserve">We employed correct choice </w:t>
      </w:r>
      <w:commentRangeEnd w:id="73"/>
      <w:r w:rsidR="00200C65">
        <w:rPr>
          <w:rStyle w:val="CommentReference"/>
        </w:rPr>
        <w:commentReference w:id="73"/>
      </w:r>
      <w:r>
        <w:t>[correct (1) or not (0)] as the response variable, and trial, incubation temperature (Cold versus Hot), hormone (CORT versus Control), and the three-way interaction as fixed factors. The error structure was modeled using a Bernoulli distribution with a logit link function (family = Bernoulli(link = ‘logit’)). We included a random intercept and slope (trial) for each lizard in our models. Furthermore, even if our split clutch design should control for potential effects of paternity, we also incorporated the clutch identity as a random factor. Because eggs were collected during half of the breeding season and both species do not lay more than two clutches (</w:t>
      </w:r>
      <w:hyperlink w:anchor="ref-chapple_know_2011">
        <w:r>
          <w:rPr>
            <w:rStyle w:val="Hyperlink"/>
          </w:rPr>
          <w:t>Chapple et al. 2011</w:t>
        </w:r>
      </w:hyperlink>
      <w:r>
        <w:t xml:space="preserve">, </w:t>
      </w:r>
      <w:hyperlink w:anchor="ref-chapple_biology_2014">
        <w:r>
          <w:rPr>
            <w:rStyle w:val="Hyperlink"/>
          </w:rPr>
          <w:t>2014</w:t>
        </w:r>
      </w:hyperlink>
      <w:r>
        <w:t>), each clutch likely come from a unique mother, and so, clutch identity captures potential maternal effects. Learning in lizards can be age-dependent (</w:t>
      </w:r>
      <w:hyperlink w:anchor="ref-noble_age-dependent_2014">
        <w:r>
          <w:rPr>
            <w:rStyle w:val="Hyperlink"/>
          </w:rPr>
          <w:t>Noble et al. 2014</w:t>
        </w:r>
      </w:hyperlink>
      <w:r>
        <w:t xml:space="preserve">), and given that incubation temperature can affect hatching time, we explored the effects of age on learning. Lizards’ age at the beginning of the experiment ranged from 41 to 148 days old in </w:t>
      </w:r>
      <w:r>
        <w:rPr>
          <w:i/>
          <w:iCs/>
        </w:rPr>
        <w:t>L. delicata</w:t>
      </w:r>
      <w:r>
        <w:t xml:space="preserve"> and 48 to 132 in </w:t>
      </w:r>
      <w:r>
        <w:rPr>
          <w:i/>
          <w:iCs/>
        </w:rPr>
        <w:t>L. guichenoti</w:t>
      </w:r>
      <w:r>
        <w:t>. However, when this variable was included in the models we did not find any significant effect of age (see Supplementary material). As such, we present models without age as a fixed effect.</w:t>
      </w:r>
    </w:p>
    <w:p w14:paraId="7688F7DE" w14:textId="77777777" w:rsidR="00C66620" w:rsidRDefault="00000000" w:rsidP="00D10D64">
      <w:pPr>
        <w:pStyle w:val="BodyText"/>
        <w:spacing w:line="480" w:lineRule="auto"/>
      </w:pPr>
      <w:commentRangeStart w:id="74"/>
      <w:r>
        <w:lastRenderedPageBreak/>
        <w:t xml:space="preserve">We used the posterior distributions </w:t>
      </w:r>
      <w:commentRangeEnd w:id="74"/>
      <w:r w:rsidR="00200C65">
        <w:rPr>
          <w:rStyle w:val="CommentReference"/>
        </w:rPr>
        <w:commentReference w:id="74"/>
      </w:r>
      <w:r>
        <w:t>of parameters from these models to test for differences in learning rate between treatments and species. Learning reates were estiamated as the choice-trial slope, obtained for each treatment by using the ‘trial’ estimates and its interaction with hormone and temperature. Slope estimates greater than zero were considered as evidence of learning, while those less or equal to zero were not. We employed the posterior predictive Markov chain Monte Carlo (p</w:t>
      </w:r>
      <w:r>
        <w:rPr>
          <w:vertAlign w:val="subscript"/>
        </w:rPr>
        <w:t>mcmc</w:t>
      </w:r>
      <w:r>
        <w:t>) to test the hypothesis that slopes and slopes contrasts were different from zero. We considered statistical significance if p</w:t>
      </w:r>
      <w:r>
        <w:rPr>
          <w:vertAlign w:val="subscript"/>
        </w:rPr>
        <w:t>mcmc</w:t>
      </w:r>
      <w:r>
        <w:t xml:space="preserve"> &lt; 0.05.</w:t>
      </w:r>
    </w:p>
    <w:p w14:paraId="7F99E89F" w14:textId="77777777" w:rsidR="00C66620" w:rsidRDefault="00000000" w:rsidP="00D10D64">
      <w:pPr>
        <w:pStyle w:val="Heading2"/>
        <w:spacing w:line="480" w:lineRule="auto"/>
      </w:pPr>
      <w:bookmarkStart w:id="75" w:name="results"/>
      <w:bookmarkEnd w:id="16"/>
      <w:bookmarkEnd w:id="70"/>
      <w:r>
        <w:t>Results</w:t>
      </w:r>
    </w:p>
    <w:p w14:paraId="4E7E0808" w14:textId="25443C2F" w:rsidR="00C66620" w:rsidRDefault="00000000" w:rsidP="00D10D64">
      <w:pPr>
        <w:pStyle w:val="FirstParagraph"/>
        <w:spacing w:line="480" w:lineRule="auto"/>
      </w:pPr>
      <w:r>
        <w:t xml:space="preserve">Originally, we started with 96 lizards, 48 per species and 12 per treatment per species. However, due to natural mortality (n = 11), </w:t>
      </w:r>
      <w:ins w:id="76" w:author="Amelia Peardon" w:date="2024-09-08T14:53:00Z" w16du:dateUtc="2024-09-08T04:53:00Z">
        <w:r w:rsidR="006258A3">
          <w:t>in</w:t>
        </w:r>
      </w:ins>
      <w:del w:id="77" w:author="Amelia Peardon" w:date="2024-09-08T14:53:00Z" w16du:dateUtc="2024-09-08T04:53:00Z">
        <w:r w:rsidDel="006258A3">
          <w:delText xml:space="preserve">no </w:delText>
        </w:r>
      </w:del>
      <w:r>
        <w:t>completion of the training stage (n = 1), or no motivation during the learning tasks (n = 3), we</w:t>
      </w:r>
      <w:ins w:id="78" w:author="Amelia Peardon" w:date="2024-09-08T14:54:00Z" w16du:dateUtc="2024-09-08T04:54:00Z">
        <w:r w:rsidR="00B22592">
          <w:t xml:space="preserve"> had a final</w:t>
        </w:r>
      </w:ins>
      <w:del w:id="79" w:author="Amelia Peardon" w:date="2024-09-08T14:54:00Z" w16du:dateUtc="2024-09-08T04:54:00Z">
        <w:r w:rsidDel="00B22592">
          <w:delText xml:space="preserve"> ended up with a</w:delText>
        </w:r>
      </w:del>
      <w:r>
        <w:t xml:space="preserve"> total of 81 lizards. Final sample sizes per treatment and species are listed in </w:t>
      </w:r>
      <w:hyperlink w:anchor="fig-deli">
        <w:r>
          <w:rPr>
            <w:rStyle w:val="Hyperlink"/>
          </w:rPr>
          <w:t>Fig. 2</w:t>
        </w:r>
      </w:hyperlink>
      <w:r>
        <w:t xml:space="preserve"> and </w:t>
      </w:r>
      <w:hyperlink w:anchor="fig-guich">
        <w:r>
          <w:rPr>
            <w:rStyle w:val="Hyperlink"/>
          </w:rPr>
          <w:t>Fig. 3</w:t>
        </w:r>
      </w:hyperlink>
      <w:r>
        <w:t xml:space="preserve"> (figures for both species with the raw data are included in the Supplementary Material). Mean slopes per treatment for both species are provided in Table 1 in </w:t>
      </w:r>
      <w:ins w:id="80" w:author="Amelia Peardon" w:date="2024-09-08T14:54:00Z" w16du:dateUtc="2024-09-08T04:54:00Z">
        <w:r w:rsidR="00B22592">
          <w:t xml:space="preserve">the </w:t>
        </w:r>
      </w:ins>
      <w:r>
        <w:t>Supplementary Material.</w:t>
      </w:r>
    </w:p>
    <w:p w14:paraId="540706E1" w14:textId="5B2AFDB3" w:rsidR="00C66620" w:rsidRDefault="00000000" w:rsidP="00D10D64">
      <w:pPr>
        <w:pStyle w:val="BodyText"/>
        <w:spacing w:line="480" w:lineRule="auto"/>
      </w:pPr>
      <w:commentRangeStart w:id="81"/>
      <w:r>
        <w:t xml:space="preserve">We found that the estimated </w:t>
      </w:r>
      <w:commentRangeEnd w:id="81"/>
      <w:r w:rsidR="008161A9">
        <w:rPr>
          <w:rStyle w:val="CommentReference"/>
        </w:rPr>
        <w:commentReference w:id="81"/>
      </w:r>
      <w:r>
        <w:t xml:space="preserve">learning slopes were lower when the blue feeders were the correct choice compared to slopes of individuals assigned to the group ‘Red’ for </w:t>
      </w:r>
      <w:r>
        <w:rPr>
          <w:i/>
          <w:iCs/>
        </w:rPr>
        <w:t>L. delicata</w:t>
      </w:r>
      <w:r>
        <w:t xml:space="preserve"> </w:t>
      </w:r>
      <w:commentRangeStart w:id="82"/>
      <w:r>
        <w:t>(‘Blue’ mean learning slope = 0.023, 95 CI = [-0.041 , 0.090]; ‘Red’ mean learning slope = 0.085, 95% CI = [0.030 , 0.143]; slope contrast: ‘Blue’ learning slope - ‘Red’</w:t>
      </w:r>
      <w:ins w:id="83" w:author="Amelia Peardon" w:date="2024-09-09T14:15:00Z" w16du:dateUtc="2024-09-09T04:15:00Z">
        <w:r w:rsidR="00D06C5E">
          <w:t xml:space="preserve"> </w:t>
        </w:r>
      </w:ins>
      <w:r>
        <w:t xml:space="preserve">learning slope = -0.062, </w:t>
      </w:r>
      <w:proofErr w:type="spellStart"/>
      <w:r>
        <w:t>p~mcmc</w:t>
      </w:r>
      <w:proofErr w:type="spellEnd"/>
      <w:r>
        <w:t xml:space="preserve"> 0.12)</w:t>
      </w:r>
      <w:commentRangeEnd w:id="82"/>
      <w:r w:rsidR="00D06C5E">
        <w:rPr>
          <w:rStyle w:val="CommentReference"/>
        </w:rPr>
        <w:commentReference w:id="82"/>
      </w:r>
      <w:r>
        <w:t xml:space="preserve">, but not for </w:t>
      </w:r>
      <w:r>
        <w:rPr>
          <w:i/>
          <w:iCs/>
        </w:rPr>
        <w:t>L. guichenoti</w:t>
      </w:r>
      <w:r>
        <w:t xml:space="preserve"> </w:t>
      </w:r>
      <w:commentRangeStart w:id="84"/>
      <w:r>
        <w:t>(’Blue’ mean learning slope = 0.063, 95% CI = [-0.030 , 0.149]; ‘Red’ mean learning slope = 0.103, 95 CI = [0.032 , 0.180]; ‘Blue’ learning slope - ’Red’</w:t>
      </w:r>
      <w:ins w:id="85" w:author="Amelia Peardon" w:date="2024-09-09T14:16:00Z" w16du:dateUtc="2024-09-09T04:16:00Z">
        <w:r w:rsidR="00D06C5E">
          <w:t xml:space="preserve"> </w:t>
        </w:r>
      </w:ins>
      <w:r>
        <w:t xml:space="preserve">learning slope = -0.041, </w:t>
      </w:r>
      <w:proofErr w:type="spellStart"/>
      <w:r>
        <w:t>p~mcmc</w:t>
      </w:r>
      <w:proofErr w:type="spellEnd"/>
      <w:r>
        <w:t xml:space="preserve"> 0.46)</w:t>
      </w:r>
      <w:commentRangeEnd w:id="84"/>
      <w:r w:rsidR="00D06C5E">
        <w:rPr>
          <w:rStyle w:val="CommentReference"/>
        </w:rPr>
        <w:commentReference w:id="84"/>
      </w:r>
      <w:r>
        <w:t xml:space="preserve">. However, further analyses using the </w:t>
      </w:r>
      <w:r>
        <w:lastRenderedPageBreak/>
        <w:t>first trial indicated a potential bias towards blue in the initial choice (see Supplementary Material) that could be affecting the estimated slopes. As such, we analysed the between treatments differences for each group separately.</w:t>
      </w:r>
    </w:p>
    <w:p w14:paraId="2C9FB5C3" w14:textId="77777777" w:rsidR="00C66620" w:rsidRDefault="00000000" w:rsidP="00D10D64">
      <w:pPr>
        <w:pStyle w:val="BodyText"/>
        <w:spacing w:line="480" w:lineRule="auto"/>
      </w:pPr>
      <w:commentRangeStart w:id="86"/>
      <w:r>
        <w:t xml:space="preserve">For those </w:t>
      </w:r>
      <w:r>
        <w:rPr>
          <w:i/>
          <w:iCs/>
        </w:rPr>
        <w:t>L. delicata</w:t>
      </w:r>
      <w:r>
        <w:t xml:space="preserve"> assigned </w:t>
      </w:r>
      <w:commentRangeEnd w:id="86"/>
      <w:r w:rsidR="005F4B58">
        <w:rPr>
          <w:rStyle w:val="CommentReference"/>
        </w:rPr>
        <w:commentReference w:id="86"/>
      </w:r>
      <w:r>
        <w:t>to group ‘Red’, we did not find any significant differences between hormones (Control - CORT = -0.110, p</w:t>
      </w:r>
      <w:r>
        <w:rPr>
          <w:vertAlign w:val="subscript"/>
        </w:rPr>
        <w:t>mcmc</w:t>
      </w:r>
      <w:r>
        <w:t xml:space="preserve"> &lt; 0.05), temperature (Hot - Cold = -0.004, </w:t>
      </w:r>
      <w:proofErr w:type="spellStart"/>
      <w:r>
        <w:t>p</w:t>
      </w:r>
      <w:r>
        <w:rPr>
          <w:vertAlign w:val="subscript"/>
        </w:rPr>
        <w:t>mcmc</w:t>
      </w:r>
      <w:proofErr w:type="spellEnd"/>
      <w:r>
        <w:t xml:space="preserve"> </w:t>
      </w:r>
      <w:commentRangeStart w:id="87"/>
      <w:proofErr w:type="spellStart"/>
      <w:r>
        <w:rPr>
          <w:rStyle w:val="VerbatimChar"/>
        </w:rPr>
        <w:t>format_p</w:t>
      </w:r>
      <w:proofErr w:type="spellEnd"/>
      <w:r>
        <w:rPr>
          <w:rStyle w:val="VerbatimChar"/>
        </w:rPr>
        <w:t>(</w:t>
      </w:r>
      <w:proofErr w:type="spellStart"/>
      <w:r>
        <w:rPr>
          <w:rStyle w:val="VerbatimChar"/>
        </w:rPr>
        <w:t>pmcmc</w:t>
      </w:r>
      <w:proofErr w:type="spellEnd"/>
      <w:r>
        <w:rPr>
          <w:rStyle w:val="VerbatimChar"/>
        </w:rPr>
        <w:t>(c(</w:t>
      </w:r>
      <w:proofErr w:type="spellStart"/>
      <w:r>
        <w:rPr>
          <w:rStyle w:val="VerbatimChar"/>
        </w:rPr>
        <w:t>dar_ControlHot</w:t>
      </w:r>
      <w:proofErr w:type="spellEnd"/>
      <w:r>
        <w:rPr>
          <w:rStyle w:val="VerbatimChar"/>
        </w:rPr>
        <w:t xml:space="preserve">, </w:t>
      </w:r>
      <w:proofErr w:type="spellStart"/>
      <w:r>
        <w:rPr>
          <w:rStyle w:val="VerbatimChar"/>
        </w:rPr>
        <w:t>dar_CORTHot</w:t>
      </w:r>
      <w:proofErr w:type="spellEnd"/>
      <w:r>
        <w:rPr>
          <w:rStyle w:val="VerbatimChar"/>
        </w:rPr>
        <w:t>) - c(</w:t>
      </w:r>
      <w:proofErr w:type="spellStart"/>
      <w:r>
        <w:rPr>
          <w:rStyle w:val="VerbatimChar"/>
        </w:rPr>
        <w:t>dar_ControlCold</w:t>
      </w:r>
      <w:proofErr w:type="spellEnd"/>
      <w:r>
        <w:rPr>
          <w:rStyle w:val="VerbatimChar"/>
        </w:rPr>
        <w:t xml:space="preserve">, </w:t>
      </w:r>
      <w:proofErr w:type="spellStart"/>
      <w:r>
        <w:rPr>
          <w:rStyle w:val="VerbatimChar"/>
        </w:rPr>
        <w:t>dar_CORTCold</w:t>
      </w:r>
      <w:proofErr w:type="spellEnd"/>
      <w:r>
        <w:rPr>
          <w:rStyle w:val="VerbatimChar"/>
        </w:rPr>
        <w:t>)), 3)</w:t>
      </w:r>
      <w:commentRangeEnd w:id="87"/>
      <w:r w:rsidR="004E3411">
        <w:rPr>
          <w:rStyle w:val="CommentReference"/>
        </w:rPr>
        <w:commentReference w:id="87"/>
      </w:r>
      <w:r>
        <w:t>), or the interaction ([(Control-Hot - CORT-Hot) - (Control-Cold - CORT-Cold)] = 0.061, p</w:t>
      </w:r>
      <w:r>
        <w:rPr>
          <w:vertAlign w:val="subscript"/>
        </w:rPr>
        <w:t>mcmc</w:t>
      </w:r>
      <w:r>
        <w:t xml:space="preserve"> 0.17) (</w:t>
      </w:r>
      <w:hyperlink w:anchor="fig-deli">
        <w:r>
          <w:rPr>
            <w:rStyle w:val="Hyperlink"/>
          </w:rPr>
          <w:t>Fig. 2</w:t>
        </w:r>
      </w:hyperlink>
      <w:r>
        <w:t xml:space="preserve"> A, B). Similarly, those assigned to ‘Blue’ were not afected by CORT (Control - CORT = -0.083, p</w:t>
      </w:r>
      <w:r>
        <w:rPr>
          <w:vertAlign w:val="subscript"/>
        </w:rPr>
        <w:t>mcmc</w:t>
      </w:r>
      <w:r>
        <w:t xml:space="preserve"> 0.06), temperature (Hot - Cold = 0.040, p</w:t>
      </w:r>
      <w:r>
        <w:rPr>
          <w:vertAlign w:val="subscript"/>
        </w:rPr>
        <w:t>mcmc</w:t>
      </w:r>
      <w:r>
        <w:t xml:space="preserve"> </w:t>
      </w:r>
      <w:r>
        <w:rPr>
          <w:rStyle w:val="VerbatimChar"/>
        </w:rPr>
        <w:t>format_p(pmcmc(c(dab_ControlHot, dab_CORTHot) - c(dab_ControlCold, dab_CORTCold)), 3)</w:t>
      </w:r>
      <w:r>
        <w:t>), or the interaction ([(Control-Hot - CORT-Hot) - (Control-Cold - CORT-Cold)] = 0.041, p</w:t>
      </w:r>
      <w:r>
        <w:rPr>
          <w:vertAlign w:val="subscript"/>
        </w:rPr>
        <w:t>mcmc</w:t>
      </w:r>
      <w:r>
        <w:t xml:space="preserve"> 0.41) (</w:t>
      </w:r>
      <w:hyperlink w:anchor="fig-deli">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C66620" w14:paraId="29E68EEE" w14:textId="77777777">
        <w:tc>
          <w:tcPr>
            <w:tcW w:w="0" w:type="auto"/>
          </w:tcPr>
          <w:p w14:paraId="060CD362" w14:textId="77777777" w:rsidR="00C66620" w:rsidRDefault="00000000" w:rsidP="00D10D64">
            <w:pPr>
              <w:spacing w:line="480" w:lineRule="auto"/>
              <w:jc w:val="center"/>
            </w:pPr>
            <w:bookmarkStart w:id="88" w:name="fig-deli"/>
            <w:r>
              <w:rPr>
                <w:noProof/>
              </w:rPr>
              <w:lastRenderedPageBreak/>
              <w:drawing>
                <wp:inline distT="0" distB="0" distL="0" distR="0" wp14:anchorId="06889604" wp14:editId="40EFC396">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deli.png"/>
                          <pic:cNvPicPr>
                            <a:picLocks noChangeAspect="1" noChangeArrowheads="1"/>
                          </pic:cNvPicPr>
                        </pic:nvPicPr>
                        <pic:blipFill>
                          <a:blip r:embed="rId12"/>
                          <a:stretch>
                            <a:fillRect/>
                          </a:stretch>
                        </pic:blipFill>
                        <pic:spPr bwMode="auto">
                          <a:xfrm>
                            <a:off x="0" y="0"/>
                            <a:ext cx="5943600" cy="4278788"/>
                          </a:xfrm>
                          <a:prstGeom prst="rect">
                            <a:avLst/>
                          </a:prstGeom>
                          <a:noFill/>
                          <a:ln w="9525">
                            <a:noFill/>
                            <a:headEnd/>
                            <a:tailEnd/>
                          </a:ln>
                        </pic:spPr>
                      </pic:pic>
                    </a:graphicData>
                  </a:graphic>
                </wp:inline>
              </w:drawing>
            </w:r>
          </w:p>
          <w:p w14:paraId="35160C67" w14:textId="77777777" w:rsidR="00C66620" w:rsidRDefault="00000000" w:rsidP="00D10D64">
            <w:pPr>
              <w:pStyle w:val="ImageCaption"/>
              <w:spacing w:before="200" w:line="480" w:lineRule="auto"/>
            </w:pPr>
            <w:commentRangeStart w:id="89"/>
            <w:r>
              <w:t xml:space="preserve">Fig 2— Results </w:t>
            </w:r>
            <w:commentRangeEnd w:id="89"/>
            <w:r w:rsidR="009A68C8">
              <w:rPr>
                <w:rStyle w:val="CommentReference"/>
                <w:rFonts w:asciiTheme="minorHAnsi" w:hAnsiTheme="minorHAnsi"/>
              </w:rPr>
              <w:commentReference w:id="89"/>
            </w:r>
            <w:r>
              <w:t xml:space="preserve">for </w:t>
            </w:r>
            <w:proofErr w:type="spellStart"/>
            <w:r w:rsidRPr="009A68C8">
              <w:rPr>
                <w:i/>
                <w:iCs/>
                <w:rPrChange w:id="90" w:author="Amelia Peardon" w:date="2024-09-08T14:57:00Z" w16du:dateUtc="2024-09-08T04:57:00Z">
                  <w:rPr/>
                </w:rPrChange>
              </w:rPr>
              <w:t>Lampropholis</w:t>
            </w:r>
            <w:proofErr w:type="spellEnd"/>
            <w:r w:rsidRPr="009A68C8">
              <w:rPr>
                <w:i/>
                <w:iCs/>
                <w:rPrChange w:id="91" w:author="Amelia Peardon" w:date="2024-09-08T14:57:00Z" w16du:dateUtc="2024-09-08T04:57:00Z">
                  <w:rPr/>
                </w:rPrChange>
              </w:rPr>
              <w:t xml:space="preserve"> delicata</w:t>
            </w:r>
            <w:r>
              <w:t xml:space="preserve"> for both colour groups ‘Red’ (</w:t>
            </w:r>
            <w:proofErr w:type="gramStart"/>
            <w:r>
              <w:t>A,B</w:t>
            </w:r>
            <w:proofErr w:type="gramEnd"/>
            <w:r>
              <w:t>) and ‘Blue’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88"/>
      </w:tr>
    </w:tbl>
    <w:p w14:paraId="0D060D31" w14:textId="77777777" w:rsidR="00C66620" w:rsidRDefault="00000000" w:rsidP="00D10D64">
      <w:pPr>
        <w:pStyle w:val="BodyText"/>
        <w:spacing w:line="480" w:lineRule="auto"/>
      </w:pPr>
      <w:r>
        <w:lastRenderedPageBreak/>
        <w:t xml:space="preserve">In </w:t>
      </w:r>
      <w:r>
        <w:rPr>
          <w:i/>
          <w:iCs/>
        </w:rPr>
        <w:t>L. guichenoti</w:t>
      </w:r>
      <w:r>
        <w:t>, we did not find any significant differences between hormones (Control - CORT = -0.078, p</w:t>
      </w:r>
      <w:r>
        <w:rPr>
          <w:vertAlign w:val="subscript"/>
        </w:rPr>
        <w:t>mcmc</w:t>
      </w:r>
      <w:r>
        <w:t xml:space="preserve"> 0.18), temperature (Hot - Cold = -0.032, p</w:t>
      </w:r>
      <w:r>
        <w:rPr>
          <w:vertAlign w:val="subscript"/>
        </w:rPr>
        <w:t>mcmc</w:t>
      </w:r>
      <w:r>
        <w:t xml:space="preserve"> </w:t>
      </w:r>
      <w:r>
        <w:rPr>
          <w:rStyle w:val="VerbatimChar"/>
        </w:rPr>
        <w:t>format_p(pmcmc(c(gar_ControlHot, gar_CORTHot) - c(gar_ControlCold, gar_CORTCold)), 3)</w:t>
      </w:r>
      <w:r>
        <w:t>), or the interaction ([(Control-Hot - CORT-Hot) - (Control-Cold - CORT-Cold)] = 0.026, p</w:t>
      </w:r>
      <w:r>
        <w:rPr>
          <w:vertAlign w:val="subscript"/>
        </w:rPr>
        <w:t>mcmc</w:t>
      </w:r>
      <w:r>
        <w:t xml:space="preserve"> 0.66) for those assigned to the ‘Red’ group (</w:t>
      </w:r>
      <w:hyperlink w:anchor="fig-guich">
        <w:r>
          <w:rPr>
            <w:rStyle w:val="Hyperlink"/>
          </w:rPr>
          <w:t>Fig. 3</w:t>
        </w:r>
      </w:hyperlink>
      <w:r>
        <w:t xml:space="preserve"> A, B); and we did not find any significant effect of hormone (Control - CORT = -0.134, p</w:t>
      </w:r>
      <w:r>
        <w:rPr>
          <w:vertAlign w:val="subscript"/>
        </w:rPr>
        <w:t>mcmc</w:t>
      </w:r>
      <w:r>
        <w:t xml:space="preserve"> &lt; 0.05), temperature (Hot - Cold = 0.040, p</w:t>
      </w:r>
      <w:r>
        <w:rPr>
          <w:vertAlign w:val="subscript"/>
        </w:rPr>
        <w:t>mcmc</w:t>
      </w:r>
      <w:r>
        <w:t xml:space="preserve"> </w:t>
      </w:r>
      <w:r>
        <w:rPr>
          <w:rStyle w:val="VerbatimChar"/>
        </w:rPr>
        <w:t>format_p(pmcmc(c(gab_ControlHot, gab_CORTHot) - c(gab_ControlCold, gab_CORTCold)), 3)</w:t>
      </w:r>
      <w:r>
        <w:t>), or the interaction ([(Control-Hot - CORT-Hot) - (Control-Cold - CORT-Cold)] = 0.016, p</w:t>
      </w:r>
      <w:r>
        <w:rPr>
          <w:vertAlign w:val="subscript"/>
        </w:rPr>
        <w:t>mcmc</w:t>
      </w:r>
      <w:r>
        <w:t xml:space="preserve"> 0.79) for those assigned to ‘Blue’ (</w:t>
      </w:r>
      <w:hyperlink w:anchor="fig-guich">
        <w:r>
          <w:rPr>
            <w:rStyle w:val="Hyperlink"/>
          </w:rPr>
          <w:t>Fig. 3</w:t>
        </w:r>
      </w:hyperlink>
      <w:r>
        <w:t xml:space="preserve"> C, D).</w:t>
      </w:r>
    </w:p>
    <w:tbl>
      <w:tblPr>
        <w:tblStyle w:val="Table"/>
        <w:tblW w:w="5000" w:type="pct"/>
        <w:tblLook w:val="0000" w:firstRow="0" w:lastRow="0" w:firstColumn="0" w:lastColumn="0" w:noHBand="0" w:noVBand="0"/>
      </w:tblPr>
      <w:tblGrid>
        <w:gridCol w:w="9360"/>
      </w:tblGrid>
      <w:tr w:rsidR="00C66620" w14:paraId="6424139E" w14:textId="77777777">
        <w:tc>
          <w:tcPr>
            <w:tcW w:w="0" w:type="auto"/>
          </w:tcPr>
          <w:p w14:paraId="3C34C447" w14:textId="77777777" w:rsidR="00C66620" w:rsidRDefault="00000000" w:rsidP="00D10D64">
            <w:pPr>
              <w:spacing w:line="480" w:lineRule="auto"/>
              <w:jc w:val="center"/>
            </w:pPr>
            <w:bookmarkStart w:id="92" w:name="fig-guich"/>
            <w:r>
              <w:rPr>
                <w:noProof/>
              </w:rPr>
              <w:lastRenderedPageBreak/>
              <w:drawing>
                <wp:inline distT="0" distB="0" distL="0" distR="0" wp14:anchorId="492F2ACE" wp14:editId="318A0E75">
                  <wp:extent cx="5943600" cy="427878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output/figures/fig_guich.png"/>
                          <pic:cNvPicPr>
                            <a:picLocks noChangeAspect="1" noChangeArrowheads="1"/>
                          </pic:cNvPicPr>
                        </pic:nvPicPr>
                        <pic:blipFill>
                          <a:blip r:embed="rId13"/>
                          <a:stretch>
                            <a:fillRect/>
                          </a:stretch>
                        </pic:blipFill>
                        <pic:spPr bwMode="auto">
                          <a:xfrm>
                            <a:off x="0" y="0"/>
                            <a:ext cx="5943600" cy="4278788"/>
                          </a:xfrm>
                          <a:prstGeom prst="rect">
                            <a:avLst/>
                          </a:prstGeom>
                          <a:noFill/>
                          <a:ln w="9525">
                            <a:noFill/>
                            <a:headEnd/>
                            <a:tailEnd/>
                          </a:ln>
                        </pic:spPr>
                      </pic:pic>
                    </a:graphicData>
                  </a:graphic>
                </wp:inline>
              </w:drawing>
            </w:r>
          </w:p>
          <w:p w14:paraId="4F5AA977" w14:textId="77777777" w:rsidR="00C66620" w:rsidRDefault="00000000" w:rsidP="00D10D64">
            <w:pPr>
              <w:pStyle w:val="ImageCaption"/>
              <w:spacing w:before="200" w:line="480" w:lineRule="auto"/>
            </w:pPr>
            <w:commentRangeStart w:id="93"/>
            <w:r>
              <w:t xml:space="preserve">Fig 3— </w:t>
            </w:r>
            <w:commentRangeEnd w:id="93"/>
            <w:r w:rsidR="00FE27E2">
              <w:rPr>
                <w:rStyle w:val="CommentReference"/>
                <w:rFonts w:asciiTheme="minorHAnsi" w:hAnsiTheme="minorHAnsi"/>
              </w:rPr>
              <w:commentReference w:id="93"/>
            </w:r>
            <w:r>
              <w:t xml:space="preserve">Results for </w:t>
            </w:r>
            <w:proofErr w:type="spellStart"/>
            <w:r w:rsidRPr="0063286A">
              <w:rPr>
                <w:i/>
                <w:iCs/>
                <w:rPrChange w:id="94" w:author="Amelia Peardon" w:date="2024-09-08T15:02:00Z" w16du:dateUtc="2024-09-08T05:02:00Z">
                  <w:rPr/>
                </w:rPrChange>
              </w:rPr>
              <w:t>Lampropholis</w:t>
            </w:r>
            <w:proofErr w:type="spellEnd"/>
            <w:r w:rsidRPr="0063286A">
              <w:rPr>
                <w:i/>
                <w:iCs/>
                <w:rPrChange w:id="95" w:author="Amelia Peardon" w:date="2024-09-08T15:02:00Z" w16du:dateUtc="2024-09-08T05:02:00Z">
                  <w:rPr/>
                </w:rPrChange>
              </w:rPr>
              <w:t xml:space="preserve"> </w:t>
            </w:r>
            <w:proofErr w:type="spellStart"/>
            <w:r w:rsidRPr="0063286A">
              <w:rPr>
                <w:i/>
                <w:iCs/>
                <w:rPrChange w:id="96" w:author="Amelia Peardon" w:date="2024-09-08T15:02:00Z" w16du:dateUtc="2024-09-08T05:02:00Z">
                  <w:rPr/>
                </w:rPrChange>
              </w:rPr>
              <w:t>guichenoti</w:t>
            </w:r>
            <w:proofErr w:type="spellEnd"/>
            <w:r>
              <w:t xml:space="preserve"> for both colour groups ‘Red’ (</w:t>
            </w:r>
            <w:proofErr w:type="gramStart"/>
            <w:r>
              <w:t>A,B</w:t>
            </w:r>
            <w:proofErr w:type="gramEnd"/>
            <w:r>
              <w:t>) and ‘Blue’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92"/>
      </w:tr>
    </w:tbl>
    <w:p w14:paraId="571188FC" w14:textId="60C9C24B" w:rsidR="00C66620" w:rsidRDefault="00000000" w:rsidP="00D10D64">
      <w:pPr>
        <w:pStyle w:val="BodyText"/>
        <w:spacing w:line="480" w:lineRule="auto"/>
      </w:pPr>
      <w:r>
        <w:lastRenderedPageBreak/>
        <w:t>Finally, we also did not find any significant differences when we compared the estimated slopes between species for ‘Red’ group</w:t>
      </w:r>
      <w:ins w:id="97" w:author="Amelia Peardon" w:date="2024-09-09T14:25:00Z" w16du:dateUtc="2024-09-09T04:25:00Z">
        <w:r w:rsidR="0055381F">
          <w:t xml:space="preserve"> </w:t>
        </w:r>
      </w:ins>
      <w:r>
        <w:t>(</w:t>
      </w:r>
      <w:r>
        <w:rPr>
          <w:i/>
          <w:iCs/>
        </w:rPr>
        <w:t>L. delicata</w:t>
      </w:r>
      <w:r>
        <w:t xml:space="preserve"> mean learning slope = 0.077, 95% CI = [0.026 , 0.135]; </w:t>
      </w:r>
      <w:r>
        <w:rPr>
          <w:i/>
          <w:iCs/>
        </w:rPr>
        <w:t>L. guichenoti</w:t>
      </w:r>
      <w:r>
        <w:t xml:space="preserve"> mean learning slope = 0.092, 95% CI = [0.023 , 0.171]; </w:t>
      </w:r>
      <w:r>
        <w:rPr>
          <w:i/>
          <w:iCs/>
        </w:rPr>
        <w:t>L. delicata</w:t>
      </w:r>
      <w:r>
        <w:t xml:space="preserve"> - </w:t>
      </w:r>
      <w:r>
        <w:rPr>
          <w:i/>
          <w:iCs/>
        </w:rPr>
        <w:t>L. guichenoti</w:t>
      </w:r>
      <w:r>
        <w:t xml:space="preserve"> = -0.016, p</w:t>
      </w:r>
      <w:r>
        <w:rPr>
          <w:vertAlign w:val="subscript"/>
        </w:rPr>
        <w:t>mcmc</w:t>
      </w:r>
      <w:r>
        <w:t xml:space="preserve"> 0.72) or the ‘Blue’ </w:t>
      </w:r>
      <w:del w:id="98" w:author="Amelia Peardon" w:date="2024-09-09T14:26:00Z" w16du:dateUtc="2024-09-09T04:26:00Z">
        <w:r w:rsidDel="0055381F">
          <w:delText xml:space="preserve">one </w:delText>
        </w:r>
      </w:del>
      <w:ins w:id="99" w:author="Amelia Peardon" w:date="2024-09-09T14:26:00Z" w16du:dateUtc="2024-09-09T04:26:00Z">
        <w:r w:rsidR="0055381F">
          <w:t xml:space="preserve">slope </w:t>
        </w:r>
      </w:ins>
      <w:r>
        <w:t>(</w:t>
      </w:r>
      <w:r>
        <w:rPr>
          <w:i/>
          <w:iCs/>
        </w:rPr>
        <w:t>L. delicata</w:t>
      </w:r>
      <w:r>
        <w:t xml:space="preserve"> mean learning slope = 0.023, 95% CI = [-0.041 , 0.090]; </w:t>
      </w:r>
      <w:r>
        <w:rPr>
          <w:i/>
          <w:iCs/>
        </w:rPr>
        <w:t>L. guichenoti</w:t>
      </w:r>
      <w:r>
        <w:t xml:space="preserve"> mean learning slope = 0.063, 95% CI = [-0.030 , 0.149]; </w:t>
      </w:r>
      <w:r>
        <w:rPr>
          <w:i/>
          <w:iCs/>
        </w:rPr>
        <w:t>L. delicata</w:t>
      </w:r>
      <w:r>
        <w:t xml:space="preserve"> - </w:t>
      </w:r>
      <w:r>
        <w:rPr>
          <w:i/>
          <w:iCs/>
        </w:rPr>
        <w:t>L. guichenoti</w:t>
      </w:r>
      <w:r>
        <w:t xml:space="preserve"> = -0.040, p</w:t>
      </w:r>
      <w:r>
        <w:rPr>
          <w:vertAlign w:val="subscript"/>
        </w:rPr>
        <w:t>mcmc</w:t>
      </w:r>
      <w:r>
        <w:t xml:space="preserve"> 0.40).</w:t>
      </w:r>
    </w:p>
    <w:p w14:paraId="56C11DA9" w14:textId="77777777" w:rsidR="00C66620" w:rsidRDefault="00000000" w:rsidP="00D10D64">
      <w:pPr>
        <w:pStyle w:val="Heading2"/>
        <w:spacing w:line="480" w:lineRule="auto"/>
      </w:pPr>
      <w:bookmarkStart w:id="100" w:name="discussion"/>
      <w:bookmarkEnd w:id="75"/>
      <w:r>
        <w:t>Discussion</w:t>
      </w:r>
    </w:p>
    <w:p w14:paraId="499BCEBC" w14:textId="4B17012F" w:rsidR="00C66620" w:rsidRDefault="00000000" w:rsidP="00D10D64">
      <w:pPr>
        <w:pStyle w:val="FirstParagraph"/>
        <w:spacing w:line="480" w:lineRule="auto"/>
      </w:pPr>
      <w:commentRangeStart w:id="101"/>
      <w:r>
        <w:t xml:space="preserve">The </w:t>
      </w:r>
      <w:commentRangeStart w:id="102"/>
      <w:r>
        <w:t>scope</w:t>
      </w:r>
      <w:commentRangeEnd w:id="102"/>
      <w:r w:rsidR="00533D38">
        <w:rPr>
          <w:rStyle w:val="CommentReference"/>
          <w:rFonts w:asciiTheme="minorHAnsi" w:hAnsiTheme="minorHAnsi"/>
        </w:rPr>
        <w:commentReference w:id="102"/>
      </w:r>
      <w:r>
        <w:t xml:space="preserve"> of the present study </w:t>
      </w:r>
      <w:commentRangeEnd w:id="101"/>
      <w:r w:rsidR="00076012">
        <w:rPr>
          <w:rStyle w:val="CommentReference"/>
          <w:rFonts w:asciiTheme="minorHAnsi" w:hAnsiTheme="minorHAnsi"/>
        </w:rPr>
        <w:commentReference w:id="101"/>
      </w:r>
      <w:r>
        <w:t>was to investigate the effects of early environment on lizards’ learning using two closely related species, the delicate skink (</w:t>
      </w:r>
      <w:r>
        <w:rPr>
          <w:i/>
          <w:iCs/>
        </w:rPr>
        <w:t>Lampropholis delicata</w:t>
      </w:r>
      <w:r>
        <w:t>) and the common garden skink (</w:t>
      </w:r>
      <w:r>
        <w:rPr>
          <w:i/>
          <w:iCs/>
        </w:rPr>
        <w:t>L. guichenoti</w:t>
      </w:r>
      <w:r>
        <w:t>). In our experiment, we manipulated CORT levels and temperature during incubation, and we then subjected hatched animals to a colour-associative learning task using food as a reward. We expected prenatal CORT and thermal environment to have combined effects on lizards’ performance in the test. However, we did not find any significant effects of the experimental conditions. We found that most individuals from both species learned to associate a colour with a food reward and that the learning process ocurred at the same rate regardless of the early environment, suggesting that learning abilities in these skinks are robust to prenatal CORT and temperature. In a</w:t>
      </w:r>
      <w:ins w:id="103" w:author="Amelia Peardon" w:date="2024-09-09T15:05:00Z" w16du:dateUtc="2024-09-09T05:05:00Z">
        <w:r w:rsidR="00533D38">
          <w:t>d</w:t>
        </w:r>
      </w:ins>
      <w:r>
        <w:t xml:space="preserve">dition, we found that the learning rates varied depending on the colour assigned to the correct choice, at least for </w:t>
      </w:r>
      <w:r>
        <w:rPr>
          <w:i/>
          <w:iCs/>
        </w:rPr>
        <w:t>L. delicata</w:t>
      </w:r>
      <w:r>
        <w:t>, with lizards assigned to blue feeders performing worse compared to the red group.</w:t>
      </w:r>
    </w:p>
    <w:p w14:paraId="7956E32D" w14:textId="77777777" w:rsidR="00C66620" w:rsidRDefault="00000000" w:rsidP="00D10D64">
      <w:pPr>
        <w:pStyle w:val="Heading4"/>
        <w:spacing w:line="480" w:lineRule="auto"/>
      </w:pPr>
      <w:bookmarkStart w:id="104" w:name="effect-of-colour-on-learning"/>
      <w:r>
        <w:t>Effect of colour on learning</w:t>
      </w:r>
    </w:p>
    <w:p w14:paraId="1556303C" w14:textId="5D3AEF06" w:rsidR="00C66620" w:rsidRDefault="00000000" w:rsidP="00D10D64">
      <w:pPr>
        <w:pStyle w:val="FirstParagraph"/>
        <w:spacing w:line="480" w:lineRule="auto"/>
      </w:pPr>
      <w:r>
        <w:t xml:space="preserve">The colour of the ramp associated with the attainable cricket (i.e. the correct choice) influences learning slopes in </w:t>
      </w:r>
      <w:r>
        <w:rPr>
          <w:i/>
          <w:iCs/>
        </w:rPr>
        <w:t>L. delicata</w:t>
      </w:r>
      <w:r>
        <w:t xml:space="preserve">, but not </w:t>
      </w:r>
      <w:r>
        <w:rPr>
          <w:i/>
          <w:iCs/>
        </w:rPr>
        <w:t>L. guichenoti</w:t>
      </w:r>
      <w:r>
        <w:t xml:space="preserve">. For </w:t>
      </w:r>
      <w:r>
        <w:rPr>
          <w:i/>
          <w:iCs/>
        </w:rPr>
        <w:t>L. delicata</w:t>
      </w:r>
      <w:r>
        <w:t xml:space="preserve">, performance was proficient </w:t>
      </w:r>
      <w:r>
        <w:lastRenderedPageBreak/>
        <w:t xml:space="preserve">when the reward was linked to red feeders, but learning slopes for lizards assigned to the blue condition did not differ from zero. In contrast, </w:t>
      </w:r>
      <w:r>
        <w:rPr>
          <w:i/>
          <w:iCs/>
        </w:rPr>
        <w:t>L. guichenoti</w:t>
      </w:r>
      <w:r>
        <w:t xml:space="preserve"> showed similar results in both colour scenarios. This indicates that </w:t>
      </w:r>
      <w:r>
        <w:rPr>
          <w:i/>
          <w:iCs/>
        </w:rPr>
        <w:t>L. delicata</w:t>
      </w:r>
      <w:r>
        <w:t xml:space="preserve"> were not able to associate the blue ramp with the reward. However, our results could be </w:t>
      </w:r>
      <w:ins w:id="105" w:author="Amelia Peardon" w:date="2024-09-09T15:06:00Z" w16du:dateUtc="2024-09-09T05:06:00Z">
        <w:r w:rsidR="00533D38">
          <w:t xml:space="preserve">a </w:t>
        </w:r>
      </w:ins>
      <w:r>
        <w:t xml:space="preserve">consequence of an initial bias in lizards’ choice. The analyses presented in the supplemenatry material show that, overall, the estimated probability of choosing the correct ramp in the first trial was higher than expected by chance for those animals assigned to the blue condition. Moreover, in those groups where we found that the learning slopes did not differ significantly from zero (see </w:t>
      </w:r>
      <w:hyperlink w:anchor="fig-deli">
        <w:r>
          <w:rPr>
            <w:rStyle w:val="Hyperlink"/>
          </w:rPr>
          <w:t>Fig. 2</w:t>
        </w:r>
      </w:hyperlink>
      <w:r>
        <w:t>), we also observed the highest probability to select blue ramps in the first trial (see Supplementary Material).</w:t>
      </w:r>
    </w:p>
    <w:p w14:paraId="26851D14" w14:textId="52B21800" w:rsidR="00C66620" w:rsidRDefault="00000000" w:rsidP="00D10D64">
      <w:pPr>
        <w:pStyle w:val="BodyText"/>
        <w:spacing w:line="480" w:lineRule="auto"/>
      </w:pPr>
      <w:commentRangeStart w:id="106"/>
      <w:r>
        <w:t xml:space="preserve">Because there was a possibility </w:t>
      </w:r>
      <w:commentRangeEnd w:id="106"/>
      <w:r w:rsidR="002751CF">
        <w:rPr>
          <w:rStyle w:val="CommentReference"/>
        </w:rPr>
        <w:commentReference w:id="106"/>
      </w:r>
      <w:r>
        <w:t>that this bias towards blue feeders was a byproduct of the habituation process, we compared the light spectrum and the perceived chromatic differences between the ramps used in the associative task and the ones used during habituation (see Supplementary Material). Since these results show no similarities between the white and blue ramps, we consider the preference towards blue to not be a derivate from our experimental design. Rather, it seems likely that lizards innately prefer the blue feeders. The species confidence hypothesis posits that animals should bias their attention towards colours they are familiar with (</w:t>
      </w:r>
      <w:hyperlink w:anchor="ref-putman2017fear">
        <w:r>
          <w:rPr>
            <w:rStyle w:val="Hyperlink"/>
          </w:rPr>
          <w:t>Putman et al. 2017</w:t>
        </w:r>
      </w:hyperlink>
      <w:r>
        <w:t>). For instance, dark and light blue T-shirts were associated with lower flight initiation distances and higher capture rates in Western fence lizards where blue is used in intraspecific communication (</w:t>
      </w:r>
      <w:hyperlink w:anchor="ref-putman2017fear">
        <w:r>
          <w:rPr>
            <w:rStyle w:val="Hyperlink"/>
          </w:rPr>
          <w:t>Putman et al. 2017</w:t>
        </w:r>
      </w:hyperlink>
      <w:r>
        <w:t xml:space="preserve">). However, to the best of our knowledge, </w:t>
      </w:r>
      <w:ins w:id="107" w:author="Amelia Peardon" w:date="2024-09-09T15:16:00Z" w16du:dateUtc="2024-09-09T05:16:00Z">
        <w:r w:rsidR="002751CF">
          <w:t xml:space="preserve">there has been no </w:t>
        </w:r>
      </w:ins>
      <w:del w:id="108" w:author="Amelia Peardon" w:date="2024-09-09T15:17:00Z" w16du:dateUtc="2024-09-09T05:17:00Z">
        <w:r w:rsidDel="002751CF">
          <w:delText xml:space="preserve">noone has </w:delText>
        </w:r>
      </w:del>
      <w:r>
        <w:t xml:space="preserve">reported </w:t>
      </w:r>
      <w:del w:id="109" w:author="Amelia Peardon" w:date="2024-09-09T15:17:00Z" w16du:dateUtc="2024-09-09T05:17:00Z">
        <w:r w:rsidDel="002751CF">
          <w:delText xml:space="preserve">a </w:delText>
        </w:r>
      </w:del>
      <w:proofErr w:type="spellStart"/>
      <w:r>
        <w:t>colour</w:t>
      </w:r>
      <w:proofErr w:type="spellEnd"/>
      <w:r>
        <w:t xml:space="preserve"> bias in </w:t>
      </w:r>
      <w:r>
        <w:rPr>
          <w:i/>
          <w:iCs/>
        </w:rPr>
        <w:t>L. delicata</w:t>
      </w:r>
      <w:r>
        <w:t xml:space="preserve"> or </w:t>
      </w:r>
      <w:r>
        <w:rPr>
          <w:i/>
          <w:iCs/>
        </w:rPr>
        <w:t>L. guichenoti</w:t>
      </w:r>
      <w:r>
        <w:t xml:space="preserve"> before; and blue colouration is not considered to be involved in intraspecific communication in these species </w:t>
      </w:r>
      <w:commentRangeStart w:id="110"/>
      <w:r>
        <w:t>Chapple et al. (</w:t>
      </w:r>
      <w:hyperlink w:anchor="ref-chapple_biology_2014">
        <w:r>
          <w:rPr>
            <w:rStyle w:val="Hyperlink"/>
          </w:rPr>
          <w:t>2014</w:t>
        </w:r>
      </w:hyperlink>
      <w:r>
        <w:t>)</w:t>
      </w:r>
      <w:commentRangeEnd w:id="110"/>
      <w:r w:rsidR="002751CF">
        <w:rPr>
          <w:rStyle w:val="CommentReference"/>
        </w:rPr>
        <w:commentReference w:id="110"/>
      </w:r>
      <w:r>
        <w:t xml:space="preserve">. Still, we recommend to </w:t>
      </w:r>
      <w:ins w:id="111" w:author="Amelia Peardon" w:date="2024-09-09T15:18:00Z" w16du:dateUtc="2024-09-09T05:18:00Z">
        <w:r w:rsidR="002751CF">
          <w:t xml:space="preserve">carefully </w:t>
        </w:r>
      </w:ins>
      <w:r>
        <w:t xml:space="preserve">select </w:t>
      </w:r>
      <w:del w:id="112" w:author="Amelia Peardon" w:date="2024-09-09T15:18:00Z" w16du:dateUtc="2024-09-09T05:18:00Z">
        <w:r w:rsidDel="002751CF">
          <w:delText xml:space="preserve">carefully </w:delText>
        </w:r>
      </w:del>
      <w:r>
        <w:t xml:space="preserve">the </w:t>
      </w:r>
      <w:proofErr w:type="spellStart"/>
      <w:r>
        <w:t>colours</w:t>
      </w:r>
      <w:proofErr w:type="spellEnd"/>
      <w:r>
        <w:t xml:space="preserve"> employed in associative tasks when </w:t>
      </w:r>
      <w:r>
        <w:lastRenderedPageBreak/>
        <w:t>relying on visual stimuli. Despite this, when lizards assigned to blue or red were analysed separately, the between treatments comparis</w:t>
      </w:r>
      <w:del w:id="113" w:author="Amelia Peardon" w:date="2024-09-09T15:19:00Z" w16du:dateUtc="2024-09-09T05:19:00Z">
        <w:r w:rsidDel="002751CF">
          <w:delText>s</w:delText>
        </w:r>
      </w:del>
      <w:r>
        <w:t>ons remain the same in both conditions and species.</w:t>
      </w:r>
    </w:p>
    <w:p w14:paraId="5BB95358" w14:textId="77777777" w:rsidR="00C66620" w:rsidRDefault="00000000" w:rsidP="00D10D64">
      <w:pPr>
        <w:pStyle w:val="Heading4"/>
        <w:spacing w:line="480" w:lineRule="auto"/>
      </w:pPr>
      <w:bookmarkStart w:id="114" w:name="effect-of-prenatal-cort-on-learning"/>
      <w:bookmarkEnd w:id="104"/>
      <w:r>
        <w:t>Effect of prenatal CORT on learning</w:t>
      </w:r>
    </w:p>
    <w:p w14:paraId="6FBF30F4" w14:textId="0E5D8EA7" w:rsidR="00C66620" w:rsidRDefault="00000000" w:rsidP="00D10D64">
      <w:pPr>
        <w:pStyle w:val="FirstParagraph"/>
        <w:spacing w:line="480" w:lineRule="auto"/>
      </w:pPr>
      <w:r>
        <w:t>Prenatal CORT was expected to have a negative effect on learning, declining CORT-treated lizards</w:t>
      </w:r>
      <w:ins w:id="115" w:author="Amelia Peardon" w:date="2024-09-09T15:19:00Z" w16du:dateUtc="2024-09-09T05:19:00Z">
        <w:r w:rsidR="002751CF">
          <w:t>’</w:t>
        </w:r>
      </w:ins>
      <w:r>
        <w:t xml:space="preserve"> performance in the learning task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eaton2015mild">
        <w:r>
          <w:rPr>
            <w:rStyle w:val="Hyperlink"/>
          </w:rPr>
          <w:t>Eaton et al. 2015</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xml:space="preserve">). However, we did not find any significant difference between hormone treatments in </w:t>
      </w:r>
      <w:del w:id="116" w:author="Amelia Peardon" w:date="2024-09-09T15:19:00Z" w16du:dateUtc="2024-09-09T05:19:00Z">
        <w:r w:rsidDel="002751CF">
          <w:delText xml:space="preserve">none </w:delText>
        </w:r>
      </w:del>
      <w:ins w:id="117" w:author="Amelia Peardon" w:date="2024-09-09T15:19:00Z" w16du:dateUtc="2024-09-09T05:19:00Z">
        <w:r w:rsidR="002751CF">
          <w:t xml:space="preserve">either </w:t>
        </w:r>
      </w:ins>
      <w:r>
        <w:t>of the two species. Our results are consistent with other experiments that showed no effect of prenatal GCs on learning abilities (</w:t>
      </w:r>
      <w:hyperlink w:anchor="ref-szuran_water_1994">
        <w:r>
          <w:rPr>
            <w:rStyle w:val="Hyperlink"/>
          </w:rPr>
          <w:t>Szuran et al. 1994</w:t>
        </w:r>
      </w:hyperlink>
      <w:r>
        <w:t xml:space="preserve">; </w:t>
      </w:r>
      <w:hyperlink w:anchor="ref-bebus_associative_2016">
        <w:r>
          <w:rPr>
            <w:rStyle w:val="Hyperlink"/>
          </w:rPr>
          <w:t>Bebus et al. 2016</w:t>
        </w:r>
      </w:hyperlink>
      <w:r>
        <w:t>). In this sense, GCs are known to have hormetic effects, with low or short exposure to GCs improving performance in learning tasks, and high levels impairing proficiency (</w:t>
      </w:r>
      <w:hyperlink w:anchor="ref-du_dynamic_2009">
        <w:r>
          <w:rPr>
            <w:rStyle w:val="Hyperlink"/>
          </w:rPr>
          <w:t>Du et al. 2009</w:t>
        </w:r>
      </w:hyperlink>
      <w:r>
        <w:t xml:space="preserve">; </w:t>
      </w:r>
      <w:hyperlink w:anchor="ref-mcewen_brain_2012">
        <w:r>
          <w:rPr>
            <w:rStyle w:val="Hyperlink"/>
          </w:rPr>
          <w:t>McEwen 2012</w:t>
        </w:r>
      </w:hyperlink>
      <w:r>
        <w:t xml:space="preserve">). When using the same dose and application methods in eggs of </w:t>
      </w:r>
      <w:r>
        <w:rPr>
          <w:i/>
          <w:iCs/>
        </w:rPr>
        <w:t>L. delicata</w:t>
      </w:r>
      <w:r>
        <w:t>, Crino et al. (</w:t>
      </w:r>
      <w:hyperlink w:anchor="ref-crino2024eggs">
        <w:r>
          <w:rPr>
            <w:rStyle w:val="Hyperlink"/>
          </w:rPr>
          <w:t>2024</w:t>
        </w:r>
      </w:hyperlink>
      <w:r>
        <w:t xml:space="preserve">) found CORT treatment had sustained effects on growth, mitochondrial activity, and baseline CORT levels; and their findings also aligned with the predictions expected under high GCs elevations. This suggests that the absence of effects on learning abilities are not due to methodological caveats, but rather to </w:t>
      </w:r>
      <w:r>
        <w:rPr>
          <w:i/>
          <w:iCs/>
        </w:rPr>
        <w:t>L. delicata</w:t>
      </w:r>
      <w:r>
        <w:t xml:space="preserve"> and </w:t>
      </w:r>
      <w:r>
        <w:rPr>
          <w:i/>
          <w:iCs/>
        </w:rPr>
        <w:t>L. guichenoti</w:t>
      </w:r>
      <w:r>
        <w:t>’s brain being robust to CORT elevations during development. However, since dose effects can differ between tissues (</w:t>
      </w:r>
      <w:hyperlink w:anchor="ref-lemaire_prenatal_2000">
        <w:r>
          <w:rPr>
            <w:rStyle w:val="Hyperlink"/>
          </w:rPr>
          <w:t>Lemaire et al. 2000</w:t>
        </w:r>
      </w:hyperlink>
      <w:r>
        <w:t>), we cannot dismiss the possibility that our concentrations failed to elicit changes to the brain that would result in impaired learning.</w:t>
      </w:r>
    </w:p>
    <w:p w14:paraId="14C6069E" w14:textId="580DBDF3" w:rsidR="00C66620" w:rsidRDefault="00000000" w:rsidP="00D10D64">
      <w:pPr>
        <w:pStyle w:val="BodyText"/>
        <w:spacing w:line="480" w:lineRule="auto"/>
      </w:pPr>
      <w:commentRangeStart w:id="118"/>
      <w:r>
        <w:t xml:space="preserve">Conversely, the absence of significant </w:t>
      </w:r>
      <w:commentRangeEnd w:id="118"/>
      <w:r w:rsidR="002751CF">
        <w:rPr>
          <w:rStyle w:val="CommentReference"/>
        </w:rPr>
        <w:commentReference w:id="118"/>
      </w:r>
      <w:r>
        <w:t>effects of prenatal CORT on learning could be due to the cognitive task employed, as some studies show that the impact of GCs can vary between brain regions (</w:t>
      </w:r>
      <w:hyperlink w:anchor="ref-lemaire_prenatal_2000">
        <w:r>
          <w:rPr>
            <w:rStyle w:val="Hyperlink"/>
          </w:rPr>
          <w:t>Lemaire et al. 2000</w:t>
        </w:r>
      </w:hyperlink>
      <w:r>
        <w:t xml:space="preserve">). GCs action involve genomic and nongenomic </w:t>
      </w:r>
      <w:r>
        <w:lastRenderedPageBreak/>
        <w:t>mechanisms that implicate different types of receptors that can be distributed unevenly in the various regions of the brain (</w:t>
      </w:r>
      <w:hyperlink w:anchor="ref-mcewen_brain_2012">
        <w:r>
          <w:rPr>
            <w:rStyle w:val="Hyperlink"/>
          </w:rPr>
          <w:t>McEwen 2012</w:t>
        </w:r>
      </w:hyperlink>
      <w:r>
        <w:t>), and may be related to the learning performance in distinct tasks. For instance, in European starlings, males stressed during early stages of development performed worse in a visual associative learning task, but show no differences with control birds when the stimuli tested was acoustic (</w:t>
      </w:r>
      <w:hyperlink w:anchor="ref-farrell_developmental_2015-learn">
        <w:r>
          <w:rPr>
            <w:rStyle w:val="Hyperlink"/>
          </w:rPr>
          <w:t>Farrell et al. 2015</w:t>
        </w:r>
      </w:hyperlink>
      <w:r>
        <w:t xml:space="preserve">). Similarly, </w:t>
      </w:r>
      <w:del w:id="119" w:author="Amelia Peardon" w:date="2024-09-09T16:01:00Z" w16du:dateUtc="2024-09-09T06:01:00Z">
        <w:r w:rsidDel="001B5407">
          <w:delText xml:space="preserve">while </w:delText>
        </w:r>
      </w:del>
      <w:r>
        <w:t>Scrub-jays that had lower CORT levels as nestlings performed better on an associative learning test as adults, but not on a reversal learning task (</w:t>
      </w:r>
      <w:hyperlink w:anchor="ref-bebus_associative_2016">
        <w:r>
          <w:rPr>
            <w:rStyle w:val="Hyperlink"/>
          </w:rPr>
          <w:t>Bebus et al. 2016</w:t>
        </w:r>
      </w:hyperlink>
      <w:r>
        <w:t>). We must acknowledge the possibility that prenatal CORT does not affect the brain regions involved in coding associative learning in these species, and future studies should focus on examining the effect of early-life stress on different cognitive domains.</w:t>
      </w:r>
    </w:p>
    <w:p w14:paraId="0BF88630" w14:textId="77777777" w:rsidR="00C66620" w:rsidRDefault="00000000" w:rsidP="00D10D64">
      <w:pPr>
        <w:pStyle w:val="Heading4"/>
        <w:spacing w:line="480" w:lineRule="auto"/>
      </w:pPr>
      <w:bookmarkStart w:id="120" w:name="Xe17b22cfc8e39f3e9bcea1149ee25d7780ee687"/>
      <w:bookmarkEnd w:id="114"/>
      <w:r>
        <w:t>Effect of incubation temperature on learning</w:t>
      </w:r>
    </w:p>
    <w:p w14:paraId="5840880C" w14:textId="6B9C0D4D" w:rsidR="00C66620" w:rsidRDefault="00000000" w:rsidP="00D10D64">
      <w:pPr>
        <w:pStyle w:val="FirstParagraph"/>
        <w:spacing w:line="480" w:lineRule="auto"/>
      </w:pPr>
      <w:r>
        <w:t>We also expected hot-incubated lizards to perform better in the associative learning task, since most of the studies demonstrate enhanced learning abilities when eggs are incubated at higher temperatures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Furthermore, the opposite pattern was found only in studies that employed temperatures far above the natural thermal range of the species in their hot treatments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xml:space="preserve">), and it is unclear how such conditions relate to wild environments. In </w:t>
      </w:r>
      <w:r>
        <w:rPr>
          <w:i/>
          <w:iCs/>
        </w:rPr>
        <w:t>L. delicata</w:t>
      </w:r>
      <w:r>
        <w:t xml:space="preserve"> and </w:t>
      </w:r>
      <w:r>
        <w:rPr>
          <w:i/>
          <w:iCs/>
        </w:rPr>
        <w:t>L. guichenoti</w:t>
      </w:r>
      <w:r>
        <w:t>, associative learning appears to be robust to incubation temperature. Our results, therefore, do not align with the outcome observed in previous experiment</w:t>
      </w:r>
      <w:ins w:id="121" w:author="Amelia Peardon" w:date="2024-09-09T16:03:00Z" w16du:dateUtc="2024-09-09T06:03:00Z">
        <w:r w:rsidR="001B5407">
          <w:t>s</w:t>
        </w:r>
      </w:ins>
      <w:r>
        <w:t xml:space="preserve">. However, the effect of prenatal temperature in cognition, and brain physiology and structure has been investigated only in a small number of species (see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dayananda_incubation_2017">
        <w:r>
          <w:rPr>
            <w:rStyle w:val="Hyperlink"/>
          </w:rPr>
          <w:t xml:space="preserve">Dayananda and </w:t>
        </w:r>
        <w:r>
          <w:rPr>
            <w:rStyle w:val="Hyperlink"/>
          </w:rPr>
          <w:lastRenderedPageBreak/>
          <w:t>Webb 2017</w:t>
        </w:r>
      </w:hyperlink>
      <w:r>
        <w:t xml:space="preserve">; </w:t>
      </w:r>
      <w:hyperlink w:anchor="ref-abayarathna_effects_2020">
        <w:r>
          <w:rPr>
            <w:rStyle w:val="Hyperlink"/>
          </w:rPr>
          <w:t>Abayarathna and Webb 2020</w:t>
        </w:r>
      </w:hyperlink>
      <w:r>
        <w:t>), limiting our understanding on how thermal early environment can affect cognitive abilities.</w:t>
      </w:r>
    </w:p>
    <w:p w14:paraId="3EB01F6F" w14:textId="35B5ED4F" w:rsidR="00C66620" w:rsidRDefault="00000000" w:rsidP="00D10D64">
      <w:pPr>
        <w:pStyle w:val="BodyText"/>
        <w:spacing w:line="480" w:lineRule="auto"/>
      </w:pPr>
      <w:commentRangeStart w:id="122"/>
      <w:r>
        <w:t xml:space="preserve">In our analyses, </w:t>
      </w:r>
      <w:commentRangeEnd w:id="122"/>
      <w:r w:rsidR="001B5407">
        <w:rPr>
          <w:rStyle w:val="CommentReference"/>
        </w:rPr>
        <w:commentReference w:id="122"/>
      </w:r>
      <w:r>
        <w:t>we did not include sex as a factor for several reasons: first, liza</w:t>
      </w:r>
      <w:ins w:id="123" w:author="Amelia Peardon" w:date="2024-09-09T16:06:00Z" w16du:dateUtc="2024-09-09T06:06:00Z">
        <w:r w:rsidR="001B5407">
          <w:t>r</w:t>
        </w:r>
      </w:ins>
      <w:r>
        <w:t>ds were tested before sexual ma</w:t>
      </w:r>
      <w:ins w:id="124" w:author="Amelia Peardon" w:date="2024-09-09T16:05:00Z" w16du:dateUtc="2024-09-09T06:05:00Z">
        <w:r w:rsidR="001B5407">
          <w:t>t</w:t>
        </w:r>
      </w:ins>
      <w:del w:id="125" w:author="Amelia Peardon" w:date="2024-09-09T16:05:00Z" w16du:dateUtc="2024-09-09T06:05:00Z">
        <w:r w:rsidDel="001B5407">
          <w:delText>d</w:delText>
        </w:r>
      </w:del>
      <w:r>
        <w:t>uration; and second, previous studies have found weak evidence for sex-dependent learning in reptiles (</w:t>
      </w:r>
      <w:hyperlink w:anchor="ref-szabo_sex_meta">
        <w:r>
          <w:rPr>
            <w:rStyle w:val="Hyperlink"/>
          </w:rPr>
          <w:t>Szabo 2019</w:t>
        </w:r>
      </w:hyperlink>
      <w:r>
        <w:t>). In fact, incubation temperature was not sex-depedent when learning abilities were tested in the Eastern three-lined skink (</w:t>
      </w:r>
      <w:r>
        <w:rPr>
          <w:i/>
          <w:iCs/>
        </w:rPr>
        <w:t>Bassiana dupeyerri</w:t>
      </w:r>
      <w:r>
        <w:t>) (</w:t>
      </w:r>
      <w:hyperlink w:anchor="ref-amiel_hotter_2012">
        <w:r>
          <w:rPr>
            <w:rStyle w:val="Hyperlink"/>
          </w:rPr>
          <w:t>Amiel and Shine 2012</w:t>
        </w:r>
      </w:hyperlink>
      <w:r>
        <w:t xml:space="preserve">; </w:t>
      </w:r>
      <w:hyperlink w:anchor="ref-clark_colour_2014">
        <w:r>
          <w:rPr>
            <w:rStyle w:val="Hyperlink"/>
          </w:rPr>
          <w:t>Clark et al. 2014</w:t>
        </w:r>
      </w:hyperlink>
      <w:r>
        <w:t>). However, there is previous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Furthermore, in </w:t>
      </w:r>
      <w:r>
        <w:rPr>
          <w:i/>
          <w:iCs/>
        </w:rPr>
        <w:t>B. dupeyerri</w:t>
      </w:r>
      <w:r>
        <w:t xml:space="preserve"> exposure to cold temperatures during incubation can induce sex-reversal, where individuals under cold incubation temepratures develop male phenotypes while retaining female genotypes (</w:t>
      </w:r>
      <w:hyperlink w:anchor="ref-dissanayake2021effects">
        <w:r>
          <w:rPr>
            <w:rStyle w:val="Hyperlink"/>
          </w:rPr>
          <w:t>Dissanayake et al. 2021</w:t>
        </w:r>
      </w:hyperlink>
      <w:r>
        <w:t>). Such effects were not easily accounted for in these experiments</w:t>
      </w:r>
      <w:ins w:id="126" w:author="Amelia Peardon" w:date="2024-09-09T16:05:00Z" w16du:dateUtc="2024-09-09T06:05:00Z">
        <w:r w:rsidR="001B5407">
          <w:t>,</w:t>
        </w:r>
      </w:ins>
      <w:r>
        <w:t xml:space="preserve"> making it challenging to understand whether sex or temperature was the cause of learning differences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Similarly, not accounting for sex in our analyses could be masking potential interactions between temperature and sex in shaping learning abilities. Future research should investigate the potential interactive impacts of sex and incubation temperature on cognitive abilities. Nevertheless, conducting such studies poses challenges due to the substantial sample sizes necessary.</w:t>
      </w:r>
    </w:p>
    <w:p w14:paraId="05B2AE75" w14:textId="77777777" w:rsidR="00C66620" w:rsidRDefault="00000000" w:rsidP="00D10D64">
      <w:pPr>
        <w:pStyle w:val="Heading4"/>
        <w:spacing w:line="480" w:lineRule="auto"/>
      </w:pPr>
      <w:bookmarkStart w:id="127" w:name="learning-rates-between-species"/>
      <w:bookmarkEnd w:id="120"/>
      <w:r>
        <w:t>Learning rates between species</w:t>
      </w:r>
    </w:p>
    <w:p w14:paraId="32DB7CC5" w14:textId="5ECB6D8A" w:rsidR="00C66620" w:rsidRDefault="00000000" w:rsidP="00D10D64">
      <w:pPr>
        <w:pStyle w:val="FirstParagraph"/>
        <w:spacing w:line="480" w:lineRule="auto"/>
      </w:pPr>
      <w:r>
        <w:t xml:space="preserve">We did not see any significant difference in learning rates when both species were compared. This result is in line with previous studies that found similar learning abilities in </w:t>
      </w:r>
      <w:r>
        <w:rPr>
          <w:i/>
          <w:iCs/>
        </w:rPr>
        <w:t>L. delicata</w:t>
      </w:r>
      <w:r>
        <w:t xml:space="preserve"> and </w:t>
      </w:r>
      <w:r>
        <w:rPr>
          <w:i/>
          <w:iCs/>
        </w:rPr>
        <w:lastRenderedPageBreak/>
        <w:t>L. guichenoti</w:t>
      </w:r>
      <w:r>
        <w:t xml:space="preserve"> (</w:t>
      </w:r>
      <w:hyperlink w:anchor="ref-bezzina2014does">
        <w:r>
          <w:rPr>
            <w:rStyle w:val="Hyperlink"/>
          </w:rPr>
          <w:t>Bezzina et al. 2014</w:t>
        </w:r>
      </w:hyperlink>
      <w:r>
        <w:t>). In the experiment conducted by Bezzina et al. (</w:t>
      </w:r>
      <w:hyperlink w:anchor="ref-bezzina2014does">
        <w:r>
          <w:rPr>
            <w:rStyle w:val="Hyperlink"/>
          </w:rPr>
          <w:t>2014</w:t>
        </w:r>
      </w:hyperlink>
      <w:r>
        <w:t>), both species failed to complete the associative learning task under the authors’ criterion, while in our experiment both species completed the task, exhibiting similar learning rates. Complexity, experimental design, or the criterion employed to define learning could be th</w:t>
      </w:r>
      <w:ins w:id="128" w:author="Amelia Peardon" w:date="2024-09-09T16:08:00Z" w16du:dateUtc="2024-09-09T06:08:00Z">
        <w:r w:rsidR="00F508DE">
          <w:t>e</w:t>
        </w:r>
      </w:ins>
      <w:del w:id="129" w:author="Amelia Peardon" w:date="2024-09-09T16:08:00Z" w16du:dateUtc="2024-09-09T06:08:00Z">
        <w:r w:rsidDel="00F508DE">
          <w:delText>a</w:delText>
        </w:r>
      </w:del>
      <w:r>
        <w:t xml:space="preserve"> major cause of the discrepancies between ours and Bezzina et al. (</w:t>
      </w:r>
      <w:hyperlink w:anchor="ref-bezzina2014does">
        <w:r>
          <w:rPr>
            <w:rStyle w:val="Hyperlink"/>
          </w:rPr>
          <w:t>2014</w:t>
        </w:r>
      </w:hyperlink>
      <w:r>
        <w:t>)’s findings. Developing common strategies and approaches to assess learning in animals could help understand how learning abilities are shaped in different taxa or under different environments.</w:t>
      </w:r>
    </w:p>
    <w:p w14:paraId="294E693C" w14:textId="77777777" w:rsidR="00C66620" w:rsidRDefault="00000000" w:rsidP="00D10D64">
      <w:pPr>
        <w:pStyle w:val="Heading4"/>
        <w:spacing w:line="480" w:lineRule="auto"/>
      </w:pPr>
      <w:bookmarkStart w:id="130" w:name="conclusion"/>
      <w:bookmarkEnd w:id="127"/>
      <w:r>
        <w:t>Conclusion</w:t>
      </w:r>
    </w:p>
    <w:p w14:paraId="4027EA34" w14:textId="77777777" w:rsidR="00C66620" w:rsidRDefault="00000000" w:rsidP="00D10D64">
      <w:pPr>
        <w:pStyle w:val="FirstParagraph"/>
        <w:spacing w:line="480" w:lineRule="auto"/>
      </w:pPr>
      <w:r>
        <w:t xml:space="preserve">Our results revealed that lizards completed the associative learning task at similar rates, with no significant differences observed between species or treatments. This outcome contrasts with our initial predictions, suggesting that the learning abilities of both species are resilient to the early environmental influences examined. Our findings indicate that the learning skills of these lizards may be more robust than anticipated under varying early life conditions. We also found significant effects of the colour employed in the task on learning rates in </w:t>
      </w:r>
      <w:r>
        <w:rPr>
          <w:i/>
          <w:iCs/>
        </w:rPr>
        <w:t>L. delicata</w:t>
      </w:r>
      <w:r>
        <w:t xml:space="preserve">, but not in </w:t>
      </w:r>
      <w:r>
        <w:rPr>
          <w:i/>
          <w:iCs/>
        </w:rPr>
        <w:t>L. guichenoti</w:t>
      </w:r>
      <w:r>
        <w:t>. These results seem to be consequence of an innate colour bias, and highlights the importance of carefully selecting the colour employed when testing cognition using visual stimuli.</w:t>
      </w:r>
    </w:p>
    <w:p w14:paraId="5650AAB3" w14:textId="77777777" w:rsidR="00C66620" w:rsidRDefault="00000000" w:rsidP="00D10D64">
      <w:pPr>
        <w:pStyle w:val="BodyText"/>
        <w:spacing w:line="480" w:lineRule="auto"/>
      </w:pPr>
      <w:commentRangeStart w:id="131"/>
      <w:r>
        <w:t>Future research should continue</w:t>
      </w:r>
      <w:commentRangeEnd w:id="131"/>
      <w:r w:rsidR="008C2CE6">
        <w:rPr>
          <w:rStyle w:val="CommentReference"/>
        </w:rPr>
        <w:commentReference w:id="131"/>
      </w:r>
      <w:r>
        <w:t xml:space="preserve"> exploring the potential effects of prenatal corticosterone (CORT) and temperature on cognitive function, but with a focus on interactions between early environmental factors and sex, </w:t>
      </w:r>
      <w:commentRangeStart w:id="132"/>
      <w:r>
        <w:t>as well as the specific nature of the cognitive tasks employed</w:t>
      </w:r>
      <w:commentRangeEnd w:id="132"/>
      <w:r w:rsidR="00184809">
        <w:rPr>
          <w:rStyle w:val="CommentReference"/>
        </w:rPr>
        <w:commentReference w:id="132"/>
      </w:r>
      <w:r>
        <w:t xml:space="preserve">. Furthermore, it is crucial to explore how these treatments influence brain function at a neurological level. Investigating these aspects will help us understand the </w:t>
      </w:r>
      <w:r>
        <w:lastRenderedPageBreak/>
        <w:t>cognitive and physiological mechanisms underpinning adaptability in these species and offer insights into how early developmental factors shape long-term cognitive outcomes.</w:t>
      </w:r>
    </w:p>
    <w:p w14:paraId="6FB17EC0" w14:textId="77777777" w:rsidR="00C66620" w:rsidRDefault="00000000" w:rsidP="00D10D64">
      <w:pPr>
        <w:pStyle w:val="Heading2"/>
        <w:spacing w:line="480" w:lineRule="auto"/>
      </w:pPr>
      <w:bookmarkStart w:id="133" w:name="data-accessibility"/>
      <w:bookmarkEnd w:id="100"/>
      <w:bookmarkEnd w:id="130"/>
      <w:r>
        <w:t>Data accessibility</w:t>
      </w:r>
    </w:p>
    <w:p w14:paraId="075870E8" w14:textId="19772341" w:rsidR="00C66620" w:rsidRDefault="00000000" w:rsidP="00D10D64">
      <w:pPr>
        <w:pStyle w:val="FirstParagraph"/>
        <w:spacing w:line="480" w:lineRule="auto"/>
      </w:pPr>
      <w:r>
        <w:t xml:space="preserve">All data, data description, and R code are available in </w:t>
      </w:r>
      <w:ins w:id="134" w:author="Amelia Peardon" w:date="2024-09-09T16:14:00Z" w16du:dateUtc="2024-09-09T06:14:00Z">
        <w:r w:rsidR="00184809">
          <w:t xml:space="preserve">a </w:t>
        </w:r>
      </w:ins>
      <w:r>
        <w:t xml:space="preserve">public repository </w:t>
      </w:r>
      <w:hyperlink r:id="rId14">
        <w:r>
          <w:rPr>
            <w:rStyle w:val="Hyperlink"/>
          </w:rPr>
          <w:t>https://github.com/Pablo-Recio/CORT_Temp_learning</w:t>
        </w:r>
      </w:hyperlink>
      <w:r>
        <w:t>.</w:t>
      </w:r>
    </w:p>
    <w:p w14:paraId="66F02FFF" w14:textId="77777777" w:rsidR="00C66620" w:rsidRDefault="00000000" w:rsidP="00D10D64">
      <w:pPr>
        <w:pStyle w:val="Heading2"/>
        <w:spacing w:line="480" w:lineRule="auto"/>
      </w:pPr>
      <w:bookmarkStart w:id="135" w:name="satements-and-declarations"/>
      <w:bookmarkEnd w:id="133"/>
      <w:r>
        <w:t>Satements and declarations</w:t>
      </w:r>
    </w:p>
    <w:p w14:paraId="276E40ED" w14:textId="77777777" w:rsidR="00C66620" w:rsidRDefault="00000000" w:rsidP="00D10D64">
      <w:pPr>
        <w:pStyle w:val="Heading4"/>
        <w:spacing w:line="480" w:lineRule="auto"/>
      </w:pPr>
      <w:bookmarkStart w:id="136" w:name="competing-interests"/>
      <w:r>
        <w:t>Competing Interests</w:t>
      </w:r>
    </w:p>
    <w:p w14:paraId="4BBD7E2B" w14:textId="36E49151" w:rsidR="00C66620" w:rsidRDefault="00000000" w:rsidP="00D10D64">
      <w:pPr>
        <w:pStyle w:val="FirstParagraph"/>
        <w:spacing w:line="480" w:lineRule="auto"/>
      </w:pPr>
      <w:r>
        <w:t xml:space="preserve">We declare we have no competing interests </w:t>
      </w:r>
      <w:commentRangeStart w:id="137"/>
      <w:r>
        <w:t xml:space="preserve">#### Conflict of Interest We declare we have no conflict of interest #### </w:t>
      </w:r>
      <w:commentRangeEnd w:id="137"/>
      <w:r w:rsidR="009A04D4">
        <w:rPr>
          <w:rStyle w:val="CommentReference"/>
          <w:rFonts w:asciiTheme="minorHAnsi" w:hAnsiTheme="minorHAnsi"/>
        </w:rPr>
        <w:commentReference w:id="137"/>
      </w:r>
      <w:r>
        <w:t>Ethical Approval</w:t>
      </w:r>
      <w:ins w:id="138" w:author="Amelia Peardon" w:date="2024-09-09T16:18:00Z" w16du:dateUtc="2024-09-09T06:18:00Z">
        <w:r w:rsidR="009A04D4">
          <w:t>:</w:t>
        </w:r>
      </w:ins>
      <w:r>
        <w:t xml:space="preserve"> All experimental procedures and laboratory housing complied with Australian law and were approved by the Australian National University Animal Experimentation Ethics Committee (A2022_33).</w:t>
      </w:r>
    </w:p>
    <w:p w14:paraId="3F9E08B2" w14:textId="77777777" w:rsidR="00C66620" w:rsidRDefault="00000000" w:rsidP="00D10D64">
      <w:pPr>
        <w:pStyle w:val="Heading2"/>
        <w:spacing w:line="480" w:lineRule="auto"/>
      </w:pPr>
      <w:bookmarkStart w:id="139" w:name="authors-contributions"/>
      <w:bookmarkEnd w:id="135"/>
      <w:bookmarkEnd w:id="136"/>
      <w:r>
        <w:t>Authors’ contributions</w:t>
      </w:r>
    </w:p>
    <w:p w14:paraId="2CC05CAC" w14:textId="77777777" w:rsidR="00C66620" w:rsidRDefault="00000000" w:rsidP="00D10D64">
      <w:pPr>
        <w:pStyle w:val="FirstParagraph"/>
        <w:spacing w:line="480" w:lineRule="auto"/>
      </w:pPr>
      <w:r>
        <w:t xml:space="preserve">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 All </w:t>
      </w:r>
      <w:r>
        <w:lastRenderedPageBreak/>
        <w:t>authors gave final approval for publication and agreed to be held accountable for the work performed therein.</w:t>
      </w:r>
    </w:p>
    <w:p w14:paraId="6AAFFB50" w14:textId="77777777" w:rsidR="00C66620" w:rsidRDefault="00000000" w:rsidP="00D10D64">
      <w:pPr>
        <w:pStyle w:val="Heading2"/>
        <w:spacing w:line="480" w:lineRule="auto"/>
      </w:pPr>
      <w:bookmarkStart w:id="140" w:name="funding"/>
      <w:bookmarkEnd w:id="139"/>
      <w:r>
        <w:t>Funding</w:t>
      </w:r>
    </w:p>
    <w:p w14:paraId="7C491B2E" w14:textId="77777777" w:rsidR="00C66620" w:rsidRDefault="00000000" w:rsidP="00D10D64">
      <w:pPr>
        <w:pStyle w:val="FirstParagraph"/>
        <w:spacing w:line="480" w:lineRule="auto"/>
      </w:pPr>
      <w:r>
        <w:t>This work was supported by a National Australian University fellowship (P.R.), the Australian Research Council (grant no. DP210101152) to D.N. and C.F., and the ACT Herpetological Association grant to P.R.</w:t>
      </w:r>
    </w:p>
    <w:p w14:paraId="1BA49BDD" w14:textId="77777777" w:rsidR="00C66620" w:rsidRDefault="00000000" w:rsidP="00D10D64">
      <w:pPr>
        <w:pStyle w:val="Heading2"/>
        <w:spacing w:line="480" w:lineRule="auto"/>
      </w:pPr>
      <w:bookmarkStart w:id="141" w:name="acknowledgements"/>
      <w:bookmarkEnd w:id="140"/>
      <w:r>
        <w:t>Acknowledgements</w:t>
      </w:r>
    </w:p>
    <w:p w14:paraId="14FC3332" w14:textId="77777777" w:rsidR="00C66620" w:rsidRDefault="00000000" w:rsidP="00D10D64">
      <w:pPr>
        <w:pStyle w:val="FirstParagraph"/>
        <w:spacing w:line="480" w:lineRule="auto"/>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2A44CAB3" w14:textId="77777777" w:rsidR="00C66620" w:rsidRDefault="00000000" w:rsidP="00D10D64">
      <w:pPr>
        <w:pStyle w:val="Heading2"/>
        <w:spacing w:line="480" w:lineRule="auto"/>
      </w:pPr>
      <w:bookmarkStart w:id="142" w:name="references"/>
      <w:bookmarkEnd w:id="141"/>
      <w:r>
        <w:t>References</w:t>
      </w:r>
    </w:p>
    <w:p w14:paraId="2C20FE15" w14:textId="77777777" w:rsidR="00C66620" w:rsidRDefault="00000000" w:rsidP="00D10D64">
      <w:pPr>
        <w:pStyle w:val="Bibliography"/>
        <w:spacing w:line="480" w:lineRule="auto"/>
      </w:pPr>
      <w:bookmarkStart w:id="143" w:name="ref-abayarathna_effects_2020"/>
      <w:bookmarkStart w:id="144" w:name="refs"/>
      <w:r>
        <w:t xml:space="preserve">Abayarathna T, Webb JK (2020) Effects of incubation temperatures on learning abilities of hatchling velvet geckos. Animal Cognition 23:613–620. </w:t>
      </w:r>
      <w:hyperlink r:id="rId15">
        <w:r>
          <w:rPr>
            <w:rStyle w:val="Hyperlink"/>
          </w:rPr>
          <w:t>https://doi.org/10.1007/s10071-020-01365-4</w:t>
        </w:r>
      </w:hyperlink>
    </w:p>
    <w:p w14:paraId="08C0494B" w14:textId="77777777" w:rsidR="00C66620" w:rsidRDefault="00000000" w:rsidP="00D10D64">
      <w:pPr>
        <w:pStyle w:val="Bibliography"/>
        <w:spacing w:line="480" w:lineRule="auto"/>
      </w:pPr>
      <w:bookmarkStart w:id="145" w:name="ref-alemohammad_2022_microbiota_learning"/>
      <w:bookmarkEnd w:id="143"/>
      <w:r>
        <w:t>Alemohammad SMA, Noori SMR, Samarbafzadeh E, A. NSM (2022) The role of the gut microbiota and nutrition on spatial learning and spatial memory: A mini review based on animal studies. Molecular Biology Reports 1551–1563</w:t>
      </w:r>
    </w:p>
    <w:p w14:paraId="53C877AB" w14:textId="77777777" w:rsidR="00C66620" w:rsidRDefault="00000000" w:rsidP="00D10D64">
      <w:pPr>
        <w:pStyle w:val="Bibliography"/>
        <w:spacing w:line="480" w:lineRule="auto"/>
      </w:pPr>
      <w:bookmarkStart w:id="146" w:name="ref-Allaire_Quarto_2022"/>
      <w:bookmarkEnd w:id="145"/>
      <w:r>
        <w:t xml:space="preserve">Allaire JJ, Teague C, Scheidegger C, et al (2022) </w:t>
      </w:r>
      <w:hyperlink r:id="rId16">
        <w:r>
          <w:rPr>
            <w:rStyle w:val="Hyperlink"/>
          </w:rPr>
          <w:t>Quarto</w:t>
        </w:r>
      </w:hyperlink>
    </w:p>
    <w:p w14:paraId="4CA3C884" w14:textId="77777777" w:rsidR="00C66620" w:rsidRDefault="00000000" w:rsidP="00D10D64">
      <w:pPr>
        <w:pStyle w:val="Bibliography"/>
        <w:spacing w:line="480" w:lineRule="auto"/>
      </w:pPr>
      <w:bookmarkStart w:id="147" w:name="ref-amiel_effects_2017"/>
      <w:bookmarkEnd w:id="146"/>
      <w:r>
        <w:lastRenderedPageBreak/>
        <w:t xml:space="preserve">Amiel JJ, Bao S, Shine R (2017) The effects of incubation temperature on the development of the cortical forebrain in a lizard. Animal Cognition 20:117–125. </w:t>
      </w:r>
      <w:hyperlink r:id="rId17">
        <w:r>
          <w:rPr>
            <w:rStyle w:val="Hyperlink"/>
          </w:rPr>
          <w:t>https://doi.org/10.1007/s10071-016-0993-2</w:t>
        </w:r>
      </w:hyperlink>
    </w:p>
    <w:p w14:paraId="42505149" w14:textId="77777777" w:rsidR="00C66620" w:rsidRDefault="00000000" w:rsidP="00D10D64">
      <w:pPr>
        <w:pStyle w:val="Bibliography"/>
        <w:spacing w:line="480" w:lineRule="auto"/>
      </w:pPr>
      <w:bookmarkStart w:id="148" w:name="ref-amiel_egg_2014"/>
      <w:bookmarkEnd w:id="147"/>
      <w:r>
        <w:t xml:space="preserve">Amiel JJ, Lindström T, Shine R (2014) Egg incubation effects generate positive correlations between size, speed and learning ability in young lizards. Animal Cognition 17:337–347. </w:t>
      </w:r>
      <w:hyperlink r:id="rId18">
        <w:r>
          <w:rPr>
            <w:rStyle w:val="Hyperlink"/>
          </w:rPr>
          <w:t>https://doi.org/10.1007/s10071-013-0665-4</w:t>
        </w:r>
      </w:hyperlink>
    </w:p>
    <w:p w14:paraId="1E4B357D" w14:textId="77777777" w:rsidR="00C66620" w:rsidRDefault="00000000" w:rsidP="00D10D64">
      <w:pPr>
        <w:pStyle w:val="Bibliography"/>
        <w:spacing w:line="480" w:lineRule="auto"/>
      </w:pPr>
      <w:bookmarkStart w:id="149" w:name="ref-amiel_hotter_2012"/>
      <w:bookmarkEnd w:id="148"/>
      <w:r>
        <w:t xml:space="preserve">Amiel JJ, Shine R (2012) Hotter nests produce smarter young lizards. Biology Letters 8:372–374. </w:t>
      </w:r>
      <w:hyperlink r:id="rId19">
        <w:r>
          <w:rPr>
            <w:rStyle w:val="Hyperlink"/>
          </w:rPr>
          <w:t>https://doi.org/10.1098/rsbl.2011.1161</w:t>
        </w:r>
      </w:hyperlink>
    </w:p>
    <w:p w14:paraId="464FB954" w14:textId="77777777" w:rsidR="00C66620" w:rsidRDefault="00000000" w:rsidP="00D10D64">
      <w:pPr>
        <w:pStyle w:val="Bibliography"/>
        <w:spacing w:line="480" w:lineRule="auto"/>
      </w:pPr>
      <w:bookmarkStart w:id="150" w:name="ref-Baden_Osorio_2019_Vert_vision"/>
      <w:bookmarkEnd w:id="149"/>
      <w:r>
        <w:t>Baden T, Osorio D (2019) The retinal basis of vertebrate color vision. Annual Review of Vision Science 177–200</w:t>
      </w:r>
    </w:p>
    <w:p w14:paraId="7B8598D7" w14:textId="77777777" w:rsidR="00C66620" w:rsidRDefault="00000000" w:rsidP="00D10D64">
      <w:pPr>
        <w:pStyle w:val="Bibliography"/>
        <w:spacing w:line="480" w:lineRule="auto"/>
      </w:pPr>
      <w:bookmarkStart w:id="151" w:name="ref-bebus_associative_2016"/>
      <w:bookmarkEnd w:id="150"/>
      <w:r>
        <w:t xml:space="preserve">Bebus SE, Small TW, Jones BC, et al (2016) Associative learning is inversely related to reversal learning and varies with nestling corticosterone exposure. Animal Behaviour 111:251–260. </w:t>
      </w:r>
      <w:hyperlink r:id="rId20">
        <w:r>
          <w:rPr>
            <w:rStyle w:val="Hyperlink"/>
          </w:rPr>
          <w:t>https://doi.org/10.1016/j.anbehav.2015.10.027</w:t>
        </w:r>
      </w:hyperlink>
    </w:p>
    <w:p w14:paraId="4F455B54" w14:textId="77777777" w:rsidR="00C66620" w:rsidRDefault="00000000" w:rsidP="00D10D64">
      <w:pPr>
        <w:pStyle w:val="Bibliography"/>
        <w:spacing w:line="480" w:lineRule="auto"/>
      </w:pPr>
      <w:bookmarkStart w:id="152" w:name="ref-beltran_are_2021"/>
      <w:bookmarkEnd w:id="151"/>
      <w:r>
        <w:t xml:space="preserve">Beltrán I, Herculano-Houzel S, Sinervo B, Whiting MJ (2021) Are ectotherm brains vulnerable to global warming? Trends in Ecology &amp; Evolution 36:691–699. </w:t>
      </w:r>
      <w:hyperlink r:id="rId21">
        <w:r>
          <w:rPr>
            <w:rStyle w:val="Hyperlink"/>
          </w:rPr>
          <w:t>https://doi.org/10.1016/j.tree.2021.04.009</w:t>
        </w:r>
      </w:hyperlink>
    </w:p>
    <w:p w14:paraId="32CD7CA9" w14:textId="77777777" w:rsidR="00C66620" w:rsidRDefault="00000000" w:rsidP="00D10D64">
      <w:pPr>
        <w:pStyle w:val="Bibliography"/>
        <w:spacing w:line="480" w:lineRule="auto"/>
      </w:pPr>
      <w:bookmarkStart w:id="153" w:name="ref-bezzina2014does"/>
      <w:bookmarkEnd w:id="152"/>
      <w:r>
        <w:t>Bezzina CN, Amiel JJ, Shine R (2014) Does invasion success reflect superior cognitive ability? A case study of two congeneric lizard species (lampropholis, scincidae). PLoS One 9:e86271</w:t>
      </w:r>
    </w:p>
    <w:p w14:paraId="10341C64" w14:textId="77777777" w:rsidR="00C66620" w:rsidRDefault="00000000" w:rsidP="00D10D64">
      <w:pPr>
        <w:pStyle w:val="Bibliography"/>
        <w:spacing w:line="480" w:lineRule="auto"/>
      </w:pPr>
      <w:bookmarkStart w:id="154" w:name="ref-buchanan_condition_2013"/>
      <w:bookmarkEnd w:id="153"/>
      <w:r>
        <w:lastRenderedPageBreak/>
        <w:t xml:space="preserve">Buchanan KL, Grindstaff JL, Pravosudov VV (2013) Condition dependence, developmental plasticity, and cognition: Implications for ecology and evolution. Trends in Ecology &amp; Evolution 28:290–296. </w:t>
      </w:r>
      <w:hyperlink r:id="rId22">
        <w:r>
          <w:rPr>
            <w:rStyle w:val="Hyperlink"/>
          </w:rPr>
          <w:t>https://doi.org/10.1016/j.tree.2013.02.004</w:t>
        </w:r>
      </w:hyperlink>
    </w:p>
    <w:p w14:paraId="3A31D643" w14:textId="77777777" w:rsidR="00C66620" w:rsidRDefault="00000000" w:rsidP="00D10D64">
      <w:pPr>
        <w:pStyle w:val="Bibliography"/>
        <w:spacing w:line="480" w:lineRule="auto"/>
      </w:pPr>
      <w:bookmarkStart w:id="155" w:name="ref-burkner2017brms"/>
      <w:bookmarkEnd w:id="154"/>
      <w:r>
        <w:t>Bürkner P-C (2017) Brms: An r package for bayesian multilevel models using stan. Journal of statistical software 80:1–28</w:t>
      </w:r>
    </w:p>
    <w:p w14:paraId="24F58914" w14:textId="77777777" w:rsidR="00C66620" w:rsidRDefault="00000000" w:rsidP="00D10D64">
      <w:pPr>
        <w:pStyle w:val="Bibliography"/>
        <w:spacing w:line="480" w:lineRule="auto"/>
      </w:pPr>
      <w:bookmarkStart w:id="156" w:name="ref-carazo_sex_2014"/>
      <w:bookmarkEnd w:id="155"/>
      <w:r>
        <w:t xml:space="preserve">Carazo P, Noble DWA, Chandrasoma D, Whiting MJ (2014) Sex and boldness explain individual differences in spatial learning in a lizard. Proceedings of the Royal Society B: Biological Sciences 281:20133275. </w:t>
      </w:r>
      <w:hyperlink r:id="rId23">
        <w:r>
          <w:rPr>
            <w:rStyle w:val="Hyperlink"/>
          </w:rPr>
          <w:t>https://doi.org/10.1098/rspb.2013.3275</w:t>
        </w:r>
      </w:hyperlink>
    </w:p>
    <w:p w14:paraId="7A989BB4" w14:textId="77777777" w:rsidR="00C66620" w:rsidRDefault="00000000" w:rsidP="00D10D64">
      <w:pPr>
        <w:pStyle w:val="Bibliography"/>
        <w:spacing w:line="480" w:lineRule="auto"/>
      </w:pPr>
      <w:bookmarkStart w:id="157" w:name="ref-chapple_biology_2014"/>
      <w:bookmarkEnd w:id="156"/>
      <w:r>
        <w:t xml:space="preserve">Chapple DG, Miller KA, Chaplin K, et al (2014) Biology of the invasive delicate skink (Lampropholis delicata) on Lord Howe Island. Australian Journal of Zoology 62:498. </w:t>
      </w:r>
      <w:hyperlink r:id="rId24">
        <w:r>
          <w:rPr>
            <w:rStyle w:val="Hyperlink"/>
          </w:rPr>
          <w:t>https://doi.org/10.1071/ZO14098</w:t>
        </w:r>
      </w:hyperlink>
    </w:p>
    <w:p w14:paraId="4B9A479E" w14:textId="77777777" w:rsidR="00C66620" w:rsidRDefault="00000000" w:rsidP="00D10D64">
      <w:pPr>
        <w:pStyle w:val="Bibliography"/>
        <w:spacing w:line="480" w:lineRule="auto"/>
      </w:pPr>
      <w:bookmarkStart w:id="158" w:name="ref-chapple_know_2011"/>
      <w:bookmarkEnd w:id="157"/>
      <w:r>
        <w:t xml:space="preserve">Chapple DG, Simmonds SM, Wong BBM (2011) Know when to run, know when to hide: Can behavioral differences explain the divergent invasion success of two sympatric lizards?: Invasion Success of Two Sympatric Lizards. Ecology and Evolution 1:278–289. </w:t>
      </w:r>
      <w:hyperlink r:id="rId25">
        <w:r>
          <w:rPr>
            <w:rStyle w:val="Hyperlink"/>
          </w:rPr>
          <w:t>https://doi.org/10.1002/ece3.22</w:t>
        </w:r>
      </w:hyperlink>
    </w:p>
    <w:p w14:paraId="78BA6292" w14:textId="77777777" w:rsidR="00C66620" w:rsidRDefault="00000000" w:rsidP="00D10D64">
      <w:pPr>
        <w:pStyle w:val="Bibliography"/>
        <w:spacing w:line="480" w:lineRule="auto"/>
      </w:pPr>
      <w:bookmarkStart w:id="159" w:name="ref-clark_colour_2014"/>
      <w:bookmarkEnd w:id="158"/>
      <w:r>
        <w:t xml:space="preserve">Clark BF, Amiel JJ, Shine R, et al (2014) Colour discrimination and associative learning in hatchling lizards incubated at “hot” and “cold” temperatures. Behavioral Ecology and Sociobiology 68:239–247. </w:t>
      </w:r>
      <w:hyperlink r:id="rId26">
        <w:r>
          <w:rPr>
            <w:rStyle w:val="Hyperlink"/>
          </w:rPr>
          <w:t>https://doi.org/10.1007/s00265-013-1639-x</w:t>
        </w:r>
      </w:hyperlink>
    </w:p>
    <w:p w14:paraId="216463A4" w14:textId="77777777" w:rsidR="00C66620" w:rsidRDefault="00000000" w:rsidP="00D10D64">
      <w:pPr>
        <w:pStyle w:val="Bibliography"/>
        <w:spacing w:line="480" w:lineRule="auto"/>
      </w:pPr>
      <w:bookmarkStart w:id="160" w:name="ref-coomber_independent_1997"/>
      <w:bookmarkEnd w:id="159"/>
      <w:r>
        <w:t xml:space="preserve">Coomber P, Crews D, Gonzalez-Lima F (1997) Independent effects of incubation temperature and gonadal sex on the volume and metabolic capacity of brain nuclei in the leopard gecko (Eublepharis macularius), a lizard with temperature-dependent sex </w:t>
      </w:r>
      <w:r>
        <w:lastRenderedPageBreak/>
        <w:t xml:space="preserve">determination. The Journal of Comparative Neurology 380:409–421. </w:t>
      </w:r>
      <w:hyperlink r:id="rId27">
        <w:r>
          <w:rPr>
            <w:rStyle w:val="Hyperlink"/>
          </w:rPr>
          <w:t>https://doi.org/10.1002/(SICI)1096-9861(19970414)380:3&lt;409::AID-CNE9&gt;3.0.CO;2-6</w:t>
        </w:r>
      </w:hyperlink>
    </w:p>
    <w:p w14:paraId="234F53EF" w14:textId="77777777" w:rsidR="00C66620" w:rsidRDefault="00000000" w:rsidP="00D10D64">
      <w:pPr>
        <w:pStyle w:val="Bibliography"/>
        <w:spacing w:line="480" w:lineRule="auto"/>
      </w:pPr>
      <w:bookmarkStart w:id="161" w:name="ref-Crino_2023"/>
      <w:bookmarkEnd w:id="160"/>
      <w:r>
        <w:t>Crino OL, Bonduriansky R, Martin LB, Noble DWA (2023) A conceptual framework for understanding stressinduced physiological and transgenerational effects on population responses to climate change. Evolution Letters</w:t>
      </w:r>
    </w:p>
    <w:p w14:paraId="3553CAFF" w14:textId="77777777" w:rsidR="00C66620" w:rsidRDefault="00000000" w:rsidP="00D10D64">
      <w:pPr>
        <w:pStyle w:val="Bibliography"/>
        <w:spacing w:line="480" w:lineRule="auto"/>
      </w:pPr>
      <w:bookmarkStart w:id="162" w:name="ref-crino_corticosterone_2014"/>
      <w:bookmarkEnd w:id="161"/>
      <w:r>
        <w:t xml:space="preserve">Crino OL, Driscoll SC, Breuner CW (2014a) Corticosterone exposure during development has sustained but not lifelong effects on body size and total and free corticosterone responses in the zebra finch. General and Comparative Endocrinology 196:123–129. </w:t>
      </w:r>
      <w:hyperlink r:id="rId28">
        <w:r>
          <w:rPr>
            <w:rStyle w:val="Hyperlink"/>
          </w:rPr>
          <w:t>https://doi.org/10.1016/j.ygcen.2013.10.006</w:t>
        </w:r>
      </w:hyperlink>
    </w:p>
    <w:p w14:paraId="6A9F63F0" w14:textId="77777777" w:rsidR="00C66620" w:rsidRDefault="00000000" w:rsidP="00D10D64">
      <w:pPr>
        <w:pStyle w:val="Bibliography"/>
        <w:spacing w:line="480" w:lineRule="auto"/>
      </w:pPr>
      <w:bookmarkStart w:id="163" w:name="ref-crino_corticosterone_2014-learn"/>
      <w:bookmarkEnd w:id="162"/>
      <w:r>
        <w:t xml:space="preserve">Crino OL, Driscoll SC, Ton R, Breuner CW (2014b) Corticosterone exposure during development improves performance on a novel foraging task in zebra finches. Animal Behaviour 91:27–32. </w:t>
      </w:r>
      <w:hyperlink r:id="rId29">
        <w:r>
          <w:rPr>
            <w:rStyle w:val="Hyperlink"/>
          </w:rPr>
          <w:t>https://doi.org/10.1016/j.anbehav.2014.02.017</w:t>
        </w:r>
      </w:hyperlink>
    </w:p>
    <w:p w14:paraId="7FC9DD14" w14:textId="77777777" w:rsidR="00C66620" w:rsidRDefault="00000000" w:rsidP="00D10D64">
      <w:pPr>
        <w:pStyle w:val="Bibliography"/>
        <w:spacing w:line="480" w:lineRule="auto"/>
      </w:pPr>
      <w:bookmarkStart w:id="164" w:name="ref-crino2024eggs"/>
      <w:bookmarkEnd w:id="163"/>
      <w:r>
        <w:t>Crino O, Wild KH, Friesen CR, et al (2024) From eggs to adulthood: Sustained effects of early developmental temperature and corticosterone exposure on physiology and body size in an australian lizard</w:t>
      </w:r>
    </w:p>
    <w:p w14:paraId="7E3341DF" w14:textId="77777777" w:rsidR="00C66620" w:rsidRDefault="00000000" w:rsidP="00D10D64">
      <w:pPr>
        <w:pStyle w:val="Bibliography"/>
        <w:spacing w:line="480" w:lineRule="auto"/>
      </w:pPr>
      <w:bookmarkStart w:id="165" w:name="ref-dayananda_incubation_2017"/>
      <w:bookmarkEnd w:id="164"/>
      <w:r>
        <w:t xml:space="preserve">Dayananda B, Webb JK (2017) Incubation under climate warming affects learning ability and survival in hatchling lizards. Biology Letters 13:20170002. </w:t>
      </w:r>
      <w:hyperlink r:id="rId30">
        <w:r>
          <w:rPr>
            <w:rStyle w:val="Hyperlink"/>
          </w:rPr>
          <w:t>https://doi.org/10.1098/rsbl.2017.0002</w:t>
        </w:r>
      </w:hyperlink>
    </w:p>
    <w:p w14:paraId="0F7300B9" w14:textId="77777777" w:rsidR="00C66620" w:rsidRDefault="00000000" w:rsidP="00D10D64">
      <w:pPr>
        <w:pStyle w:val="Bibliography"/>
        <w:spacing w:line="480" w:lineRule="auto"/>
      </w:pPr>
      <w:bookmarkStart w:id="166" w:name="ref-dissanayake2021effects"/>
      <w:bookmarkEnd w:id="165"/>
      <w:r>
        <w:t>Dissanayake DS, Holleley CE, Georges A (2021) Effects of natural nest temperatures on sex reversal and sex ratios in an australian alpine skink. Scientific Reports 11:20093</w:t>
      </w:r>
    </w:p>
    <w:p w14:paraId="49EF84A9" w14:textId="77777777" w:rsidR="00C66620" w:rsidRDefault="00000000" w:rsidP="00D10D64">
      <w:pPr>
        <w:pStyle w:val="Bibliography"/>
        <w:spacing w:line="480" w:lineRule="auto"/>
      </w:pPr>
      <w:bookmarkStart w:id="167" w:name="ref-du_dynamic_2009"/>
      <w:bookmarkEnd w:id="166"/>
      <w:r>
        <w:lastRenderedPageBreak/>
        <w:t xml:space="preserve">Du J, Wang Y, Hunter R, et al (2009) Dynamic regulation of mitochondrial function by glucocorticoids. Proceedings of the National Academy of Sciences 106:3543–3548. </w:t>
      </w:r>
      <w:hyperlink r:id="rId31">
        <w:r>
          <w:rPr>
            <w:rStyle w:val="Hyperlink"/>
          </w:rPr>
          <w:t>https://doi.org/10.1073/pnas.0812671106</w:t>
        </w:r>
      </w:hyperlink>
    </w:p>
    <w:p w14:paraId="04C11DDE" w14:textId="77777777" w:rsidR="00C66620" w:rsidRDefault="00000000" w:rsidP="00D10D64">
      <w:pPr>
        <w:pStyle w:val="Bibliography"/>
        <w:spacing w:line="480" w:lineRule="auto"/>
      </w:pPr>
      <w:bookmarkStart w:id="168" w:name="ref-dukas_evolutionary_2004"/>
      <w:bookmarkEnd w:id="167"/>
      <w:r>
        <w:t xml:space="preserve">Dukas R (2004) Evolutionary Biology of Animal Cognition. Annual Review of Ecology, Evolution, and Systematics 35:347–374. </w:t>
      </w:r>
      <w:hyperlink r:id="rId32">
        <w:r>
          <w:rPr>
            <w:rStyle w:val="Hyperlink"/>
          </w:rPr>
          <w:t>https://doi.org/10.1146/annurev.ecolsys.35.112202.130152</w:t>
        </w:r>
      </w:hyperlink>
    </w:p>
    <w:p w14:paraId="7FA37249" w14:textId="77777777" w:rsidR="00C66620" w:rsidRDefault="00000000" w:rsidP="00D10D64">
      <w:pPr>
        <w:pStyle w:val="Bibliography"/>
        <w:spacing w:line="480" w:lineRule="auto"/>
      </w:pPr>
      <w:bookmarkStart w:id="169" w:name="ref-eaton2015mild"/>
      <w:bookmarkEnd w:id="168"/>
      <w:r>
        <w:t>Eaton L, Edmonds E, Henry T, et al (2015) Mild maternal stress disrupts associative learning and increases aggression in offspring. Hormones and behavior 71:10–15</w:t>
      </w:r>
    </w:p>
    <w:p w14:paraId="3C6453E7" w14:textId="77777777" w:rsidR="00C66620" w:rsidRDefault="00000000" w:rsidP="00D10D64">
      <w:pPr>
        <w:pStyle w:val="Bibliography"/>
        <w:spacing w:line="480" w:lineRule="auto"/>
      </w:pPr>
      <w:bookmarkStart w:id="170" w:name="ref-farrell_developmental_2015-learn"/>
      <w:bookmarkEnd w:id="169"/>
      <w:r>
        <w:t xml:space="preserve">Farrell TM, Neuert MAC, Cui A, MacDougall-Shackleton SA (2015) Developmental stress impairs a female songbird’s behavioural and neural response to a sexually selected signal. Animal Behaviour 102:157–167. </w:t>
      </w:r>
      <w:hyperlink r:id="rId33">
        <w:r>
          <w:rPr>
            <w:rStyle w:val="Hyperlink"/>
          </w:rPr>
          <w:t>https://doi.org/10.1016/j.anbehav.2015.01.018</w:t>
        </w:r>
      </w:hyperlink>
    </w:p>
    <w:p w14:paraId="6FF3A8A5" w14:textId="77777777" w:rsidR="00C66620" w:rsidRDefault="00000000" w:rsidP="00D10D64">
      <w:pPr>
        <w:pStyle w:val="Bibliography"/>
        <w:spacing w:line="480" w:lineRule="auto"/>
      </w:pPr>
      <w:bookmarkStart w:id="171" w:name="ref-hanover2019corticosterone"/>
      <w:bookmarkEnd w:id="170"/>
      <w:r>
        <w:t>Hanover AM, Husak JF, Lovern M (2019) Corticosterone in lizard egg yolk is reduced by maternal diet restriction but unaltered by maternal exercise. Physiological and Biochemical Zoology 92:573–578</w:t>
      </w:r>
    </w:p>
    <w:p w14:paraId="7199B913" w14:textId="77777777" w:rsidR="00C66620" w:rsidRDefault="00000000" w:rsidP="00D10D64">
      <w:pPr>
        <w:pStyle w:val="Bibliography"/>
        <w:spacing w:line="480" w:lineRule="auto"/>
      </w:pPr>
      <w:bookmarkStart w:id="172" w:name="ref-leal_behavioural_2012"/>
      <w:bookmarkEnd w:id="171"/>
      <w:r>
        <w:t xml:space="preserve">Leal M, Powell BJ (2012) Behavioural flexibility and problem-solving in a tropical lizard. Biology Letters 8:28–30. </w:t>
      </w:r>
      <w:hyperlink r:id="rId34">
        <w:r>
          <w:rPr>
            <w:rStyle w:val="Hyperlink"/>
          </w:rPr>
          <w:t>https://doi.org/10.1098/rsbl.2011.0480</w:t>
        </w:r>
      </w:hyperlink>
    </w:p>
    <w:p w14:paraId="315E06C3" w14:textId="77777777" w:rsidR="00C66620" w:rsidRDefault="00000000" w:rsidP="00D10D64">
      <w:pPr>
        <w:pStyle w:val="Bibliography"/>
        <w:spacing w:line="480" w:lineRule="auto"/>
      </w:pPr>
      <w:bookmarkStart w:id="173" w:name="ref-lemaire_prenatal_2000"/>
      <w:bookmarkEnd w:id="172"/>
      <w:r>
        <w:t xml:space="preserve">Lemaire V, Koehl M, Le Moal M, Abrous DN (2000) Prenatal stress produces learning deficits associated with an inhibition of neurogenesis in the hippocampus. Proceedings of the National Academy of Sciences 97:11032–11037. </w:t>
      </w:r>
      <w:hyperlink r:id="rId35">
        <w:r>
          <w:rPr>
            <w:rStyle w:val="Hyperlink"/>
          </w:rPr>
          <w:t>https://doi.org/10.1073/pnas.97.20.11032</w:t>
        </w:r>
      </w:hyperlink>
    </w:p>
    <w:p w14:paraId="7F36403A" w14:textId="77777777" w:rsidR="00C66620" w:rsidRDefault="00000000" w:rsidP="00D10D64">
      <w:pPr>
        <w:pStyle w:val="Bibliography"/>
        <w:spacing w:line="480" w:lineRule="auto"/>
      </w:pPr>
      <w:bookmarkStart w:id="174" w:name="ref-lovern2008effects"/>
      <w:bookmarkEnd w:id="173"/>
      <w:r>
        <w:lastRenderedPageBreak/>
        <w:t>Lovern MB, Adams AL (2008) The effects of diet on plasma and yolk steroids in lizards (anolis carolinensis). Integrative and comparative biology 48:428–436</w:t>
      </w:r>
    </w:p>
    <w:p w14:paraId="5F4AE5A8" w14:textId="77777777" w:rsidR="00C66620" w:rsidRDefault="00000000" w:rsidP="00D10D64">
      <w:pPr>
        <w:pStyle w:val="Bibliography"/>
        <w:spacing w:line="480" w:lineRule="auto"/>
      </w:pPr>
      <w:bookmarkStart w:id="175" w:name="ref-mcewen_brain_2012"/>
      <w:bookmarkEnd w:id="174"/>
      <w:r>
        <w:t xml:space="preserve">McEwen BS (2012) Brain on stress: How the social environment gets under the skin. Proceedings of the National Academy of Sciences 109:17180–17185. </w:t>
      </w:r>
      <w:hyperlink r:id="rId36">
        <w:r>
          <w:rPr>
            <w:rStyle w:val="Hyperlink"/>
          </w:rPr>
          <w:t>https://doi.org/10.1073/pnas.1121254109</w:t>
        </w:r>
      </w:hyperlink>
    </w:p>
    <w:p w14:paraId="57595025" w14:textId="77777777" w:rsidR="00C66620" w:rsidRDefault="00000000" w:rsidP="00D10D64">
      <w:pPr>
        <w:pStyle w:val="Bibliography"/>
        <w:spacing w:line="480" w:lineRule="auto"/>
      </w:pPr>
      <w:bookmarkStart w:id="176" w:name="ref-noble_age-dependent_2014"/>
      <w:bookmarkEnd w:id="175"/>
      <w:r>
        <w:t xml:space="preserve">Noble DWA, Byrne RW, Whiting MJ (2014) Age-dependent social learning in a lizard. Biology Letters 10:20140430. </w:t>
      </w:r>
      <w:hyperlink r:id="rId37">
        <w:r>
          <w:rPr>
            <w:rStyle w:val="Hyperlink"/>
          </w:rPr>
          <w:t>https://doi.org/10.1098/rsbl.2014.0430</w:t>
        </w:r>
      </w:hyperlink>
    </w:p>
    <w:p w14:paraId="18648DC9" w14:textId="77777777" w:rsidR="00C66620" w:rsidRDefault="00000000" w:rsidP="00D10D64">
      <w:pPr>
        <w:pStyle w:val="Bibliography"/>
        <w:spacing w:line="480" w:lineRule="auto"/>
      </w:pPr>
      <w:bookmarkStart w:id="177" w:name="ref-noble_developmental_2018"/>
      <w:bookmarkEnd w:id="176"/>
      <w:r>
        <w:t xml:space="preserve">Noble DWA, Stenhouse V, Schwanz LE (2018) Developmental temperatures and phenotypic plasticity in reptiles: A systematic review and meta-analysis: Incubation temperature and plasticity. Biological Reviews 93:72–97. </w:t>
      </w:r>
      <w:hyperlink r:id="rId38">
        <w:r>
          <w:rPr>
            <w:rStyle w:val="Hyperlink"/>
          </w:rPr>
          <w:t>https://doi.org/10.1111/brv.12333</w:t>
        </w:r>
      </w:hyperlink>
    </w:p>
    <w:p w14:paraId="64A01289" w14:textId="77777777" w:rsidR="00C66620" w:rsidRDefault="00000000" w:rsidP="00D10D64">
      <w:pPr>
        <w:pStyle w:val="Bibliography"/>
        <w:spacing w:line="480" w:lineRule="auto"/>
      </w:pPr>
      <w:bookmarkStart w:id="178" w:name="ref-putman2017fear"/>
      <w:bookmarkEnd w:id="177"/>
      <w:r>
        <w:t>Putman BJ, Drury JP, Blumstein DT, Pauly GB (2017) Fear no colors? Observer clothing color influences lizard escape behavior. PLoS One 12:e0182146</w:t>
      </w:r>
    </w:p>
    <w:p w14:paraId="6BF40CA6" w14:textId="77777777" w:rsidR="00C66620" w:rsidRDefault="00000000" w:rsidP="00D10D64">
      <w:pPr>
        <w:pStyle w:val="Bibliography"/>
        <w:spacing w:line="480" w:lineRule="auto"/>
      </w:pPr>
      <w:bookmarkStart w:id="179" w:name="ref-sakata_neural_2000"/>
      <w:bookmarkEnd w:id="178"/>
      <w:r>
        <w:t>Sakata JT, Coomber P, Gonzalez-Lima F, Crews D (2000) Functional connectivity among limbic brain areas: Differential effects of incubation temperature and gonadal sex in the leopard gecko, eublepharis macularius. Brain, Behavior and Evolution 139–151</w:t>
      </w:r>
    </w:p>
    <w:p w14:paraId="0C963851" w14:textId="77777777" w:rsidR="00C66620" w:rsidRDefault="00000000" w:rsidP="00D10D64">
      <w:pPr>
        <w:pStyle w:val="Bibliography"/>
        <w:spacing w:line="480" w:lineRule="auto"/>
      </w:pPr>
      <w:bookmarkStart w:id="180" w:name="ref-sapolsky_how_2000"/>
      <w:bookmarkEnd w:id="179"/>
      <w:r>
        <w:t>Sapolsky RM, Romero LM, Munck AU (2000) How Do Glucocorticoids Influence Stress Responses? Integrating Permissive, Suppressive, Stimulatory, and Preparative Actions. 21:</w:t>
      </w:r>
    </w:p>
    <w:p w14:paraId="79FB2036" w14:textId="77777777" w:rsidR="00C66620" w:rsidRDefault="00000000" w:rsidP="00D10D64">
      <w:pPr>
        <w:pStyle w:val="Bibliography"/>
        <w:spacing w:line="480" w:lineRule="auto"/>
      </w:pPr>
      <w:bookmarkStart w:id="181" w:name="ref-shettleworth"/>
      <w:bookmarkEnd w:id="180"/>
      <w:r>
        <w:t>Shettleworth SJ (2010) Cognition, evolution, and behaviour, 2nd edn. Oxford University Press</w:t>
      </w:r>
    </w:p>
    <w:p w14:paraId="320FBEF0" w14:textId="77777777" w:rsidR="00C66620" w:rsidRDefault="00000000" w:rsidP="00D10D64">
      <w:pPr>
        <w:pStyle w:val="Bibliography"/>
        <w:spacing w:line="480" w:lineRule="auto"/>
      </w:pPr>
      <w:bookmarkStart w:id="182" w:name="ref-szabo_sex_meta"/>
      <w:bookmarkEnd w:id="181"/>
      <w:r>
        <w:lastRenderedPageBreak/>
        <w:t>Szabo W B. (2019) Sex-dependent discrimination learning in lizards: A meta-analysis. Behavioural processes 164:10–16</w:t>
      </w:r>
    </w:p>
    <w:p w14:paraId="211CD8AD" w14:textId="77777777" w:rsidR="00C66620" w:rsidRDefault="00000000" w:rsidP="00D10D64">
      <w:pPr>
        <w:pStyle w:val="Bibliography"/>
        <w:spacing w:line="480" w:lineRule="auto"/>
      </w:pPr>
      <w:bookmarkStart w:id="183" w:name="ref-szuran_water_1994"/>
      <w:bookmarkEnd w:id="182"/>
      <w:r>
        <w:t xml:space="preserve">Szuran T, Zimmermann E, Welzl H (1994) Water maze performance and hippocampal weight of prenatally stressed rats. Behavioural Brain Research 65:153–155. </w:t>
      </w:r>
      <w:hyperlink r:id="rId39">
        <w:r>
          <w:rPr>
            <w:rStyle w:val="Hyperlink"/>
          </w:rPr>
          <w:t>https://doi.org/10.1016/0166-4328(94)90100-7</w:t>
        </w:r>
      </w:hyperlink>
    </w:p>
    <w:p w14:paraId="6AB1365E" w14:textId="77777777" w:rsidR="00C66620" w:rsidRDefault="00000000" w:rsidP="00D10D64">
      <w:pPr>
        <w:pStyle w:val="Bibliography"/>
        <w:spacing w:line="480" w:lineRule="auto"/>
      </w:pPr>
      <w:bookmarkStart w:id="184" w:name="ref-torr1996patterns"/>
      <w:bookmarkEnd w:id="183"/>
      <w:r>
        <w:t>Torr GA, Shine R (1996) Patterns of dominance in the small scincid lizard lampropholis guichenoti. Journal of Herpetology 230–237</w:t>
      </w:r>
    </w:p>
    <w:p w14:paraId="2B7FA5F7" w14:textId="77777777" w:rsidR="00C66620" w:rsidRDefault="00000000" w:rsidP="00D10D64">
      <w:pPr>
        <w:pStyle w:val="Bibliography"/>
        <w:spacing w:line="480" w:lineRule="auto"/>
      </w:pPr>
      <w:bookmarkStart w:id="185" w:name="ref-zhu_prenatal_2004"/>
      <w:bookmarkEnd w:id="184"/>
      <w:r>
        <w:t xml:space="preserve">Zhu Z, Li X, Chen W, et al (2004) Prenatal stress causes gender-dependent neuronal loss and oxidative stress in rat hippocampus. Journal of Neuroscience Research 78:837–844. </w:t>
      </w:r>
      <w:hyperlink r:id="rId40">
        <w:r>
          <w:rPr>
            <w:rStyle w:val="Hyperlink"/>
          </w:rPr>
          <w:t>https://doi.org/10.1002/jnr.20338</w:t>
        </w:r>
      </w:hyperlink>
    </w:p>
    <w:bookmarkEnd w:id="144"/>
    <w:bookmarkEnd w:id="185"/>
    <w:p w14:paraId="5B0ECB32" w14:textId="77777777" w:rsidR="00C66620" w:rsidRDefault="00000000">
      <w:r>
        <w:br w:type="page"/>
      </w:r>
    </w:p>
    <w:p w14:paraId="61962E87" w14:textId="77777777" w:rsidR="00C66620" w:rsidRDefault="00000000" w:rsidP="00D10D64">
      <w:pPr>
        <w:pStyle w:val="Heading1"/>
        <w:spacing w:line="480" w:lineRule="auto"/>
      </w:pPr>
      <w:bookmarkStart w:id="186" w:name="suplementary-material"/>
      <w:bookmarkEnd w:id="142"/>
      <w:r>
        <w:lastRenderedPageBreak/>
        <w:t>Suplementary Material</w:t>
      </w:r>
    </w:p>
    <w:p w14:paraId="5983EA6D" w14:textId="66BA4FC5" w:rsidR="00C66620" w:rsidRDefault="00000000" w:rsidP="00D10D64">
      <w:pPr>
        <w:pStyle w:val="Heading4"/>
        <w:spacing w:line="480" w:lineRule="auto"/>
      </w:pPr>
      <w:bookmarkStart w:id="187" w:name="Xc012a426aa80adb6c670b93a3977aae725087ad"/>
      <w:r>
        <w:t xml:space="preserve">Estimates of reversal learning slopes for all the different treatments per </w:t>
      </w:r>
      <w:proofErr w:type="gramStart"/>
      <w:r>
        <w:t>each task</w:t>
      </w:r>
      <w:proofErr w:type="gramEnd"/>
      <w:r>
        <w:t>, specie</w:t>
      </w:r>
      <w:ins w:id="188" w:author="Amelia Peardon" w:date="2024-09-09T17:58:00Z" w16du:dateUtc="2024-09-09T07:58:00Z">
        <w:r w:rsidR="00DD0A35">
          <w:t>s</w:t>
        </w:r>
      </w:ins>
      <w:r>
        <w:t>, and group.</w:t>
      </w:r>
    </w:p>
    <w:p w14:paraId="34C53B54" w14:textId="1E3DCE0C" w:rsidR="00C66620" w:rsidRDefault="00000000" w:rsidP="00D10D64">
      <w:pPr>
        <w:pStyle w:val="FirstParagraph"/>
        <w:spacing w:line="480" w:lineRule="auto"/>
      </w:pPr>
      <w:r>
        <w:t xml:space="preserve">Table 1. Estimates of learning slopes for all the different treatments per </w:t>
      </w:r>
      <w:proofErr w:type="gramStart"/>
      <w:r>
        <w:t>each task</w:t>
      </w:r>
      <w:proofErr w:type="gramEnd"/>
      <w:r>
        <w:t>, specie</w:t>
      </w:r>
      <w:ins w:id="189" w:author="Amelia Peardon" w:date="2024-09-09T17:59:00Z" w16du:dateUtc="2024-09-09T07:59:00Z">
        <w:r w:rsidR="00DD0A35">
          <w:t>s</w:t>
        </w:r>
      </w:ins>
      <w:r>
        <w:t>, and group. Mean shows the arithmetic means of the estimates obtained from the posteriors of the model, and 95% CI indicates the 95% confidence interval of the mean. All p</w:t>
      </w:r>
      <w:r>
        <w:rPr>
          <w:vertAlign w:val="subscript"/>
        </w:rPr>
        <w:t>mcmc</w:t>
      </w:r>
      <w:r>
        <w:t xml:space="preserve"> tested the hypothesis that the mean equals zero. In bold, those values that are significant (p</w:t>
      </w:r>
      <w:r>
        <w:rPr>
          <w:vertAlign w:val="subscript"/>
        </w:rPr>
        <w:t>mcmc</w:t>
      </w:r>
      <w:r>
        <w:t xml:space="preserve"> &lt;0.05).</w:t>
      </w:r>
    </w:p>
    <w:tbl>
      <w:tblPr>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C66620" w14:paraId="5D24C7D7" w14:textId="77777777">
        <w:trPr>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81D64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bookmarkStart w:id="190"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906A76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F500D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Blue</w:t>
            </w:r>
          </w:p>
        </w:tc>
      </w:tr>
      <w:tr w:rsidR="00C66620" w14:paraId="474E9DFF"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137957" w14:textId="0623EF31"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w:t>
            </w:r>
            <w:ins w:id="191" w:author="Amelia Peardon" w:date="2024-09-09T17:59:00Z" w16du:dateUtc="2024-09-09T07:59:00Z">
              <w:r w:rsidR="00DD0A35">
                <w:rPr>
                  <w:rFonts w:ascii="Times New Roman" w:eastAsia="Helvetica" w:hAnsi="Helvetica" w:cs="Helvetica"/>
                  <w:color w:val="000000"/>
                  <w:sz w:val="20"/>
                  <w:szCs w:val="20"/>
                </w:rPr>
                <w:t>s</w:t>
              </w:r>
            </w:ins>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122F09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473F57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BD9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8E767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06BC6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AE366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6A7D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r>
      <w:tr w:rsidR="00C66620" w14:paraId="1980E149"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1F0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B82E56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A83B9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239F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[0.055 ,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7772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D747A1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108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[-0.035 ,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030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0.60</w:t>
            </w:r>
          </w:p>
        </w:tc>
      </w:tr>
      <w:tr w:rsidR="00C66620" w14:paraId="4B77A475"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F7801"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3BB6C1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2F30A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B136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[0.018 ,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D4D27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A9B6D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AAFF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[-0.056 ,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E03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0.77</w:t>
            </w:r>
          </w:p>
        </w:tc>
      </w:tr>
      <w:tr w:rsidR="00C66620" w14:paraId="00C696CC"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CEE8D"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7886D1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CDEB5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A363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[0.023 ,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8F562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E976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886C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 ,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74AA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0.17</w:t>
            </w:r>
          </w:p>
        </w:tc>
      </w:tr>
      <w:tr w:rsidR="00C66620" w14:paraId="1F476825"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93CC33"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A0DB44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ACA788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7F11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[0.037 ,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9BE5ED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74A2C2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8C0B1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[0.002 ,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932D8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2902D5B3"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318E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8F18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798C02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026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[0.054 ,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8AF6A1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86AA1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8CA4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[0.012 ,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4613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0301E0F3"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CEF8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0DA3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4DD08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5EEB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[0.032 ,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0E2A4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C94A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09B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[-0.058 ,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38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0.65</w:t>
            </w:r>
          </w:p>
        </w:tc>
      </w:tr>
      <w:tr w:rsidR="00C66620" w14:paraId="63C9604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F8458"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6251B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9943B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7A2A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[0.014 ,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B73B4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69FA7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B9C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[0.036 ,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377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7682A97E"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7F5038"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23558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397A0A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A8B7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[0.016 ,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8C556E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5A3D3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FE716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[0.004 ,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51F07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bookmarkEnd w:id="190"/>
    </w:tbl>
    <w:p w14:paraId="4B0A3C42" w14:textId="1EC379EC" w:rsidR="00C66620" w:rsidRDefault="00C66620"/>
    <w:p w14:paraId="62B685D8" w14:textId="77777777" w:rsidR="00C66620" w:rsidRDefault="00000000">
      <w:r>
        <w:br w:type="page"/>
      </w:r>
    </w:p>
    <w:p w14:paraId="0F398F75" w14:textId="77777777" w:rsidR="00C66620" w:rsidRDefault="00000000" w:rsidP="00D10D64">
      <w:pPr>
        <w:pStyle w:val="Heading4"/>
        <w:spacing w:line="480" w:lineRule="auto"/>
      </w:pPr>
      <w:bookmarkStart w:id="192" w:name="colour-preference"/>
      <w:bookmarkEnd w:id="187"/>
      <w:r>
        <w:lastRenderedPageBreak/>
        <w:t>Colour preference</w:t>
      </w:r>
    </w:p>
    <w:p w14:paraId="2E4122C5" w14:textId="77777777" w:rsidR="00C66620" w:rsidRDefault="00000000" w:rsidP="00D10D64">
      <w:pPr>
        <w:pStyle w:val="FirstParagraph"/>
        <w:spacing w:line="480" w:lineRule="auto"/>
      </w:pPr>
      <w:r>
        <w:t>To test if lizards were biased towards the assigned colour as our preliminary analyses suggested, we employed the intercepts from our posterior distributions. We first estimated the predicted probability of choosing the correct feeder first in the first trial, by using the formula:</w:t>
      </w:r>
    </w:p>
    <w:p w14:paraId="13DF99F0" w14:textId="77777777" w:rsidR="00C66620" w:rsidRDefault="00000000" w:rsidP="00D10D64">
      <w:pPr>
        <w:pStyle w:val="BodyText"/>
        <w:spacing w:line="480" w:lineRule="auto"/>
      </w:pPr>
      <m:oMathPara>
        <m:oMathParaPr>
          <m:jc m:val="center"/>
        </m:oMathParaPr>
        <m:oMath>
          <m:r>
            <m:rPr>
              <m:nor/>
            </m:rPr>
            <m:t>Probability</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Intercept</m:t>
                  </m:r>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Intercept</m:t>
                  </m:r>
                </m:sup>
              </m:sSup>
            </m:den>
          </m:f>
        </m:oMath>
      </m:oMathPara>
    </w:p>
    <w:p w14:paraId="042152C6" w14:textId="0058A1C5" w:rsidR="00C66620" w:rsidRDefault="00000000" w:rsidP="00D10D64">
      <w:pPr>
        <w:pStyle w:val="FirstParagraph"/>
        <w:spacing w:line="480" w:lineRule="auto"/>
      </w:pPr>
      <w:r>
        <w:t>Second, we tested the hypothesis that the estimated probability was higher than 0.33 (the probability expected by chance of choosing the correct feeder) using pmcmc. If the estimated probability is above 0.33</w:t>
      </w:r>
      <w:ins w:id="193" w:author="Amelia Peardon" w:date="2024-09-09T18:00:00Z" w16du:dateUtc="2024-09-09T08:00:00Z">
        <w:r w:rsidR="00DD0A35">
          <w:t>,</w:t>
        </w:r>
      </w:ins>
      <w:del w:id="194" w:author="Amelia Peardon" w:date="2024-09-09T18:00:00Z" w16du:dateUtc="2024-09-09T08:00:00Z">
        <w:r w:rsidDel="00DD0A35">
          <w:delText>.</w:delText>
        </w:r>
      </w:del>
      <w:r>
        <w:t xml:space="preserve"> we consider it as an indication that there was a preference towards that colour that could be affecting learning slopes. The results per treatment are summarized in Table 2.</w:t>
      </w:r>
    </w:p>
    <w:p w14:paraId="0D712D74" w14:textId="685A5332" w:rsidR="00C66620" w:rsidRDefault="00000000" w:rsidP="00D10D64">
      <w:pPr>
        <w:pStyle w:val="BodyText"/>
        <w:spacing w:line="480" w:lineRule="auto"/>
      </w:pPr>
      <w:commentRangeStart w:id="195"/>
      <w:r>
        <w:t xml:space="preserve">Table 2. </w:t>
      </w:r>
      <w:commentRangeEnd w:id="195"/>
      <w:r w:rsidR="00DD0A35">
        <w:rPr>
          <w:rStyle w:val="CommentReference"/>
        </w:rPr>
        <w:commentReference w:id="195"/>
      </w:r>
      <w:r>
        <w:t>Probability of choosing the correct feeder in the first trial when the correct feeder was blue (Prob Blue) or red (Prob Red) for each species and each treatment. p</w:t>
      </w:r>
      <w:r>
        <w:rPr>
          <w:vertAlign w:val="subscript"/>
        </w:rPr>
        <w:t>mcmc</w:t>
      </w:r>
      <w:r>
        <w:t xml:space="preserve"> tested the hypothesis that the probability is &gt;0.33. In bold, those values that are significant (p</w:t>
      </w:r>
      <w:r>
        <w:rPr>
          <w:vertAlign w:val="subscript"/>
        </w:rPr>
        <w:t>mcmc</w:t>
      </w:r>
      <w:r>
        <w:t xml:space="preserve"> &lt;0.05)</w:t>
      </w:r>
      <w:ins w:id="196" w:author="Amelia Peardon" w:date="2024-09-09T18:00:00Z" w16du:dateUtc="2024-09-09T08:00:00Z">
        <w:r w:rsidR="00DD0A35">
          <w:t>.</w:t>
        </w:r>
      </w:ins>
    </w:p>
    <w:tbl>
      <w:tblPr>
        <w:tblW w:w="0" w:type="auto"/>
        <w:jc w:val="center"/>
        <w:tblLayout w:type="fixed"/>
        <w:tblLook w:val="0420" w:firstRow="1" w:lastRow="0" w:firstColumn="0" w:lastColumn="0" w:noHBand="0" w:noVBand="1"/>
      </w:tblPr>
      <w:tblGrid>
        <w:gridCol w:w="1466"/>
        <w:gridCol w:w="1477"/>
        <w:gridCol w:w="1216"/>
        <w:gridCol w:w="1438"/>
        <w:gridCol w:w="1161"/>
        <w:gridCol w:w="1383"/>
      </w:tblGrid>
      <w:tr w:rsidR="00C66620" w14:paraId="114E24CA"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98578" w14:textId="3206F17A"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197" w:name="tbl-bias"/>
            <w:r>
              <w:rPr>
                <w:rFonts w:ascii="Times New Roman" w:eastAsia="Helvetica" w:hAnsi="Helvetica" w:cs="Helvetica"/>
                <w:color w:val="000000"/>
                <w:sz w:val="20"/>
                <w:szCs w:val="20"/>
              </w:rPr>
              <w:t>Specie</w:t>
            </w:r>
            <w:ins w:id="198" w:author="Amelia Peardon" w:date="2024-09-09T18:00:00Z" w16du:dateUtc="2024-09-09T08:00:00Z">
              <w:r w:rsidR="00DD0A35">
                <w:rPr>
                  <w:rFonts w:ascii="Times New Roman" w:eastAsia="Helvetica" w:hAnsi="Helvetica" w:cs="Helvetica"/>
                  <w:color w:val="000000"/>
                  <w:sz w:val="20"/>
                  <w:szCs w:val="20"/>
                </w:rPr>
                <w:t>s</w:t>
              </w:r>
            </w:ins>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EB22DA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48D35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Blue</w:t>
            </w:r>
          </w:p>
        </w:tc>
        <w:tc>
          <w:tcPr>
            <w:tcW w:w="1438"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84D628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p-value Blue</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BC9C7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Red</w:t>
            </w:r>
          </w:p>
        </w:tc>
        <w:tc>
          <w:tcPr>
            <w:tcW w:w="138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D1B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p-value Red</w:t>
            </w:r>
          </w:p>
        </w:tc>
      </w:tr>
      <w:tr w:rsidR="00C66620" w14:paraId="164239A2"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607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CA6E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EFC4D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0.633</w:t>
            </w:r>
          </w:p>
        </w:tc>
        <w:tc>
          <w:tcPr>
            <w:tcW w:w="1438"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55EAE9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C5CABE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0.142</w:t>
            </w:r>
          </w:p>
        </w:tc>
        <w:tc>
          <w:tcPr>
            <w:tcW w:w="13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769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0.98</w:t>
            </w:r>
          </w:p>
        </w:tc>
      </w:tr>
      <w:tr w:rsidR="00C66620" w14:paraId="56C67700"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9B21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22566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25987C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0.752</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FBADF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265F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0.294</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781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0.67</w:t>
            </w:r>
          </w:p>
        </w:tc>
      </w:tr>
      <w:tr w:rsidR="00C66620" w14:paraId="6A82E832"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0136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85B0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C6C8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0.553</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B10A7F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907D74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0.340</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B0C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0.51</w:t>
            </w:r>
          </w:p>
        </w:tc>
      </w:tr>
      <w:tr w:rsidR="00C66620" w14:paraId="2CB9E725"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12B6B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7F810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2AB3F8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0.502</w:t>
            </w:r>
          </w:p>
        </w:tc>
        <w:tc>
          <w:tcPr>
            <w:tcW w:w="1438"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EB1110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0.08</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9E83F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0.317</w:t>
            </w:r>
          </w:p>
        </w:tc>
        <w:tc>
          <w:tcPr>
            <w:tcW w:w="138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D2029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0.58</w:t>
            </w:r>
          </w:p>
        </w:tc>
      </w:tr>
      <w:tr w:rsidR="00C66620" w14:paraId="5E194E98"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5482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0F39C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29113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0.355</w:t>
            </w:r>
          </w:p>
        </w:tc>
        <w:tc>
          <w:tcPr>
            <w:tcW w:w="143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286371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0.46</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FCF5A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0.072</w:t>
            </w:r>
          </w:p>
        </w:tc>
        <w:tc>
          <w:tcPr>
            <w:tcW w:w="138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7ED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1.00</w:t>
            </w:r>
          </w:p>
        </w:tc>
      </w:tr>
      <w:tr w:rsidR="00C66620" w14:paraId="2918FB00"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907B2"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D8EF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656E6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0.614</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4853E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5C7CE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0.191</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7B7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0.91</w:t>
            </w:r>
          </w:p>
        </w:tc>
      </w:tr>
      <w:tr w:rsidR="00C66620" w14:paraId="24FB92C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07A4"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CBF3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569A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0.482</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6F5C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43E91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0.235</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9D98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0.83</w:t>
            </w:r>
          </w:p>
        </w:tc>
      </w:tr>
      <w:tr w:rsidR="00C66620" w14:paraId="45FFED62"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3A714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7185ED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CFC860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0.498</w:t>
            </w:r>
          </w:p>
        </w:tc>
        <w:tc>
          <w:tcPr>
            <w:tcW w:w="1438"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EAF6FE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0.10</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B658A6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0.283</w:t>
            </w:r>
          </w:p>
        </w:tc>
        <w:tc>
          <w:tcPr>
            <w:tcW w:w="13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7C3B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0.69</w:t>
            </w:r>
          </w:p>
        </w:tc>
      </w:tr>
    </w:tbl>
    <w:p w14:paraId="064291F6" w14:textId="6CE6C9B3" w:rsidR="00C66620" w:rsidRDefault="00C66620">
      <w:pPr>
        <w:pStyle w:val="BodyText"/>
      </w:pPr>
    </w:p>
    <w:bookmarkEnd w:id="197"/>
    <w:p w14:paraId="42E6372D" w14:textId="77777777" w:rsidR="00C66620" w:rsidRDefault="00000000" w:rsidP="00D10D64">
      <w:pPr>
        <w:pStyle w:val="BodyText"/>
        <w:spacing w:line="480" w:lineRule="auto"/>
      </w:pPr>
      <w:commentRangeStart w:id="199"/>
      <w:r>
        <w:t xml:space="preserve">On average, we found that, </w:t>
      </w:r>
      <w:commentRangeEnd w:id="199"/>
      <w:r w:rsidR="00C84D9B">
        <w:rPr>
          <w:rStyle w:val="CommentReference"/>
        </w:rPr>
        <w:commentReference w:id="199"/>
      </w:r>
      <w:r>
        <w:t xml:space="preserve">for both species, the proportion of correct choices in the first trial was significantly above chance when the correct feeder was blue for </w:t>
      </w:r>
      <w:r>
        <w:rPr>
          <w:i/>
          <w:iCs/>
        </w:rPr>
        <w:t>L. delicata</w:t>
      </w:r>
      <w:r>
        <w:t xml:space="preserve"> (mean Prob choice = 0.610, p</w:t>
      </w:r>
      <w:r>
        <w:rPr>
          <w:vertAlign w:val="subscript"/>
        </w:rPr>
        <w:t>mcmc</w:t>
      </w:r>
      <w:r>
        <w:t xml:space="preserve"> &lt; 0.05) but not for </w:t>
      </w:r>
      <w:r>
        <w:rPr>
          <w:i/>
          <w:iCs/>
        </w:rPr>
        <w:t>L. guichenoti</w:t>
      </w:r>
      <w:r>
        <w:t xml:space="preserve"> (mean Prob choice = 0.487, p</w:t>
      </w:r>
      <w:r>
        <w:rPr>
          <w:vertAlign w:val="subscript"/>
        </w:rPr>
        <w:t>mcmc</w:t>
      </w:r>
      <w:r>
        <w:t xml:space="preserve"> 0.18). When the correct choice was red, it was not significant for neither species (</w:t>
      </w:r>
      <w:r>
        <w:rPr>
          <w:i/>
          <w:iCs/>
        </w:rPr>
        <w:t>L. delicata</w:t>
      </w:r>
      <w:r>
        <w:t>: mean Prob choice = 0.273, p</w:t>
      </w:r>
      <w:r>
        <w:rPr>
          <w:vertAlign w:val="subscript"/>
        </w:rPr>
        <w:t>mcmc</w:t>
      </w:r>
      <w:r>
        <w:t xml:space="preserve"> 0.68; </w:t>
      </w:r>
      <w:r>
        <w:rPr>
          <w:i/>
          <w:iCs/>
        </w:rPr>
        <w:t>L. guichenoti</w:t>
      </w:r>
      <w:r>
        <w:t>: mean Prob choice = 0.273, p</w:t>
      </w:r>
      <w:r>
        <w:rPr>
          <w:vertAlign w:val="subscript"/>
        </w:rPr>
        <w:t>mcmc</w:t>
      </w:r>
      <w:r>
        <w:t xml:space="preserve"> 0.68).</w:t>
      </w:r>
    </w:p>
    <w:p w14:paraId="14DF84A7" w14:textId="77777777" w:rsidR="00C66620" w:rsidRDefault="00000000">
      <w:r>
        <w:br w:type="page"/>
      </w:r>
    </w:p>
    <w:p w14:paraId="5DF0C332" w14:textId="77777777" w:rsidR="00C66620" w:rsidRDefault="00000000" w:rsidP="00D10D64">
      <w:pPr>
        <w:pStyle w:val="Heading4"/>
        <w:spacing w:line="480" w:lineRule="auto"/>
      </w:pPr>
      <w:bookmarkStart w:id="200" w:name="light-spectrum"/>
      <w:bookmarkEnd w:id="192"/>
      <w:r>
        <w:lastRenderedPageBreak/>
        <w:t>Light spectrum</w:t>
      </w:r>
    </w:p>
    <w:p w14:paraId="787D4EC5" w14:textId="77777777" w:rsidR="00C66620" w:rsidRDefault="00000000" w:rsidP="00D10D64">
      <w:pPr>
        <w:pStyle w:val="FirstParagraph"/>
        <w:spacing w:line="480" w:lineRule="auto"/>
      </w:pPr>
      <w:r>
        <w:t xml:space="preserve">To test if the bias towards blue was something acquired during training, we compared the light spectrum of the ramps used in the associative task and the white ones used during habituation. We took three measurements of ten feeders per colour with a spectophotometer, and then analysed the spectrum and the perceived differences in colour using the package pavo. The spetrum of each type of feeder are shown in </w:t>
      </w:r>
      <w:hyperlink w:anchor="fig-spectrum">
        <w:r>
          <w:rPr>
            <w:rStyle w:val="Hyperlink"/>
          </w:rPr>
          <w:t>Fig. 4</w:t>
        </w:r>
      </w:hyperlink>
      <w:r>
        <w:t xml:space="preserve">; the perceived chromatic constrasts between feeders are shown in </w:t>
      </w:r>
      <w:hyperlink w:anchor="fig-perceived1">
        <w:r>
          <w:rPr>
            <w:rStyle w:val="Hyperlink"/>
          </w:rPr>
          <w:t>Fig. 5</w:t>
        </w:r>
      </w:hyperlink>
      <w:r>
        <w:t xml:space="preserve"> and </w:t>
      </w:r>
      <w:hyperlink w:anchor="fig-perceived2">
        <w:r>
          <w:rPr>
            <w:rStyle w:val="Hyperlink"/>
          </w:rPr>
          <w:t>Fig. 6</w:t>
        </w:r>
      </w:hyperlink>
      <w:r>
        <w:t>.</w:t>
      </w:r>
    </w:p>
    <w:tbl>
      <w:tblPr>
        <w:tblStyle w:val="Table"/>
        <w:tblW w:w="5000" w:type="pct"/>
        <w:tblLook w:val="0000" w:firstRow="0" w:lastRow="0" w:firstColumn="0" w:lastColumn="0" w:noHBand="0" w:noVBand="0"/>
      </w:tblPr>
      <w:tblGrid>
        <w:gridCol w:w="9360"/>
      </w:tblGrid>
      <w:tr w:rsidR="00C66620" w14:paraId="3D8FC4AB" w14:textId="77777777">
        <w:tc>
          <w:tcPr>
            <w:tcW w:w="0" w:type="auto"/>
          </w:tcPr>
          <w:p w14:paraId="7A43D433" w14:textId="77777777" w:rsidR="00C66620" w:rsidRDefault="00000000" w:rsidP="00D10D64">
            <w:pPr>
              <w:spacing w:line="480" w:lineRule="auto"/>
              <w:jc w:val="center"/>
            </w:pPr>
            <w:bookmarkStart w:id="201" w:name="fig-spectrum"/>
            <w:r>
              <w:rPr>
                <w:noProof/>
              </w:rPr>
              <w:drawing>
                <wp:inline distT="0" distB="0" distL="0" distR="0" wp14:anchorId="18596E61" wp14:editId="39EC4AD7">
                  <wp:extent cx="5943600" cy="475488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fig-spectrum-1.png"/>
                          <pic:cNvPicPr>
                            <a:picLocks noChangeAspect="1" noChangeArrowheads="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14:paraId="1730934E" w14:textId="77777777" w:rsidR="00C66620" w:rsidRDefault="00000000" w:rsidP="00D10D64">
            <w:pPr>
              <w:pStyle w:val="ImageCaption"/>
              <w:spacing w:before="200" w:line="480" w:lineRule="auto"/>
            </w:pPr>
            <w:r>
              <w:lastRenderedPageBreak/>
              <w:t>Fig 4— Light spectrum of the ramps used in the associative task and the white ones used during habituation. The different colours represent the different ramps.</w:t>
            </w:r>
          </w:p>
        </w:tc>
        <w:bookmarkEnd w:id="201"/>
      </w:tr>
    </w:tbl>
    <w:p w14:paraId="4F78A9D7" w14:textId="77777777" w:rsidR="00C66620" w:rsidRDefault="00000000" w:rsidP="00D10D64">
      <w:pPr>
        <w:pStyle w:val="BodyText"/>
        <w:spacing w:line="480" w:lineRule="auto"/>
      </w:pPr>
      <w:r>
        <w:lastRenderedPageBreak/>
        <w:t xml:space="preserve"> </w:t>
      </w:r>
    </w:p>
    <w:tbl>
      <w:tblPr>
        <w:tblStyle w:val="Table"/>
        <w:tblW w:w="5000" w:type="pct"/>
        <w:tblLook w:val="0000" w:firstRow="0" w:lastRow="0" w:firstColumn="0" w:lastColumn="0" w:noHBand="0" w:noVBand="0"/>
      </w:tblPr>
      <w:tblGrid>
        <w:gridCol w:w="9360"/>
      </w:tblGrid>
      <w:tr w:rsidR="00C66620" w14:paraId="5FCD9640" w14:textId="77777777">
        <w:tc>
          <w:tcPr>
            <w:tcW w:w="0" w:type="auto"/>
          </w:tcPr>
          <w:p w14:paraId="63186F26" w14:textId="77777777" w:rsidR="00C66620" w:rsidRDefault="00000000" w:rsidP="00D10D64">
            <w:pPr>
              <w:spacing w:line="480" w:lineRule="auto"/>
              <w:jc w:val="center"/>
            </w:pPr>
            <w:bookmarkStart w:id="202" w:name="fig-perceived1"/>
            <w:r>
              <w:rPr>
                <w:noProof/>
              </w:rPr>
              <w:drawing>
                <wp:inline distT="0" distB="0" distL="0" distR="0" wp14:anchorId="38FFFE83" wp14:editId="4FD3AA5A">
                  <wp:extent cx="5943600" cy="4754880"/>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134" name="Picture" descr="ms_files/figure-docx/fig-perceived1-1.png"/>
                          <pic:cNvPicPr>
                            <a:picLocks noChangeAspect="1" noChangeArrowheads="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p w14:paraId="3B6D0109" w14:textId="77777777" w:rsidR="00C66620" w:rsidRDefault="00000000" w:rsidP="00D10D64">
            <w:pPr>
              <w:pStyle w:val="ImageCaption"/>
              <w:spacing w:before="200" w:line="480" w:lineRule="auto"/>
            </w:pPr>
            <w:r>
              <w:t>Fig 5— Perceived chromatic contrasts between feeders.</w:t>
            </w:r>
          </w:p>
        </w:tc>
        <w:bookmarkEnd w:id="202"/>
      </w:tr>
    </w:tbl>
    <w:p w14:paraId="6D0A093D" w14:textId="77777777" w:rsidR="00C66620" w:rsidRDefault="00000000" w:rsidP="00D10D64">
      <w:pPr>
        <w:pStyle w:val="BodyText"/>
        <w:spacing w:line="480" w:lineRule="auto"/>
      </w:pPr>
      <w:r>
        <w:t xml:space="preserve"> </w:t>
      </w:r>
    </w:p>
    <w:tbl>
      <w:tblPr>
        <w:tblStyle w:val="Table"/>
        <w:tblW w:w="5000" w:type="pct"/>
        <w:tblLook w:val="0000" w:firstRow="0" w:lastRow="0" w:firstColumn="0" w:lastColumn="0" w:noHBand="0" w:noVBand="0"/>
      </w:tblPr>
      <w:tblGrid>
        <w:gridCol w:w="9360"/>
      </w:tblGrid>
      <w:tr w:rsidR="00C66620" w14:paraId="5D2A15AF" w14:textId="77777777">
        <w:tc>
          <w:tcPr>
            <w:tcW w:w="0" w:type="auto"/>
          </w:tcPr>
          <w:p w14:paraId="351149E5" w14:textId="77777777" w:rsidR="00C66620" w:rsidRDefault="00000000" w:rsidP="00D10D64">
            <w:pPr>
              <w:spacing w:line="480" w:lineRule="auto"/>
              <w:jc w:val="center"/>
            </w:pPr>
            <w:bookmarkStart w:id="203" w:name="fig-perceived2"/>
            <w:r>
              <w:rPr>
                <w:noProof/>
              </w:rPr>
              <w:lastRenderedPageBreak/>
              <w:drawing>
                <wp:inline distT="0" distB="0" distL="0" distR="0" wp14:anchorId="063B1278" wp14:editId="23403BEB">
                  <wp:extent cx="5943600" cy="475488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ms_files/figure-docx/fig-perceived2-1.png"/>
                          <pic:cNvPicPr>
                            <a:picLocks noChangeAspect="1" noChangeArrowheads="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14:paraId="734C9CD9" w14:textId="77777777" w:rsidR="00C66620" w:rsidRDefault="00000000" w:rsidP="00D10D64">
            <w:pPr>
              <w:pStyle w:val="ImageCaption"/>
              <w:spacing w:before="200" w:line="480" w:lineRule="auto"/>
            </w:pPr>
            <w:commentRangeStart w:id="204"/>
            <w:r>
              <w:t>Fig 6</w:t>
            </w:r>
            <w:commentRangeEnd w:id="204"/>
            <w:r w:rsidR="00C84D9B">
              <w:rPr>
                <w:rStyle w:val="CommentReference"/>
                <w:rFonts w:asciiTheme="minorHAnsi" w:hAnsiTheme="minorHAnsi"/>
              </w:rPr>
              <w:commentReference w:id="204"/>
            </w:r>
            <w:r>
              <w:t>— Perceived achromatic contrasts between feeders.</w:t>
            </w:r>
          </w:p>
        </w:tc>
        <w:bookmarkEnd w:id="203"/>
      </w:tr>
    </w:tbl>
    <w:p w14:paraId="328EC725" w14:textId="77777777" w:rsidR="00C66620" w:rsidRDefault="00000000">
      <w:r>
        <w:br w:type="page"/>
      </w:r>
    </w:p>
    <w:p w14:paraId="2A7AB7DA" w14:textId="77777777" w:rsidR="00C66620" w:rsidRDefault="00000000" w:rsidP="00D10D64">
      <w:pPr>
        <w:pStyle w:val="Heading4"/>
        <w:spacing w:line="480" w:lineRule="auto"/>
      </w:pPr>
      <w:bookmarkStart w:id="205" w:name="checking-the-models-plots"/>
      <w:bookmarkEnd w:id="200"/>
      <w:r>
        <w:lastRenderedPageBreak/>
        <w:t>Checking the models plots</w:t>
      </w:r>
    </w:p>
    <w:p w14:paraId="40EBDEC4" w14:textId="77777777" w:rsidR="00C66620" w:rsidRDefault="00000000" w:rsidP="00D10D64">
      <w:pPr>
        <w:pStyle w:val="FirstParagraph"/>
        <w:spacing w:line="480" w:lineRule="auto"/>
      </w:pPr>
      <w:r>
        <w:t>Model formula for task is:</w:t>
      </w:r>
      <w:r>
        <w:br/>
        <w:t>Choice ~ Trial</w:t>
      </w:r>
      <w:r>
        <w:rPr>
          <w:i/>
          <w:iCs/>
        </w:rPr>
        <w:t>cort</w:t>
      </w:r>
      <w:r>
        <w:t>temp + (1 + Trial|lizard_id)</w:t>
      </w:r>
      <w:r>
        <w:br/>
        <w:t>Plots for the different models of the associative task:</w:t>
      </w:r>
      <w:r>
        <w:br/>
        <w:t xml:space="preserve">1.- </w:t>
      </w:r>
      <w:r>
        <w:rPr>
          <w:i/>
          <w:iCs/>
        </w:rPr>
        <w:t>L. delicata</w:t>
      </w:r>
      <w:r>
        <w:br/>
        <w:t>1.a.- Red</w:t>
      </w:r>
    </w:p>
    <w:p w14:paraId="33CDE45D" w14:textId="77777777" w:rsidR="00C66620" w:rsidRDefault="00000000">
      <w:pPr>
        <w:pStyle w:val="SourceCode"/>
      </w:pPr>
      <w:r>
        <w:rPr>
          <w:rStyle w:val="VerbatimChar"/>
        </w:rPr>
        <w:t xml:space="preserve">    Estimate  Est.Error      Q2.5     Q97.5</w:t>
      </w:r>
      <w:r>
        <w:br/>
      </w:r>
      <w:r>
        <w:rPr>
          <w:rStyle w:val="VerbatimChar"/>
        </w:rPr>
        <w:t>R2 0.1695644 0.02196313 0.1255778 0.2110525</w:t>
      </w:r>
    </w:p>
    <w:tbl>
      <w:tblPr>
        <w:tblStyle w:val="Table"/>
        <w:tblW w:w="5000" w:type="pct"/>
        <w:tblLook w:val="0000" w:firstRow="0" w:lastRow="0" w:firstColumn="0" w:lastColumn="0" w:noHBand="0" w:noVBand="0"/>
      </w:tblPr>
      <w:tblGrid>
        <w:gridCol w:w="9360"/>
      </w:tblGrid>
      <w:tr w:rsidR="00C66620" w14:paraId="73AE6D35" w14:textId="77777777">
        <w:tc>
          <w:tcPr>
            <w:tcW w:w="0" w:type="auto"/>
          </w:tcPr>
          <w:p w14:paraId="7CBE917B" w14:textId="77777777" w:rsidR="00C66620" w:rsidRDefault="00000000">
            <w:pPr>
              <w:jc w:val="center"/>
            </w:pPr>
            <w:r>
              <w:rPr>
                <w:noProof/>
              </w:rPr>
              <w:drawing>
                <wp:inline distT="0" distB="0" distL="0" distR="0" wp14:anchorId="7247744B" wp14:editId="3A455DDA">
                  <wp:extent cx="4160520" cy="3328416"/>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ms_files/figure-docx/plotmod_dar-1.png"/>
                          <pic:cNvPicPr>
                            <a:picLocks noChangeAspect="1" noChangeArrowheads="1"/>
                          </pic:cNvPicPr>
                        </pic:nvPicPr>
                        <pic:blipFill>
                          <a:blip r:embed="rId44"/>
                          <a:stretch>
                            <a:fillRect/>
                          </a:stretch>
                        </pic:blipFill>
                        <pic:spPr bwMode="auto">
                          <a:xfrm>
                            <a:off x="0" y="0"/>
                            <a:ext cx="4160520" cy="3328416"/>
                          </a:xfrm>
                          <a:prstGeom prst="rect">
                            <a:avLst/>
                          </a:prstGeom>
                          <a:noFill/>
                          <a:ln w="9525">
                            <a:noFill/>
                            <a:headEnd/>
                            <a:tailEnd/>
                          </a:ln>
                        </pic:spPr>
                      </pic:pic>
                    </a:graphicData>
                  </a:graphic>
                </wp:inline>
              </w:drawing>
            </w:r>
          </w:p>
          <w:p w14:paraId="35E029C0" w14:textId="77777777" w:rsidR="00C66620" w:rsidRDefault="00C66620">
            <w:pPr>
              <w:pStyle w:val="ImageCaption"/>
              <w:spacing w:before="200"/>
            </w:pPr>
          </w:p>
        </w:tc>
      </w:tr>
      <w:tr w:rsidR="00C66620" w14:paraId="479F0B49" w14:textId="77777777">
        <w:tc>
          <w:tcPr>
            <w:tcW w:w="0" w:type="auto"/>
          </w:tcPr>
          <w:p w14:paraId="05A08EE2" w14:textId="77777777" w:rsidR="00C66620" w:rsidRDefault="00000000">
            <w:pPr>
              <w:jc w:val="center"/>
            </w:pPr>
            <w:r>
              <w:rPr>
                <w:noProof/>
              </w:rPr>
              <w:lastRenderedPageBreak/>
              <w:drawing>
                <wp:inline distT="0" distB="0" distL="0" distR="0" wp14:anchorId="122E50BC" wp14:editId="15DBFC4A">
                  <wp:extent cx="4160520" cy="3328416"/>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ms_files/figure-docx/plotmod_dar-2.png"/>
                          <pic:cNvPicPr>
                            <a:picLocks noChangeAspect="1" noChangeArrowheads="1"/>
                          </pic:cNvPicPr>
                        </pic:nvPicPr>
                        <pic:blipFill>
                          <a:blip r:embed="rId45"/>
                          <a:stretch>
                            <a:fillRect/>
                          </a:stretch>
                        </pic:blipFill>
                        <pic:spPr bwMode="auto">
                          <a:xfrm>
                            <a:off x="0" y="0"/>
                            <a:ext cx="4160520" cy="3328416"/>
                          </a:xfrm>
                          <a:prstGeom prst="rect">
                            <a:avLst/>
                          </a:prstGeom>
                          <a:noFill/>
                          <a:ln w="9525">
                            <a:noFill/>
                            <a:headEnd/>
                            <a:tailEnd/>
                          </a:ln>
                        </pic:spPr>
                      </pic:pic>
                    </a:graphicData>
                  </a:graphic>
                </wp:inline>
              </w:drawing>
            </w:r>
          </w:p>
          <w:p w14:paraId="7B96148B" w14:textId="77777777" w:rsidR="00C66620" w:rsidRDefault="00C66620">
            <w:pPr>
              <w:pStyle w:val="ImageCaption"/>
              <w:spacing w:before="200"/>
            </w:pPr>
          </w:p>
        </w:tc>
      </w:tr>
      <w:tr w:rsidR="00C66620" w14:paraId="78C17ACC" w14:textId="77777777">
        <w:tc>
          <w:tcPr>
            <w:tcW w:w="0" w:type="auto"/>
          </w:tcPr>
          <w:p w14:paraId="3B80D3D9" w14:textId="77777777" w:rsidR="00C66620" w:rsidRDefault="00000000">
            <w:pPr>
              <w:jc w:val="center"/>
            </w:pPr>
            <w:r>
              <w:rPr>
                <w:noProof/>
              </w:rPr>
              <w:drawing>
                <wp:inline distT="0" distB="0" distL="0" distR="0" wp14:anchorId="336A5B01" wp14:editId="12321114">
                  <wp:extent cx="4160520" cy="3328416"/>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ms_files/figure-docx/plotmod_dar-3.png"/>
                          <pic:cNvPicPr>
                            <a:picLocks noChangeAspect="1" noChangeArrowheads="1"/>
                          </pic:cNvPicPr>
                        </pic:nvPicPr>
                        <pic:blipFill>
                          <a:blip r:embed="rId46"/>
                          <a:stretch>
                            <a:fillRect/>
                          </a:stretch>
                        </pic:blipFill>
                        <pic:spPr bwMode="auto">
                          <a:xfrm>
                            <a:off x="0" y="0"/>
                            <a:ext cx="4160520" cy="3328416"/>
                          </a:xfrm>
                          <a:prstGeom prst="rect">
                            <a:avLst/>
                          </a:prstGeom>
                          <a:noFill/>
                          <a:ln w="9525">
                            <a:noFill/>
                            <a:headEnd/>
                            <a:tailEnd/>
                          </a:ln>
                        </pic:spPr>
                      </pic:pic>
                    </a:graphicData>
                  </a:graphic>
                </wp:inline>
              </w:drawing>
            </w:r>
          </w:p>
          <w:p w14:paraId="584C0DFD" w14:textId="77777777" w:rsidR="00C66620" w:rsidRDefault="00C66620">
            <w:pPr>
              <w:pStyle w:val="ImageCaption"/>
              <w:spacing w:before="200"/>
            </w:pPr>
          </w:p>
        </w:tc>
      </w:tr>
    </w:tbl>
    <w:p w14:paraId="3190E6C9" w14:textId="77777777" w:rsidR="00C66620" w:rsidRDefault="00000000">
      <w:r>
        <w:br w:type="page"/>
      </w:r>
    </w:p>
    <w:p w14:paraId="1EF27E78" w14:textId="77777777" w:rsidR="00C66620" w:rsidRDefault="00000000">
      <w:pPr>
        <w:pStyle w:val="BodyText"/>
      </w:pPr>
      <w:r>
        <w:lastRenderedPageBreak/>
        <w:t>1.b.- Blue</w:t>
      </w:r>
    </w:p>
    <w:p w14:paraId="57EA8614" w14:textId="77777777" w:rsidR="00C66620" w:rsidRDefault="00000000">
      <w:pPr>
        <w:pStyle w:val="SourceCode"/>
      </w:pPr>
      <w:r>
        <w:rPr>
          <w:rStyle w:val="VerbatimChar"/>
        </w:rPr>
        <w:t xml:space="preserve">     Estimate  Est.Error       Q2.5     Q97.5</w:t>
      </w:r>
      <w:r>
        <w:br/>
      </w:r>
      <w:r>
        <w:rPr>
          <w:rStyle w:val="VerbatimChar"/>
        </w:rPr>
        <w:t>R2 0.07757601 0.02088415 0.03926128 0.1200952</w:t>
      </w:r>
    </w:p>
    <w:tbl>
      <w:tblPr>
        <w:tblStyle w:val="Table"/>
        <w:tblW w:w="5000" w:type="pct"/>
        <w:tblLook w:val="0000" w:firstRow="0" w:lastRow="0" w:firstColumn="0" w:lastColumn="0" w:noHBand="0" w:noVBand="0"/>
      </w:tblPr>
      <w:tblGrid>
        <w:gridCol w:w="9360"/>
      </w:tblGrid>
      <w:tr w:rsidR="00C66620" w14:paraId="7BB8B2FA" w14:textId="77777777">
        <w:tc>
          <w:tcPr>
            <w:tcW w:w="0" w:type="auto"/>
          </w:tcPr>
          <w:p w14:paraId="5B2687DA" w14:textId="77777777" w:rsidR="00C66620" w:rsidRDefault="00000000">
            <w:pPr>
              <w:jc w:val="center"/>
            </w:pPr>
            <w:r>
              <w:rPr>
                <w:noProof/>
              </w:rPr>
              <w:drawing>
                <wp:inline distT="0" distB="0" distL="0" distR="0" wp14:anchorId="25C5EC55" wp14:editId="350837F8">
                  <wp:extent cx="4160520" cy="3328416"/>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ms_files/figure-docx/plotmod_dab-1.png"/>
                          <pic:cNvPicPr>
                            <a:picLocks noChangeAspect="1" noChangeArrowheads="1"/>
                          </pic:cNvPicPr>
                        </pic:nvPicPr>
                        <pic:blipFill>
                          <a:blip r:embed="rId47"/>
                          <a:stretch>
                            <a:fillRect/>
                          </a:stretch>
                        </pic:blipFill>
                        <pic:spPr bwMode="auto">
                          <a:xfrm>
                            <a:off x="0" y="0"/>
                            <a:ext cx="4160520" cy="3328416"/>
                          </a:xfrm>
                          <a:prstGeom prst="rect">
                            <a:avLst/>
                          </a:prstGeom>
                          <a:noFill/>
                          <a:ln w="9525">
                            <a:noFill/>
                            <a:headEnd/>
                            <a:tailEnd/>
                          </a:ln>
                        </pic:spPr>
                      </pic:pic>
                    </a:graphicData>
                  </a:graphic>
                </wp:inline>
              </w:drawing>
            </w:r>
          </w:p>
          <w:p w14:paraId="7036A72F" w14:textId="77777777" w:rsidR="00C66620" w:rsidRDefault="00C66620">
            <w:pPr>
              <w:pStyle w:val="ImageCaption"/>
              <w:spacing w:before="200"/>
            </w:pPr>
          </w:p>
        </w:tc>
      </w:tr>
      <w:tr w:rsidR="00C66620" w14:paraId="7CE0C3E6" w14:textId="77777777">
        <w:tc>
          <w:tcPr>
            <w:tcW w:w="0" w:type="auto"/>
          </w:tcPr>
          <w:p w14:paraId="77B7193A" w14:textId="77777777" w:rsidR="00C66620" w:rsidRDefault="00000000">
            <w:pPr>
              <w:jc w:val="center"/>
            </w:pPr>
            <w:r>
              <w:rPr>
                <w:noProof/>
              </w:rPr>
              <w:drawing>
                <wp:inline distT="0" distB="0" distL="0" distR="0" wp14:anchorId="1757FCB0" wp14:editId="2585AC61">
                  <wp:extent cx="4160520" cy="3328416"/>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ms_files/figure-docx/plotmod_dab-2.png"/>
                          <pic:cNvPicPr>
                            <a:picLocks noChangeAspect="1" noChangeArrowheads="1"/>
                          </pic:cNvPicPr>
                        </pic:nvPicPr>
                        <pic:blipFill>
                          <a:blip r:embed="rId48"/>
                          <a:stretch>
                            <a:fillRect/>
                          </a:stretch>
                        </pic:blipFill>
                        <pic:spPr bwMode="auto">
                          <a:xfrm>
                            <a:off x="0" y="0"/>
                            <a:ext cx="4160520" cy="3328416"/>
                          </a:xfrm>
                          <a:prstGeom prst="rect">
                            <a:avLst/>
                          </a:prstGeom>
                          <a:noFill/>
                          <a:ln w="9525">
                            <a:noFill/>
                            <a:headEnd/>
                            <a:tailEnd/>
                          </a:ln>
                        </pic:spPr>
                      </pic:pic>
                    </a:graphicData>
                  </a:graphic>
                </wp:inline>
              </w:drawing>
            </w:r>
          </w:p>
          <w:p w14:paraId="464FC260" w14:textId="77777777" w:rsidR="00C66620" w:rsidRDefault="00C66620">
            <w:pPr>
              <w:pStyle w:val="ImageCaption"/>
              <w:spacing w:before="200"/>
            </w:pPr>
          </w:p>
        </w:tc>
      </w:tr>
      <w:tr w:rsidR="00C66620" w14:paraId="469BE8DC" w14:textId="77777777">
        <w:tc>
          <w:tcPr>
            <w:tcW w:w="0" w:type="auto"/>
          </w:tcPr>
          <w:p w14:paraId="55C84564" w14:textId="77777777" w:rsidR="00C66620" w:rsidRDefault="00000000">
            <w:pPr>
              <w:jc w:val="center"/>
            </w:pPr>
            <w:r>
              <w:rPr>
                <w:noProof/>
              </w:rPr>
              <w:lastRenderedPageBreak/>
              <w:drawing>
                <wp:inline distT="0" distB="0" distL="0" distR="0" wp14:anchorId="1432C0CF" wp14:editId="7A1B882F">
                  <wp:extent cx="4160520" cy="3328416"/>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ms_files/figure-docx/plotmod_dab-3.png"/>
                          <pic:cNvPicPr>
                            <a:picLocks noChangeAspect="1" noChangeArrowheads="1"/>
                          </pic:cNvPicPr>
                        </pic:nvPicPr>
                        <pic:blipFill>
                          <a:blip r:embed="rId49"/>
                          <a:stretch>
                            <a:fillRect/>
                          </a:stretch>
                        </pic:blipFill>
                        <pic:spPr bwMode="auto">
                          <a:xfrm>
                            <a:off x="0" y="0"/>
                            <a:ext cx="4160520" cy="3328416"/>
                          </a:xfrm>
                          <a:prstGeom prst="rect">
                            <a:avLst/>
                          </a:prstGeom>
                          <a:noFill/>
                          <a:ln w="9525">
                            <a:noFill/>
                            <a:headEnd/>
                            <a:tailEnd/>
                          </a:ln>
                        </pic:spPr>
                      </pic:pic>
                    </a:graphicData>
                  </a:graphic>
                </wp:inline>
              </w:drawing>
            </w:r>
          </w:p>
          <w:p w14:paraId="7F1AEA50" w14:textId="77777777" w:rsidR="00C66620" w:rsidRDefault="00C66620">
            <w:pPr>
              <w:pStyle w:val="ImageCaption"/>
              <w:spacing w:before="200"/>
            </w:pPr>
          </w:p>
        </w:tc>
      </w:tr>
    </w:tbl>
    <w:p w14:paraId="66412C0B" w14:textId="77777777" w:rsidR="00C66620" w:rsidRDefault="00000000">
      <w:r>
        <w:br w:type="page"/>
      </w:r>
    </w:p>
    <w:p w14:paraId="6D437FF4" w14:textId="77777777" w:rsidR="00C66620" w:rsidRDefault="00000000">
      <w:pPr>
        <w:pStyle w:val="BodyText"/>
      </w:pPr>
      <w:r>
        <w:lastRenderedPageBreak/>
        <w:t xml:space="preserve">2.- </w:t>
      </w:r>
      <w:r>
        <w:rPr>
          <w:i/>
          <w:iCs/>
        </w:rPr>
        <w:t>L. guichenoti</w:t>
      </w:r>
      <w:r>
        <w:br/>
        <w:t>2.a.- Red</w:t>
      </w:r>
    </w:p>
    <w:p w14:paraId="5190AB4D" w14:textId="77777777" w:rsidR="00C66620" w:rsidRDefault="00000000">
      <w:pPr>
        <w:pStyle w:val="SourceCode"/>
      </w:pPr>
      <w:r>
        <w:rPr>
          <w:rStyle w:val="VerbatimChar"/>
        </w:rPr>
        <w:t xml:space="preserve">    Estimate  Est.Error      Q2.5     Q97.5</w:t>
      </w:r>
      <w:r>
        <w:br/>
      </w:r>
      <w:r>
        <w:rPr>
          <w:rStyle w:val="VerbatimChar"/>
        </w:rPr>
        <w:t>R2 0.1858621 0.02466494 0.1359576 0.2330882</w:t>
      </w:r>
    </w:p>
    <w:tbl>
      <w:tblPr>
        <w:tblStyle w:val="Table"/>
        <w:tblW w:w="5000" w:type="pct"/>
        <w:tblLook w:val="0000" w:firstRow="0" w:lastRow="0" w:firstColumn="0" w:lastColumn="0" w:noHBand="0" w:noVBand="0"/>
      </w:tblPr>
      <w:tblGrid>
        <w:gridCol w:w="9360"/>
      </w:tblGrid>
      <w:tr w:rsidR="00C66620" w14:paraId="4BD43198" w14:textId="77777777">
        <w:tc>
          <w:tcPr>
            <w:tcW w:w="0" w:type="auto"/>
          </w:tcPr>
          <w:p w14:paraId="360885F6" w14:textId="77777777" w:rsidR="00C66620" w:rsidRDefault="00000000">
            <w:pPr>
              <w:jc w:val="center"/>
            </w:pPr>
            <w:r>
              <w:rPr>
                <w:noProof/>
              </w:rPr>
              <w:drawing>
                <wp:inline distT="0" distB="0" distL="0" distR="0" wp14:anchorId="0D445BC1" wp14:editId="1280A527">
                  <wp:extent cx="4160520" cy="3328416"/>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ms_files/figure-docx/plotmod_gar-1.png"/>
                          <pic:cNvPicPr>
                            <a:picLocks noChangeAspect="1" noChangeArrowheads="1"/>
                          </pic:cNvPicPr>
                        </pic:nvPicPr>
                        <pic:blipFill>
                          <a:blip r:embed="rId50"/>
                          <a:stretch>
                            <a:fillRect/>
                          </a:stretch>
                        </pic:blipFill>
                        <pic:spPr bwMode="auto">
                          <a:xfrm>
                            <a:off x="0" y="0"/>
                            <a:ext cx="4160520" cy="3328416"/>
                          </a:xfrm>
                          <a:prstGeom prst="rect">
                            <a:avLst/>
                          </a:prstGeom>
                          <a:noFill/>
                          <a:ln w="9525">
                            <a:noFill/>
                            <a:headEnd/>
                            <a:tailEnd/>
                          </a:ln>
                        </pic:spPr>
                      </pic:pic>
                    </a:graphicData>
                  </a:graphic>
                </wp:inline>
              </w:drawing>
            </w:r>
          </w:p>
          <w:p w14:paraId="0007F1CF" w14:textId="77777777" w:rsidR="00C66620" w:rsidRDefault="00C66620">
            <w:pPr>
              <w:pStyle w:val="ImageCaption"/>
              <w:spacing w:before="200"/>
            </w:pPr>
          </w:p>
        </w:tc>
      </w:tr>
      <w:tr w:rsidR="00C66620" w14:paraId="3F7FF21A" w14:textId="77777777">
        <w:tc>
          <w:tcPr>
            <w:tcW w:w="0" w:type="auto"/>
          </w:tcPr>
          <w:p w14:paraId="267F722F" w14:textId="77777777" w:rsidR="00C66620" w:rsidRDefault="00000000">
            <w:pPr>
              <w:jc w:val="center"/>
            </w:pPr>
            <w:r>
              <w:rPr>
                <w:noProof/>
              </w:rPr>
              <w:drawing>
                <wp:inline distT="0" distB="0" distL="0" distR="0" wp14:anchorId="6C4C78D2" wp14:editId="4CC3FE35">
                  <wp:extent cx="4160520" cy="3328416"/>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164" name="Picture" descr="ms_files/figure-docx/plotmod_gar-2.png"/>
                          <pic:cNvPicPr>
                            <a:picLocks noChangeAspect="1" noChangeArrowheads="1"/>
                          </pic:cNvPicPr>
                        </pic:nvPicPr>
                        <pic:blipFill>
                          <a:blip r:embed="rId51"/>
                          <a:stretch>
                            <a:fillRect/>
                          </a:stretch>
                        </pic:blipFill>
                        <pic:spPr bwMode="auto">
                          <a:xfrm>
                            <a:off x="0" y="0"/>
                            <a:ext cx="4160520" cy="3328416"/>
                          </a:xfrm>
                          <a:prstGeom prst="rect">
                            <a:avLst/>
                          </a:prstGeom>
                          <a:noFill/>
                          <a:ln w="9525">
                            <a:noFill/>
                            <a:headEnd/>
                            <a:tailEnd/>
                          </a:ln>
                        </pic:spPr>
                      </pic:pic>
                    </a:graphicData>
                  </a:graphic>
                </wp:inline>
              </w:drawing>
            </w:r>
          </w:p>
          <w:p w14:paraId="024C2DA6" w14:textId="77777777" w:rsidR="00C66620" w:rsidRDefault="00C66620">
            <w:pPr>
              <w:pStyle w:val="ImageCaption"/>
              <w:spacing w:before="200"/>
            </w:pPr>
          </w:p>
        </w:tc>
      </w:tr>
      <w:tr w:rsidR="00C66620" w14:paraId="7B1DD232" w14:textId="77777777">
        <w:tc>
          <w:tcPr>
            <w:tcW w:w="0" w:type="auto"/>
          </w:tcPr>
          <w:p w14:paraId="2A779D26" w14:textId="77777777" w:rsidR="00C66620" w:rsidRDefault="00000000">
            <w:pPr>
              <w:jc w:val="center"/>
            </w:pPr>
            <w:r>
              <w:rPr>
                <w:noProof/>
              </w:rPr>
              <w:lastRenderedPageBreak/>
              <w:drawing>
                <wp:inline distT="0" distB="0" distL="0" distR="0" wp14:anchorId="15FC2314" wp14:editId="04DA785B">
                  <wp:extent cx="4160520" cy="3328416"/>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167" name="Picture" descr="ms_files/figure-docx/plotmod_gar-3.png"/>
                          <pic:cNvPicPr>
                            <a:picLocks noChangeAspect="1" noChangeArrowheads="1"/>
                          </pic:cNvPicPr>
                        </pic:nvPicPr>
                        <pic:blipFill>
                          <a:blip r:embed="rId52"/>
                          <a:stretch>
                            <a:fillRect/>
                          </a:stretch>
                        </pic:blipFill>
                        <pic:spPr bwMode="auto">
                          <a:xfrm>
                            <a:off x="0" y="0"/>
                            <a:ext cx="4160520" cy="3328416"/>
                          </a:xfrm>
                          <a:prstGeom prst="rect">
                            <a:avLst/>
                          </a:prstGeom>
                          <a:noFill/>
                          <a:ln w="9525">
                            <a:noFill/>
                            <a:headEnd/>
                            <a:tailEnd/>
                          </a:ln>
                        </pic:spPr>
                      </pic:pic>
                    </a:graphicData>
                  </a:graphic>
                </wp:inline>
              </w:drawing>
            </w:r>
          </w:p>
          <w:p w14:paraId="49D49325" w14:textId="77777777" w:rsidR="00C66620" w:rsidRDefault="00C66620">
            <w:pPr>
              <w:pStyle w:val="ImageCaption"/>
              <w:spacing w:before="200"/>
            </w:pPr>
          </w:p>
        </w:tc>
      </w:tr>
    </w:tbl>
    <w:p w14:paraId="4215CD9D" w14:textId="77777777" w:rsidR="00C66620" w:rsidRDefault="00000000">
      <w:r>
        <w:br w:type="page"/>
      </w:r>
    </w:p>
    <w:p w14:paraId="597DC6D7" w14:textId="77777777" w:rsidR="00C66620" w:rsidRDefault="00000000">
      <w:pPr>
        <w:pStyle w:val="BodyText"/>
      </w:pPr>
      <w:r>
        <w:lastRenderedPageBreak/>
        <w:t>2.b.- Blue</w:t>
      </w:r>
    </w:p>
    <w:p w14:paraId="494218E5" w14:textId="77777777" w:rsidR="00C66620" w:rsidRDefault="00000000">
      <w:pPr>
        <w:pStyle w:val="SourceCode"/>
      </w:pPr>
      <w:r>
        <w:rPr>
          <w:rStyle w:val="VerbatimChar"/>
        </w:rPr>
        <w:t xml:space="preserve">    Estimate  Est.Error       Q2.5     Q97.5</w:t>
      </w:r>
      <w:r>
        <w:br/>
      </w:r>
      <w:r>
        <w:rPr>
          <w:rStyle w:val="VerbatimChar"/>
        </w:rPr>
        <w:t>R2 0.1367205 0.02551682 0.08796974 0.1865906</w:t>
      </w:r>
    </w:p>
    <w:tbl>
      <w:tblPr>
        <w:tblStyle w:val="Table"/>
        <w:tblW w:w="5000" w:type="pct"/>
        <w:tblLook w:val="0000" w:firstRow="0" w:lastRow="0" w:firstColumn="0" w:lastColumn="0" w:noHBand="0" w:noVBand="0"/>
      </w:tblPr>
      <w:tblGrid>
        <w:gridCol w:w="9360"/>
      </w:tblGrid>
      <w:tr w:rsidR="00C66620" w14:paraId="6B269ED8" w14:textId="77777777">
        <w:tc>
          <w:tcPr>
            <w:tcW w:w="0" w:type="auto"/>
          </w:tcPr>
          <w:p w14:paraId="07C1ED86" w14:textId="77777777" w:rsidR="00C66620" w:rsidRDefault="00000000">
            <w:pPr>
              <w:jc w:val="center"/>
            </w:pPr>
            <w:r>
              <w:rPr>
                <w:noProof/>
              </w:rPr>
              <w:drawing>
                <wp:inline distT="0" distB="0" distL="0" distR="0" wp14:anchorId="4C47F67A" wp14:editId="7FC781BB">
                  <wp:extent cx="4160520" cy="3328416"/>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ms_files/figure-docx/plotmod_gab-1.png"/>
                          <pic:cNvPicPr>
                            <a:picLocks noChangeAspect="1" noChangeArrowheads="1"/>
                          </pic:cNvPicPr>
                        </pic:nvPicPr>
                        <pic:blipFill>
                          <a:blip r:embed="rId53"/>
                          <a:stretch>
                            <a:fillRect/>
                          </a:stretch>
                        </pic:blipFill>
                        <pic:spPr bwMode="auto">
                          <a:xfrm>
                            <a:off x="0" y="0"/>
                            <a:ext cx="4160520" cy="3328416"/>
                          </a:xfrm>
                          <a:prstGeom prst="rect">
                            <a:avLst/>
                          </a:prstGeom>
                          <a:noFill/>
                          <a:ln w="9525">
                            <a:noFill/>
                            <a:headEnd/>
                            <a:tailEnd/>
                          </a:ln>
                        </pic:spPr>
                      </pic:pic>
                    </a:graphicData>
                  </a:graphic>
                </wp:inline>
              </w:drawing>
            </w:r>
          </w:p>
          <w:p w14:paraId="35C1E979" w14:textId="77777777" w:rsidR="00C66620" w:rsidRDefault="00C66620">
            <w:pPr>
              <w:pStyle w:val="ImageCaption"/>
              <w:spacing w:before="200"/>
            </w:pPr>
          </w:p>
        </w:tc>
      </w:tr>
      <w:tr w:rsidR="00C66620" w14:paraId="5DF19A50" w14:textId="77777777">
        <w:tc>
          <w:tcPr>
            <w:tcW w:w="0" w:type="auto"/>
          </w:tcPr>
          <w:p w14:paraId="43A8C725" w14:textId="77777777" w:rsidR="00C66620" w:rsidRDefault="00000000">
            <w:pPr>
              <w:jc w:val="center"/>
            </w:pPr>
            <w:r>
              <w:rPr>
                <w:noProof/>
              </w:rPr>
              <w:drawing>
                <wp:inline distT="0" distB="0" distL="0" distR="0" wp14:anchorId="23C8D3DA" wp14:editId="6A7421D8">
                  <wp:extent cx="4160520" cy="3328416"/>
                  <wp:effectExtent l="0" t="0" r="0" b="0"/>
                  <wp:docPr id="172" name="Picture"/>
                  <wp:cNvGraphicFramePr/>
                  <a:graphic xmlns:a="http://schemas.openxmlformats.org/drawingml/2006/main">
                    <a:graphicData uri="http://schemas.openxmlformats.org/drawingml/2006/picture">
                      <pic:pic xmlns:pic="http://schemas.openxmlformats.org/drawingml/2006/picture">
                        <pic:nvPicPr>
                          <pic:cNvPr id="173" name="Picture" descr="ms_files/figure-docx/plotmod_gab-2.png"/>
                          <pic:cNvPicPr>
                            <a:picLocks noChangeAspect="1" noChangeArrowheads="1"/>
                          </pic:cNvPicPr>
                        </pic:nvPicPr>
                        <pic:blipFill>
                          <a:blip r:embed="rId54"/>
                          <a:stretch>
                            <a:fillRect/>
                          </a:stretch>
                        </pic:blipFill>
                        <pic:spPr bwMode="auto">
                          <a:xfrm>
                            <a:off x="0" y="0"/>
                            <a:ext cx="4160520" cy="3328416"/>
                          </a:xfrm>
                          <a:prstGeom prst="rect">
                            <a:avLst/>
                          </a:prstGeom>
                          <a:noFill/>
                          <a:ln w="9525">
                            <a:noFill/>
                            <a:headEnd/>
                            <a:tailEnd/>
                          </a:ln>
                        </pic:spPr>
                      </pic:pic>
                    </a:graphicData>
                  </a:graphic>
                </wp:inline>
              </w:drawing>
            </w:r>
          </w:p>
          <w:p w14:paraId="3CECA7E4" w14:textId="77777777" w:rsidR="00C66620" w:rsidRDefault="00C66620">
            <w:pPr>
              <w:pStyle w:val="ImageCaption"/>
              <w:spacing w:before="200"/>
            </w:pPr>
          </w:p>
        </w:tc>
      </w:tr>
      <w:tr w:rsidR="00C66620" w14:paraId="1F1EF827" w14:textId="77777777">
        <w:tc>
          <w:tcPr>
            <w:tcW w:w="0" w:type="auto"/>
          </w:tcPr>
          <w:p w14:paraId="18B9C9A7" w14:textId="77777777" w:rsidR="00C66620" w:rsidRDefault="00000000">
            <w:pPr>
              <w:jc w:val="center"/>
            </w:pPr>
            <w:r>
              <w:rPr>
                <w:noProof/>
              </w:rPr>
              <w:lastRenderedPageBreak/>
              <w:drawing>
                <wp:inline distT="0" distB="0" distL="0" distR="0" wp14:anchorId="04433889" wp14:editId="21DC83D0">
                  <wp:extent cx="4160520" cy="3328416"/>
                  <wp:effectExtent l="0" t="0" r="0" b="0"/>
                  <wp:docPr id="175" name="Picture"/>
                  <wp:cNvGraphicFramePr/>
                  <a:graphic xmlns:a="http://schemas.openxmlformats.org/drawingml/2006/main">
                    <a:graphicData uri="http://schemas.openxmlformats.org/drawingml/2006/picture">
                      <pic:pic xmlns:pic="http://schemas.openxmlformats.org/drawingml/2006/picture">
                        <pic:nvPicPr>
                          <pic:cNvPr id="176" name="Picture" descr="ms_files/figure-docx/plotmod_gab-3.png"/>
                          <pic:cNvPicPr>
                            <a:picLocks noChangeAspect="1" noChangeArrowheads="1"/>
                          </pic:cNvPicPr>
                        </pic:nvPicPr>
                        <pic:blipFill>
                          <a:blip r:embed="rId55"/>
                          <a:stretch>
                            <a:fillRect/>
                          </a:stretch>
                        </pic:blipFill>
                        <pic:spPr bwMode="auto">
                          <a:xfrm>
                            <a:off x="0" y="0"/>
                            <a:ext cx="4160520" cy="3328416"/>
                          </a:xfrm>
                          <a:prstGeom prst="rect">
                            <a:avLst/>
                          </a:prstGeom>
                          <a:noFill/>
                          <a:ln w="9525">
                            <a:noFill/>
                            <a:headEnd/>
                            <a:tailEnd/>
                          </a:ln>
                        </pic:spPr>
                      </pic:pic>
                    </a:graphicData>
                  </a:graphic>
                </wp:inline>
              </w:drawing>
            </w:r>
          </w:p>
          <w:p w14:paraId="2A79D64C" w14:textId="77777777" w:rsidR="00C66620" w:rsidRDefault="00C66620">
            <w:pPr>
              <w:pStyle w:val="ImageCaption"/>
              <w:spacing w:before="200"/>
            </w:pPr>
          </w:p>
        </w:tc>
      </w:tr>
    </w:tbl>
    <w:p w14:paraId="0222C225" w14:textId="77777777" w:rsidR="00C66620" w:rsidRDefault="00000000">
      <w:r>
        <w:br w:type="page"/>
      </w:r>
    </w:p>
    <w:p w14:paraId="0A7EADFB" w14:textId="77777777" w:rsidR="00C66620" w:rsidRDefault="00000000" w:rsidP="00D10D64">
      <w:pPr>
        <w:pStyle w:val="Heading4"/>
        <w:spacing w:line="480" w:lineRule="auto"/>
      </w:pPr>
      <w:bookmarkStart w:id="206" w:name="models-with-age-included"/>
      <w:bookmarkEnd w:id="205"/>
      <w:r>
        <w:lastRenderedPageBreak/>
        <w:t>Models with age included</w:t>
      </w:r>
    </w:p>
    <w:p w14:paraId="38E533ED" w14:textId="77777777" w:rsidR="00C66620" w:rsidRDefault="00000000" w:rsidP="00D10D64">
      <w:pPr>
        <w:pStyle w:val="FirstParagraph"/>
        <w:spacing w:line="480" w:lineRule="auto"/>
      </w:pPr>
      <w:r>
        <w:t xml:space="preserve">Table 3. Results for </w:t>
      </w:r>
      <w:r>
        <w:rPr>
          <w:i/>
          <w:iCs/>
        </w:rPr>
        <w:t>L. delicata</w:t>
      </w:r>
      <w:r>
        <w:t xml:space="preserve"> assigned to red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77DFF194"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05EF5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07" w:name="tbl-agedeli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BBCE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FC1A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A1CE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84FD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E62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D4C8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E0B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26626940"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3A4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754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8F08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F55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C811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181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BDBF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2B9E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3887.20</w:t>
            </w:r>
          </w:p>
        </w:tc>
      </w:tr>
      <w:tr w:rsidR="00C66620" w14:paraId="01EB967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C74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4D2B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5CF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064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B102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782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ED7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CC2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5776.45</w:t>
            </w:r>
          </w:p>
        </w:tc>
      </w:tr>
      <w:tr w:rsidR="00C66620" w14:paraId="52766EB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79DC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DD47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D72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A1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BCB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35FC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F2D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325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4207.48</w:t>
            </w:r>
          </w:p>
        </w:tc>
      </w:tr>
      <w:tr w:rsidR="00C66620" w14:paraId="4CA8994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238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AD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56C4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80F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5D8A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5FF3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D052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B5B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3890.41</w:t>
            </w:r>
          </w:p>
        </w:tc>
      </w:tr>
      <w:tr w:rsidR="00C66620" w14:paraId="130E249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DBA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5E0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664A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15F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CC3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63A2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16C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069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3471.54</w:t>
            </w:r>
          </w:p>
        </w:tc>
      </w:tr>
      <w:tr w:rsidR="00C66620" w14:paraId="7B22358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E72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825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1948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B17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E35C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18E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4865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381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4634.15</w:t>
            </w:r>
          </w:p>
        </w:tc>
      </w:tr>
      <w:tr w:rsidR="00C66620" w14:paraId="771B170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CE6B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BF6C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763F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310F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E8E7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CA16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F5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0C24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4356.48</w:t>
            </w:r>
          </w:p>
        </w:tc>
      </w:tr>
      <w:tr w:rsidR="00C66620" w14:paraId="6BE3C88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0638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6299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6B5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8D8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CE2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321B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10D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64F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4021.52</w:t>
            </w:r>
          </w:p>
        </w:tc>
      </w:tr>
      <w:tr w:rsidR="00C66620" w14:paraId="1565150B"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914B0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F7E6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505E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55CCA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995C3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729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9AFF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1CD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4183.50</w:t>
            </w:r>
          </w:p>
        </w:tc>
      </w:tr>
    </w:tbl>
    <w:p w14:paraId="61E4F0E1" w14:textId="6CD4CD36" w:rsidR="00C66620" w:rsidRDefault="00C66620">
      <w:pPr>
        <w:pStyle w:val="BodyText"/>
      </w:pPr>
    </w:p>
    <w:bookmarkEnd w:id="207"/>
    <w:p w14:paraId="26F9D62F" w14:textId="77777777" w:rsidR="00C66620" w:rsidRDefault="00000000">
      <w:r>
        <w:br w:type="page"/>
      </w:r>
    </w:p>
    <w:p w14:paraId="599A98DF" w14:textId="77777777" w:rsidR="00C66620" w:rsidRDefault="00000000" w:rsidP="00D10D64">
      <w:pPr>
        <w:pStyle w:val="BodyText"/>
        <w:spacing w:line="480" w:lineRule="auto"/>
      </w:pPr>
      <w:r>
        <w:lastRenderedPageBreak/>
        <w:t xml:space="preserve">Table 4. Results for </w:t>
      </w:r>
      <w:r>
        <w:rPr>
          <w:i/>
          <w:iCs/>
        </w:rPr>
        <w:t>L. delicata</w:t>
      </w:r>
      <w:r>
        <w:t xml:space="preserve"> assigned to blue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43DBC93B"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E78E0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08" w:name="tbl-agedeli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FCB4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653EF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EBA4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AD9A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007C6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B13C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7A60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2BB66FC7"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3A3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70C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D6A8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C09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501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356A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F8F6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CE9E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4311.87</w:t>
            </w:r>
          </w:p>
        </w:tc>
      </w:tr>
      <w:tr w:rsidR="00C66620" w14:paraId="5A448E3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B00D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CAA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47C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FB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8A0F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322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8D6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B226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5710.61</w:t>
            </w:r>
          </w:p>
        </w:tc>
      </w:tr>
      <w:tr w:rsidR="00C66620" w14:paraId="5FE0365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1571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69E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777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A6AC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E2BC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25E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D88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7E1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4168.88</w:t>
            </w:r>
          </w:p>
        </w:tc>
      </w:tr>
      <w:tr w:rsidR="00C66620" w14:paraId="724A03A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54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E57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F25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0D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4E9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C7C1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0FF5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0214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3815.82</w:t>
            </w:r>
          </w:p>
        </w:tc>
      </w:tr>
      <w:tr w:rsidR="00C66620" w14:paraId="69B0F43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BDD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FFA2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13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1BA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5C9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F53F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3F1F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620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3477.53</w:t>
            </w:r>
          </w:p>
        </w:tc>
      </w:tr>
      <w:tr w:rsidR="00C66620" w14:paraId="2E3B80C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62B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8788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48C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E24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7F8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9F34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6C58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4CA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3893.50</w:t>
            </w:r>
          </w:p>
        </w:tc>
      </w:tr>
      <w:tr w:rsidR="00C66620" w14:paraId="174D1D4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7654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FD4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48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F2E3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C1F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E90A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12DD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67A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3764.25</w:t>
            </w:r>
          </w:p>
        </w:tc>
      </w:tr>
      <w:tr w:rsidR="00C66620" w14:paraId="590A71B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8FBB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99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5F80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92F2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3131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FE8A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CB78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918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3924.03</w:t>
            </w:r>
          </w:p>
        </w:tc>
      </w:tr>
      <w:tr w:rsidR="00C66620" w14:paraId="0F6AF149"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88E4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36569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A4A5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7A026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BA8A6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C3D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A6A4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364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4091.36</w:t>
            </w:r>
          </w:p>
        </w:tc>
      </w:tr>
    </w:tbl>
    <w:p w14:paraId="14B73139" w14:textId="3AD1941E" w:rsidR="00C66620" w:rsidRDefault="00C66620">
      <w:pPr>
        <w:pStyle w:val="BodyText"/>
      </w:pPr>
    </w:p>
    <w:bookmarkEnd w:id="208"/>
    <w:p w14:paraId="52E817EB" w14:textId="77777777" w:rsidR="00C66620" w:rsidRDefault="00000000">
      <w:r>
        <w:br w:type="page"/>
      </w:r>
    </w:p>
    <w:p w14:paraId="2CEA85C3" w14:textId="77777777" w:rsidR="00C66620" w:rsidRDefault="00000000" w:rsidP="00D10D64">
      <w:pPr>
        <w:pStyle w:val="BodyText"/>
        <w:spacing w:line="480" w:lineRule="auto"/>
      </w:pPr>
      <w:r>
        <w:lastRenderedPageBreak/>
        <w:t xml:space="preserve">Table 5. Results for </w:t>
      </w:r>
      <w:r>
        <w:rPr>
          <w:i/>
          <w:iCs/>
        </w:rPr>
        <w:t>L. guichenoti</w:t>
      </w:r>
      <w:r>
        <w:t xml:space="preserve"> assigned to red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656E9928"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1A593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09" w:name="tbl-ageguich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DC6D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745DC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3F419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C4EA1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556E3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710E9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4A7B7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5340E216"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67E1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FAA5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6CD1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673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06D8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7421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F48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F190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2963.70</w:t>
            </w:r>
          </w:p>
        </w:tc>
      </w:tr>
      <w:tr w:rsidR="00C66620" w14:paraId="42EC8F5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E42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9DC2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054D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48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E5B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F50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BD8A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4689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5309.44</w:t>
            </w:r>
          </w:p>
        </w:tc>
      </w:tr>
      <w:tr w:rsidR="00C66620" w14:paraId="71E522B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2EDF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F16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A93A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F56A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BBD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F19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AE3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93EA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2897.00</w:t>
            </w:r>
          </w:p>
        </w:tc>
      </w:tr>
      <w:tr w:rsidR="00C66620" w14:paraId="3D3604D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0EF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1AB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F24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B39A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F87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86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7EF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2904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3043.41</w:t>
            </w:r>
          </w:p>
        </w:tc>
      </w:tr>
      <w:tr w:rsidR="00C66620" w14:paraId="60B9972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512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874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9B5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964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0EA0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EEEE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FDE0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558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2802.60</w:t>
            </w:r>
          </w:p>
        </w:tc>
      </w:tr>
      <w:tr w:rsidR="00C66620" w14:paraId="051441D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8A5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DCC9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EA7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33F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1B27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879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8E0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BF2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3222.97</w:t>
            </w:r>
          </w:p>
        </w:tc>
      </w:tr>
      <w:tr w:rsidR="00C66620" w14:paraId="7E494D6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E9F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885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96EE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19D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D0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B6B0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6B6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8B29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2466.35</w:t>
            </w:r>
          </w:p>
        </w:tc>
      </w:tr>
      <w:tr w:rsidR="00C66620" w14:paraId="7BB77CE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B924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7A5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8EFC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419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CC2D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CBB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088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924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3274.21</w:t>
            </w:r>
          </w:p>
        </w:tc>
      </w:tr>
      <w:tr w:rsidR="00C66620" w14:paraId="2721F69B"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40D07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893D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F6A4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15CC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558C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00A79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2976F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59C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3341.04</w:t>
            </w:r>
          </w:p>
        </w:tc>
      </w:tr>
    </w:tbl>
    <w:p w14:paraId="5CFE6F39" w14:textId="152C1459" w:rsidR="00C66620" w:rsidRDefault="00C66620">
      <w:pPr>
        <w:pStyle w:val="BodyText"/>
      </w:pPr>
    </w:p>
    <w:bookmarkEnd w:id="209"/>
    <w:p w14:paraId="27FDD286" w14:textId="77777777" w:rsidR="00C66620" w:rsidRDefault="00000000">
      <w:r>
        <w:br w:type="page"/>
      </w:r>
    </w:p>
    <w:p w14:paraId="4F8218F9" w14:textId="77777777" w:rsidR="00C66620" w:rsidRDefault="00000000" w:rsidP="00D10D64">
      <w:pPr>
        <w:pStyle w:val="BodyText"/>
        <w:spacing w:line="480" w:lineRule="auto"/>
      </w:pPr>
      <w:r>
        <w:lastRenderedPageBreak/>
        <w:t xml:space="preserve">Table 6. Results for </w:t>
      </w:r>
      <w:r>
        <w:rPr>
          <w:i/>
          <w:iCs/>
        </w:rPr>
        <w:t>L. guichenoti</w:t>
      </w:r>
      <w:r>
        <w:t xml:space="preserve"> assigned to blue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4842A178"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4EE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10" w:name="tbl-ageguich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3BFA5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FF58D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FC7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5EC8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F9C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C87A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179F2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3A3C0EFD"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958E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72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ACBA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281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39E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35A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C4A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C25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4928.86</w:t>
            </w:r>
          </w:p>
        </w:tc>
      </w:tr>
      <w:tr w:rsidR="00C66620" w14:paraId="13FFED9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7C43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0718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08E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4922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7E1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7697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649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0BD6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5181.70</w:t>
            </w:r>
          </w:p>
        </w:tc>
      </w:tr>
      <w:tr w:rsidR="00C66620" w14:paraId="6B7CC16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9AD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0D1F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44E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650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F48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D6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BFA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585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4029.03</w:t>
            </w:r>
          </w:p>
        </w:tc>
      </w:tr>
      <w:tr w:rsidR="00C66620" w14:paraId="493E354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56C8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07F1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829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BA7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284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EAC0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043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FDDD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4199.07</w:t>
            </w:r>
          </w:p>
        </w:tc>
      </w:tr>
      <w:tr w:rsidR="00C66620" w14:paraId="0297A9B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DE8A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28FE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67C5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C1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E691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2FC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8C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8A2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4399.38</w:t>
            </w:r>
          </w:p>
        </w:tc>
      </w:tr>
      <w:tr w:rsidR="00C66620" w14:paraId="56FC56B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66C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A47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F2BA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A612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E4F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5EA7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FB04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EC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3686.90</w:t>
            </w:r>
          </w:p>
        </w:tc>
      </w:tr>
      <w:tr w:rsidR="00C66620" w14:paraId="69EB4EA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71A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006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3724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4A1A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B62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B13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B39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F81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4011.10</w:t>
            </w:r>
          </w:p>
        </w:tc>
      </w:tr>
      <w:tr w:rsidR="00C66620" w14:paraId="240CBD0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606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763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AFD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4F63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6D4D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FA6F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596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CD9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4053.85</w:t>
            </w:r>
          </w:p>
        </w:tc>
      </w:tr>
      <w:tr w:rsidR="00C66620" w14:paraId="202E069C"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BCA5C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30ED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1828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C8452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11570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4CF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E3170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6267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4029.47</w:t>
            </w:r>
          </w:p>
        </w:tc>
      </w:tr>
      <w:bookmarkEnd w:id="186"/>
      <w:bookmarkEnd w:id="206"/>
      <w:bookmarkEnd w:id="210"/>
    </w:tbl>
    <w:p w14:paraId="20C059AD" w14:textId="57155ED1" w:rsidR="00C66620" w:rsidRDefault="00C66620">
      <w:pPr>
        <w:pStyle w:val="BodyText"/>
      </w:pPr>
    </w:p>
    <w:sectPr w:rsidR="00C66620" w:rsidSect="0004148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Amelia Peardon" w:date="2024-09-08T11:33:00Z" w:initials="AP">
    <w:p w14:paraId="769279A9" w14:textId="77777777" w:rsidR="004E09BB" w:rsidRDefault="004E09BB" w:rsidP="004E09BB">
      <w:pPr>
        <w:pStyle w:val="CommentText"/>
      </w:pPr>
      <w:r>
        <w:rPr>
          <w:rStyle w:val="CommentReference"/>
        </w:rPr>
        <w:annotationRef/>
      </w:r>
      <w:r>
        <w:rPr>
          <w:lang w:val="en-AU"/>
        </w:rPr>
        <w:t>I think “adapt” or “modify” could be a better word choice here.</w:t>
      </w:r>
    </w:p>
  </w:comment>
  <w:comment w:id="4" w:author="Amelia Peardon" w:date="2024-09-08T11:34:00Z" w:initials="AP">
    <w:p w14:paraId="02ADBDF6" w14:textId="77777777" w:rsidR="004E09BB" w:rsidRDefault="004E09BB" w:rsidP="004E09BB">
      <w:pPr>
        <w:pStyle w:val="CommentText"/>
      </w:pPr>
      <w:r>
        <w:rPr>
          <w:rStyle w:val="CommentReference"/>
        </w:rPr>
        <w:annotationRef/>
      </w:r>
      <w:r>
        <w:rPr>
          <w:lang w:val="en-AU"/>
        </w:rPr>
        <w:t>This paragraph is in a different font.</w:t>
      </w:r>
    </w:p>
  </w:comment>
  <w:comment w:id="14" w:author="Amelia Peardon" w:date="2024-09-08T11:44:00Z" w:initials="AP">
    <w:p w14:paraId="7C76AD02" w14:textId="77777777" w:rsidR="00CC2CB4" w:rsidRDefault="00CC2CB4" w:rsidP="00CC2CB4">
      <w:pPr>
        <w:pStyle w:val="CommentText"/>
      </w:pPr>
      <w:r>
        <w:rPr>
          <w:rStyle w:val="CommentReference"/>
        </w:rPr>
        <w:annotationRef/>
      </w:r>
      <w:r>
        <w:rPr>
          <w:lang w:val="en-AU"/>
        </w:rPr>
        <w:t>This paragraph is also in a different font.</w:t>
      </w:r>
    </w:p>
  </w:comment>
  <w:comment w:id="18" w:author="Amelia Peardon" w:date="2024-09-08T11:53:00Z" w:initials="AP">
    <w:p w14:paraId="0F6F02BE" w14:textId="77777777" w:rsidR="00CC2CB4" w:rsidRDefault="00CC2CB4" w:rsidP="00CC2CB4">
      <w:pPr>
        <w:pStyle w:val="CommentText"/>
      </w:pPr>
      <w:r>
        <w:rPr>
          <w:rStyle w:val="CommentReference"/>
        </w:rPr>
        <w:annotationRef/>
      </w:r>
      <w:r>
        <w:rPr>
          <w:lang w:val="en-AU"/>
        </w:rPr>
        <w:t>I do not think this is the best word choice. Perhaps something like “regardless” or “apart from that”.</w:t>
      </w:r>
    </w:p>
  </w:comment>
  <w:comment w:id="29" w:author="Amelia Peardon" w:date="2024-09-08T14:18:00Z" w:initials="AP">
    <w:p w14:paraId="38500B54" w14:textId="77777777" w:rsidR="00EA3D6A" w:rsidRDefault="00EA3D6A" w:rsidP="00EA3D6A">
      <w:pPr>
        <w:pStyle w:val="CommentText"/>
      </w:pPr>
      <w:r>
        <w:rPr>
          <w:rStyle w:val="CommentReference"/>
        </w:rPr>
        <w:annotationRef/>
      </w:r>
      <w:r>
        <w:rPr>
          <w:lang w:val="en-AU"/>
        </w:rPr>
        <w:t>This paragraph is in a different font.</w:t>
      </w:r>
    </w:p>
  </w:comment>
  <w:comment w:id="32" w:author="Amelia Peardon" w:date="2024-09-08T14:20:00Z" w:initials="AP">
    <w:p w14:paraId="618D136C" w14:textId="77777777" w:rsidR="00EA3D6A" w:rsidRDefault="00EA3D6A" w:rsidP="00EA3D6A">
      <w:pPr>
        <w:pStyle w:val="CommentText"/>
      </w:pPr>
      <w:r>
        <w:rPr>
          <w:rStyle w:val="CommentReference"/>
        </w:rPr>
        <w:annotationRef/>
      </w:r>
      <w:r>
        <w:rPr>
          <w:lang w:val="en-AU"/>
        </w:rPr>
        <w:t>This paragraph is also in a different font compared to the rest of the manuscript.</w:t>
      </w:r>
    </w:p>
  </w:comment>
  <w:comment w:id="36" w:author="Amelia Peardon" w:date="2024-09-08T14:22:00Z" w:initials="AP">
    <w:p w14:paraId="7620C21C" w14:textId="77777777" w:rsidR="00583EEB" w:rsidRDefault="00583EEB" w:rsidP="00583EEB">
      <w:pPr>
        <w:pStyle w:val="CommentText"/>
      </w:pPr>
      <w:r>
        <w:rPr>
          <w:rStyle w:val="CommentReference"/>
        </w:rPr>
        <w:annotationRef/>
      </w:r>
      <w:r>
        <w:rPr>
          <w:lang w:val="en-AU"/>
        </w:rPr>
        <w:t>Just provided water, rather than sprayed? Spraying sounds like you wet the lizards, rather than giving them water.</w:t>
      </w:r>
    </w:p>
  </w:comment>
  <w:comment w:id="47" w:author="Amelia Peardon" w:date="2024-09-08T14:36:00Z" w:initials="AP">
    <w:p w14:paraId="7D25FEB0" w14:textId="77777777" w:rsidR="009C4C78" w:rsidRDefault="009C4C78" w:rsidP="009C4C78">
      <w:pPr>
        <w:pStyle w:val="CommentText"/>
      </w:pPr>
      <w:r>
        <w:rPr>
          <w:rStyle w:val="CommentReference"/>
        </w:rPr>
        <w:annotationRef/>
      </w:r>
      <w:r>
        <w:rPr>
          <w:lang w:val="en-AU"/>
        </w:rPr>
        <w:t>This paragraph is in a different font.</w:t>
      </w:r>
    </w:p>
  </w:comment>
  <w:comment w:id="60" w:author="Amelia Peardon" w:date="2024-09-08T14:48:00Z" w:initials="AP">
    <w:p w14:paraId="29C464BD" w14:textId="77777777" w:rsidR="00240BEC" w:rsidRDefault="00240BEC" w:rsidP="00240BEC">
      <w:pPr>
        <w:pStyle w:val="CommentText"/>
      </w:pPr>
      <w:r>
        <w:rPr>
          <w:rStyle w:val="CommentReference"/>
        </w:rPr>
        <w:annotationRef/>
      </w:r>
      <w:r>
        <w:rPr>
          <w:lang w:val="en-AU"/>
        </w:rPr>
        <w:t>This paragraph is in a different font.</w:t>
      </w:r>
    </w:p>
  </w:comment>
  <w:comment w:id="61" w:author="Amelia Peardon" w:date="2024-09-08T14:45:00Z" w:initials="AP">
    <w:p w14:paraId="0E8BF95D" w14:textId="1B62FB47" w:rsidR="004F3748" w:rsidRDefault="004F3748" w:rsidP="004F3748">
      <w:pPr>
        <w:pStyle w:val="CommentText"/>
      </w:pPr>
      <w:r>
        <w:rPr>
          <w:rStyle w:val="CommentReference"/>
        </w:rPr>
        <w:annotationRef/>
      </w:r>
      <w:r>
        <w:rPr>
          <w:lang w:val="en-AU"/>
        </w:rPr>
        <w:t>Is this meant to say 11 to 12 pm?</w:t>
      </w:r>
    </w:p>
  </w:comment>
  <w:comment w:id="68" w:author="Amelia Peardon" w:date="2024-09-08T14:29:00Z" w:initials="AP">
    <w:p w14:paraId="07AD9EFE" w14:textId="26C7EB78" w:rsidR="00F15F5F" w:rsidRDefault="00F15F5F" w:rsidP="00F15F5F">
      <w:pPr>
        <w:pStyle w:val="CommentText"/>
      </w:pPr>
      <w:r>
        <w:rPr>
          <w:rStyle w:val="CommentReference"/>
        </w:rPr>
        <w:annotationRef/>
      </w:r>
      <w:r>
        <w:rPr>
          <w:lang w:val="en-AU"/>
        </w:rPr>
        <w:t>This figure looks great!</w:t>
      </w:r>
    </w:p>
  </w:comment>
  <w:comment w:id="69" w:author="Amelia Peardon" w:date="2024-09-08T14:31:00Z" w:initials="AP">
    <w:p w14:paraId="3EEA4980" w14:textId="77777777" w:rsidR="00F15F5F" w:rsidRDefault="00F15F5F" w:rsidP="00F15F5F">
      <w:pPr>
        <w:pStyle w:val="CommentText"/>
      </w:pPr>
      <w:r>
        <w:rPr>
          <w:rStyle w:val="CommentReference"/>
        </w:rPr>
        <w:annotationRef/>
      </w:r>
      <w:r>
        <w:rPr>
          <w:lang w:val="en-AU"/>
        </w:rPr>
        <w:t>Are there meant to be asterisks around the “D”? I don’t think they are necessary.</w:t>
      </w:r>
    </w:p>
  </w:comment>
  <w:comment w:id="73" w:author="Amelia Peardon" w:date="2024-09-08T14:51:00Z" w:initials="AP">
    <w:p w14:paraId="7FD73C3F" w14:textId="77777777" w:rsidR="00200C65" w:rsidRDefault="00200C65" w:rsidP="00200C65">
      <w:pPr>
        <w:pStyle w:val="CommentText"/>
      </w:pPr>
      <w:r>
        <w:rPr>
          <w:rStyle w:val="CommentReference"/>
        </w:rPr>
        <w:annotationRef/>
      </w:r>
      <w:r>
        <w:rPr>
          <w:lang w:val="en-AU"/>
        </w:rPr>
        <w:t>This paragraph is in a different font.</w:t>
      </w:r>
    </w:p>
  </w:comment>
  <w:comment w:id="74" w:author="Amelia Peardon" w:date="2024-09-08T14:52:00Z" w:initials="AP">
    <w:p w14:paraId="357779E3" w14:textId="77777777" w:rsidR="00200C65" w:rsidRDefault="00200C65" w:rsidP="00200C65">
      <w:pPr>
        <w:pStyle w:val="CommentText"/>
      </w:pPr>
      <w:r>
        <w:rPr>
          <w:rStyle w:val="CommentReference"/>
        </w:rPr>
        <w:annotationRef/>
      </w:r>
      <w:r>
        <w:rPr>
          <w:lang w:val="en-AU"/>
        </w:rPr>
        <w:t>This paragraph is in a different font.</w:t>
      </w:r>
    </w:p>
  </w:comment>
  <w:comment w:id="81" w:author="Amelia Peardon" w:date="2024-09-08T14:54:00Z" w:initials="AP">
    <w:p w14:paraId="73238466" w14:textId="77777777" w:rsidR="008161A9" w:rsidRDefault="008161A9" w:rsidP="008161A9">
      <w:pPr>
        <w:pStyle w:val="CommentText"/>
      </w:pPr>
      <w:r>
        <w:rPr>
          <w:rStyle w:val="CommentReference"/>
        </w:rPr>
        <w:annotationRef/>
      </w:r>
      <w:r>
        <w:rPr>
          <w:lang w:val="en-AU"/>
        </w:rPr>
        <w:t>This paragraph is in a different font.</w:t>
      </w:r>
    </w:p>
  </w:comment>
  <w:comment w:id="82" w:author="Amelia Peardon" w:date="2024-09-09T14:16:00Z" w:initials="AP">
    <w:p w14:paraId="0AEFCD03" w14:textId="77777777" w:rsidR="00D06C5E" w:rsidRDefault="00D06C5E" w:rsidP="00D06C5E">
      <w:pPr>
        <w:pStyle w:val="CommentText"/>
      </w:pPr>
      <w:r>
        <w:rPr>
          <w:rStyle w:val="CommentReference"/>
        </w:rPr>
        <w:annotationRef/>
      </w:r>
      <w:r>
        <w:rPr>
          <w:lang w:val="en-AU"/>
        </w:rPr>
        <w:t>I think it’s best to refer to Figure 2 here as well.</w:t>
      </w:r>
    </w:p>
  </w:comment>
  <w:comment w:id="84" w:author="Amelia Peardon" w:date="2024-09-09T14:17:00Z" w:initials="AP">
    <w:p w14:paraId="133F2A21" w14:textId="77777777" w:rsidR="00D06C5E" w:rsidRDefault="00D06C5E" w:rsidP="00D06C5E">
      <w:pPr>
        <w:pStyle w:val="CommentText"/>
      </w:pPr>
      <w:r>
        <w:rPr>
          <w:rStyle w:val="CommentReference"/>
        </w:rPr>
        <w:annotationRef/>
      </w:r>
      <w:r>
        <w:rPr>
          <w:lang w:val="en-AU"/>
        </w:rPr>
        <w:t>Refer to Figure 3 as well.</w:t>
      </w:r>
    </w:p>
  </w:comment>
  <w:comment w:id="86" w:author="Amelia Peardon" w:date="2024-09-09T14:21:00Z" w:initials="AP">
    <w:p w14:paraId="2EB109BE" w14:textId="77777777" w:rsidR="00076012" w:rsidRDefault="005F4B58" w:rsidP="00076012">
      <w:pPr>
        <w:pStyle w:val="CommentText"/>
      </w:pPr>
      <w:r>
        <w:rPr>
          <w:rStyle w:val="CommentReference"/>
        </w:rPr>
        <w:annotationRef/>
      </w:r>
      <w:r w:rsidR="00076012">
        <w:rPr>
          <w:lang w:val="en-AU"/>
        </w:rPr>
        <w:t>The font usage is not consistent between paragraphs, some paragraphs are in Times New Roman, others (like this one and the rest of the results) are in Cambria.</w:t>
      </w:r>
    </w:p>
  </w:comment>
  <w:comment w:id="87" w:author="Amelia Peardon" w:date="2024-09-09T14:23:00Z" w:initials="AP">
    <w:p w14:paraId="1B90A2FA" w14:textId="74139D4A" w:rsidR="004E3411" w:rsidRDefault="004E3411" w:rsidP="004E3411">
      <w:pPr>
        <w:pStyle w:val="CommentText"/>
      </w:pPr>
      <w:r>
        <w:rPr>
          <w:rStyle w:val="CommentReference"/>
        </w:rPr>
        <w:annotationRef/>
      </w:r>
      <w:r>
        <w:rPr>
          <w:lang w:val="en-AU"/>
        </w:rPr>
        <w:t>Is this meant to be in a different font?</w:t>
      </w:r>
    </w:p>
  </w:comment>
  <w:comment w:id="89" w:author="Amelia Peardon" w:date="2024-09-08T15:00:00Z" w:initials="AP">
    <w:p w14:paraId="1BACB12D" w14:textId="77777777" w:rsidR="00CA0936" w:rsidRDefault="009A68C8" w:rsidP="00CA0936">
      <w:pPr>
        <w:pStyle w:val="CommentText"/>
      </w:pPr>
      <w:r>
        <w:rPr>
          <w:rStyle w:val="CommentReference"/>
        </w:rPr>
        <w:annotationRef/>
      </w:r>
      <w:r w:rsidR="00CA0936">
        <w:rPr>
          <w:lang w:val="en-AU"/>
        </w:rPr>
        <w:t>Can you make the treatment colours in this figure match those in Figure 1? It would be easier to understand and interpret if the colours used are consistent.</w:t>
      </w:r>
    </w:p>
    <w:p w14:paraId="395653CD" w14:textId="77777777" w:rsidR="00CA0936" w:rsidRDefault="00CA0936" w:rsidP="00CA0936">
      <w:pPr>
        <w:pStyle w:val="CommentText"/>
      </w:pPr>
      <w:r>
        <w:rPr>
          <w:lang w:val="en-AU"/>
        </w:rPr>
        <w:t>Also, it could be good to have the same scale on the y-axis for A and C to make it easier to compare the colours and visualise that the blue slopes have higher probability.</w:t>
      </w:r>
    </w:p>
  </w:comment>
  <w:comment w:id="93" w:author="Amelia Peardon" w:date="2024-09-08T15:04:00Z" w:initials="AP">
    <w:p w14:paraId="3B1108F0" w14:textId="77777777" w:rsidR="009C044E" w:rsidRDefault="00FE27E2" w:rsidP="009C044E">
      <w:pPr>
        <w:pStyle w:val="CommentText"/>
      </w:pPr>
      <w:r>
        <w:rPr>
          <w:rStyle w:val="CommentReference"/>
        </w:rPr>
        <w:annotationRef/>
      </w:r>
      <w:r w:rsidR="009C044E">
        <w:rPr>
          <w:lang w:val="en-AU"/>
        </w:rPr>
        <w:t>Again, can you please make these treatment colours consistent with those in Figures 1 and 2? Having the y-axes with the same scale for A and C would also be good here.</w:t>
      </w:r>
    </w:p>
  </w:comment>
  <w:comment w:id="102" w:author="Amelia Peardon" w:date="2024-09-09T15:04:00Z" w:initials="AP">
    <w:p w14:paraId="7F99041B" w14:textId="7E39491C" w:rsidR="00533D38" w:rsidRDefault="00533D38" w:rsidP="00533D38">
      <w:pPr>
        <w:pStyle w:val="CommentText"/>
      </w:pPr>
      <w:r>
        <w:rPr>
          <w:rStyle w:val="CommentReference"/>
        </w:rPr>
        <w:annotationRef/>
      </w:r>
      <w:r>
        <w:rPr>
          <w:lang w:val="en-AU"/>
        </w:rPr>
        <w:t>I think “aim” would be a better word choice.</w:t>
      </w:r>
    </w:p>
  </w:comment>
  <w:comment w:id="101" w:author="Amelia Peardon" w:date="2024-09-09T14:27:00Z" w:initials="AP">
    <w:p w14:paraId="5787B924" w14:textId="2816AF3C" w:rsidR="00076012" w:rsidRDefault="00076012" w:rsidP="00076012">
      <w:pPr>
        <w:pStyle w:val="CommentText"/>
      </w:pPr>
      <w:r>
        <w:rPr>
          <w:rStyle w:val="CommentReference"/>
        </w:rPr>
        <w:annotationRef/>
      </w:r>
      <w:r>
        <w:rPr>
          <w:lang w:val="en-AU"/>
        </w:rPr>
        <w:t>The font is now back to Times New Roman.</w:t>
      </w:r>
    </w:p>
  </w:comment>
  <w:comment w:id="106" w:author="Amelia Peardon" w:date="2024-09-09T15:14:00Z" w:initials="AP">
    <w:p w14:paraId="56ADBC98" w14:textId="77777777" w:rsidR="002751CF" w:rsidRDefault="002751CF" w:rsidP="002751CF">
      <w:pPr>
        <w:pStyle w:val="CommentText"/>
      </w:pPr>
      <w:r>
        <w:rPr>
          <w:rStyle w:val="CommentReference"/>
        </w:rPr>
        <w:annotationRef/>
      </w:r>
      <w:r>
        <w:rPr>
          <w:lang w:val="en-AU"/>
        </w:rPr>
        <w:t>Different font used for this paragraph.</w:t>
      </w:r>
    </w:p>
  </w:comment>
  <w:comment w:id="110" w:author="Amelia Peardon" w:date="2024-09-09T15:18:00Z" w:initials="AP">
    <w:p w14:paraId="2D60F6AA" w14:textId="77777777" w:rsidR="002751CF" w:rsidRDefault="002751CF" w:rsidP="002751CF">
      <w:pPr>
        <w:pStyle w:val="CommentText"/>
      </w:pPr>
      <w:r>
        <w:rPr>
          <w:rStyle w:val="CommentReference"/>
        </w:rPr>
        <w:annotationRef/>
      </w:r>
      <w:r>
        <w:rPr>
          <w:lang w:val="en-AU"/>
        </w:rPr>
        <w:t>This in-text reference is not in the format (Author Year).</w:t>
      </w:r>
    </w:p>
  </w:comment>
  <w:comment w:id="118" w:author="Amelia Peardon" w:date="2024-09-09T15:21:00Z" w:initials="AP">
    <w:p w14:paraId="44B56D0A" w14:textId="77777777" w:rsidR="002751CF" w:rsidRDefault="002751CF" w:rsidP="002751CF">
      <w:pPr>
        <w:pStyle w:val="CommentText"/>
      </w:pPr>
      <w:r>
        <w:rPr>
          <w:rStyle w:val="CommentReference"/>
        </w:rPr>
        <w:annotationRef/>
      </w:r>
      <w:r>
        <w:rPr>
          <w:lang w:val="en-AU"/>
        </w:rPr>
        <w:t>This paragraph is in a different font.</w:t>
      </w:r>
    </w:p>
  </w:comment>
  <w:comment w:id="122" w:author="Amelia Peardon" w:date="2024-09-09T16:04:00Z" w:initials="AP">
    <w:p w14:paraId="372A150D" w14:textId="77777777" w:rsidR="001B5407" w:rsidRDefault="001B5407" w:rsidP="001B5407">
      <w:pPr>
        <w:pStyle w:val="CommentText"/>
      </w:pPr>
      <w:r>
        <w:rPr>
          <w:rStyle w:val="CommentReference"/>
        </w:rPr>
        <w:annotationRef/>
      </w:r>
      <w:r>
        <w:rPr>
          <w:lang w:val="en-AU"/>
        </w:rPr>
        <w:t>This paragraph is in a different font.</w:t>
      </w:r>
    </w:p>
  </w:comment>
  <w:comment w:id="131" w:author="Amelia Peardon" w:date="2024-09-09T16:12:00Z" w:initials="AP">
    <w:p w14:paraId="24AC1DEF" w14:textId="77777777" w:rsidR="008C2CE6" w:rsidRDefault="008C2CE6" w:rsidP="008C2CE6">
      <w:pPr>
        <w:pStyle w:val="CommentText"/>
      </w:pPr>
      <w:r>
        <w:rPr>
          <w:rStyle w:val="CommentReference"/>
        </w:rPr>
        <w:annotationRef/>
      </w:r>
      <w:r>
        <w:rPr>
          <w:lang w:val="en-AU"/>
        </w:rPr>
        <w:t>This paragraph is in a different font.</w:t>
      </w:r>
    </w:p>
  </w:comment>
  <w:comment w:id="132" w:author="Amelia Peardon" w:date="2024-09-09T16:16:00Z" w:initials="AP">
    <w:p w14:paraId="36D89061" w14:textId="77777777" w:rsidR="00184809" w:rsidRDefault="00184809" w:rsidP="00184809">
      <w:pPr>
        <w:pStyle w:val="CommentText"/>
      </w:pPr>
      <w:r>
        <w:rPr>
          <w:rStyle w:val="CommentReference"/>
        </w:rPr>
        <w:annotationRef/>
      </w:r>
      <w:r>
        <w:rPr>
          <w:lang w:val="en-AU"/>
        </w:rPr>
        <w:t>I don’t understand what you mean by the specific nature.</w:t>
      </w:r>
    </w:p>
  </w:comment>
  <w:comment w:id="137" w:author="Amelia Peardon" w:date="2024-09-09T16:17:00Z" w:initials="AP">
    <w:p w14:paraId="72272500" w14:textId="77777777" w:rsidR="009A04D4" w:rsidRDefault="009A04D4" w:rsidP="009A04D4">
      <w:pPr>
        <w:pStyle w:val="CommentText"/>
      </w:pPr>
      <w:r>
        <w:rPr>
          <w:rStyle w:val="CommentReference"/>
        </w:rPr>
        <w:annotationRef/>
      </w:r>
      <w:r>
        <w:rPr>
          <w:lang w:val="en-AU"/>
        </w:rPr>
        <w:t>I don’t think this is meant to be here?</w:t>
      </w:r>
    </w:p>
  </w:comment>
  <w:comment w:id="195" w:author="Amelia Peardon" w:date="2024-09-09T18:05:00Z" w:initials="AP">
    <w:p w14:paraId="14AA6109" w14:textId="77777777" w:rsidR="00DD0A35" w:rsidRDefault="00DD0A35" w:rsidP="00DD0A35">
      <w:pPr>
        <w:pStyle w:val="CommentText"/>
      </w:pPr>
      <w:r>
        <w:rPr>
          <w:rStyle w:val="CommentReference"/>
        </w:rPr>
        <w:annotationRef/>
      </w:r>
      <w:r>
        <w:rPr>
          <w:lang w:val="en-AU"/>
        </w:rPr>
        <w:t>Can you present the Prob red data in the left column so it’s consistent with Table 1? I think this will make it easier to compare and relate the results.</w:t>
      </w:r>
    </w:p>
  </w:comment>
  <w:comment w:id="199" w:author="Amelia Peardon" w:date="2024-09-09T18:08:00Z" w:initials="AP">
    <w:p w14:paraId="1DC65DE0" w14:textId="77777777" w:rsidR="00C84D9B" w:rsidRDefault="00C84D9B" w:rsidP="00C84D9B">
      <w:pPr>
        <w:pStyle w:val="CommentText"/>
      </w:pPr>
      <w:r>
        <w:rPr>
          <w:rStyle w:val="CommentReference"/>
        </w:rPr>
        <w:annotationRef/>
      </w:r>
      <w:r>
        <w:rPr>
          <w:lang w:val="en-AU"/>
        </w:rPr>
        <w:t>This paragraph is in a different font.</w:t>
      </w:r>
    </w:p>
  </w:comment>
  <w:comment w:id="204" w:author="Amelia Peardon" w:date="2024-09-09T18:11:00Z" w:initials="AP">
    <w:p w14:paraId="604D58F7" w14:textId="77777777" w:rsidR="00C84D9B" w:rsidRDefault="00C84D9B" w:rsidP="00C84D9B">
      <w:pPr>
        <w:pStyle w:val="CommentText"/>
      </w:pPr>
      <w:r>
        <w:rPr>
          <w:rStyle w:val="CommentReference"/>
        </w:rPr>
        <w:annotationRef/>
      </w:r>
      <w:r>
        <w:rPr>
          <w:lang w:val="en-AU"/>
        </w:rPr>
        <w:t>It looks like the y-axis label is being cut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9279A9" w15:done="0"/>
  <w15:commentEx w15:paraId="02ADBDF6" w15:done="0"/>
  <w15:commentEx w15:paraId="7C76AD02" w15:done="0"/>
  <w15:commentEx w15:paraId="0F6F02BE" w15:done="0"/>
  <w15:commentEx w15:paraId="38500B54" w15:done="0"/>
  <w15:commentEx w15:paraId="618D136C" w15:done="0"/>
  <w15:commentEx w15:paraId="7620C21C" w15:done="0"/>
  <w15:commentEx w15:paraId="7D25FEB0" w15:done="0"/>
  <w15:commentEx w15:paraId="29C464BD" w15:done="0"/>
  <w15:commentEx w15:paraId="0E8BF95D" w15:done="0"/>
  <w15:commentEx w15:paraId="07AD9EFE" w15:done="0"/>
  <w15:commentEx w15:paraId="3EEA4980" w15:done="0"/>
  <w15:commentEx w15:paraId="7FD73C3F" w15:done="0"/>
  <w15:commentEx w15:paraId="357779E3" w15:done="0"/>
  <w15:commentEx w15:paraId="73238466" w15:done="0"/>
  <w15:commentEx w15:paraId="0AEFCD03" w15:done="0"/>
  <w15:commentEx w15:paraId="133F2A21" w15:done="0"/>
  <w15:commentEx w15:paraId="2EB109BE" w15:done="0"/>
  <w15:commentEx w15:paraId="1B90A2FA" w15:done="0"/>
  <w15:commentEx w15:paraId="395653CD" w15:done="0"/>
  <w15:commentEx w15:paraId="3B1108F0" w15:done="0"/>
  <w15:commentEx w15:paraId="7F99041B" w15:done="0"/>
  <w15:commentEx w15:paraId="5787B924" w15:done="0"/>
  <w15:commentEx w15:paraId="56ADBC98" w15:done="0"/>
  <w15:commentEx w15:paraId="2D60F6AA" w15:done="0"/>
  <w15:commentEx w15:paraId="44B56D0A" w15:done="0"/>
  <w15:commentEx w15:paraId="372A150D" w15:done="0"/>
  <w15:commentEx w15:paraId="24AC1DEF" w15:done="0"/>
  <w15:commentEx w15:paraId="36D89061" w15:done="0"/>
  <w15:commentEx w15:paraId="72272500" w15:done="0"/>
  <w15:commentEx w15:paraId="14AA6109" w15:done="0"/>
  <w15:commentEx w15:paraId="1DC65DE0" w15:done="0"/>
  <w15:commentEx w15:paraId="604D58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1F600EF" w16cex:dateUtc="2024-09-08T01:33:00Z"/>
  <w16cex:commentExtensible w16cex:durableId="25542A7B" w16cex:dateUtc="2024-09-08T01:34:00Z"/>
  <w16cex:commentExtensible w16cex:durableId="1395AAB2" w16cex:dateUtc="2024-09-08T01:44:00Z"/>
  <w16cex:commentExtensible w16cex:durableId="4EAD50C7" w16cex:dateUtc="2024-09-08T01:53:00Z"/>
  <w16cex:commentExtensible w16cex:durableId="1EB85C91" w16cex:dateUtc="2024-09-08T04:18:00Z"/>
  <w16cex:commentExtensible w16cex:durableId="4A55068E" w16cex:dateUtc="2024-09-08T04:20:00Z"/>
  <w16cex:commentExtensible w16cex:durableId="20C84A34" w16cex:dateUtc="2024-09-08T04:22:00Z"/>
  <w16cex:commentExtensible w16cex:durableId="5FC687FC" w16cex:dateUtc="2024-09-08T04:36:00Z"/>
  <w16cex:commentExtensible w16cex:durableId="6A08CAFB" w16cex:dateUtc="2024-09-08T04:48:00Z"/>
  <w16cex:commentExtensible w16cex:durableId="2E4F52B0" w16cex:dateUtc="2024-09-08T04:45:00Z"/>
  <w16cex:commentExtensible w16cex:durableId="1EC95523" w16cex:dateUtc="2024-09-08T04:29:00Z"/>
  <w16cex:commentExtensible w16cex:durableId="511205C0" w16cex:dateUtc="2024-09-08T04:31:00Z"/>
  <w16cex:commentExtensible w16cex:durableId="690264F7" w16cex:dateUtc="2024-09-08T04:51:00Z"/>
  <w16cex:commentExtensible w16cex:durableId="4853E27E" w16cex:dateUtc="2024-09-08T04:52:00Z"/>
  <w16cex:commentExtensible w16cex:durableId="5AD09821" w16cex:dateUtc="2024-09-08T04:54:00Z"/>
  <w16cex:commentExtensible w16cex:durableId="6ED33126" w16cex:dateUtc="2024-09-09T04:16:00Z"/>
  <w16cex:commentExtensible w16cex:durableId="3DF57380" w16cex:dateUtc="2024-09-09T04:17:00Z"/>
  <w16cex:commentExtensible w16cex:durableId="6787274A" w16cex:dateUtc="2024-09-09T04:21:00Z"/>
  <w16cex:commentExtensible w16cex:durableId="292B299A" w16cex:dateUtc="2024-09-09T04:23:00Z"/>
  <w16cex:commentExtensible w16cex:durableId="0437BFBC" w16cex:dateUtc="2024-09-08T05:00:00Z"/>
  <w16cex:commentExtensible w16cex:durableId="0A1AE0C7" w16cex:dateUtc="2024-09-08T05:04:00Z"/>
  <w16cex:commentExtensible w16cex:durableId="1626C527" w16cex:dateUtc="2024-09-09T05:04:00Z"/>
  <w16cex:commentExtensible w16cex:durableId="0DC73CB2" w16cex:dateUtc="2024-09-09T04:27:00Z"/>
  <w16cex:commentExtensible w16cex:durableId="0CC1BFD9" w16cex:dateUtc="2024-09-09T05:14:00Z"/>
  <w16cex:commentExtensible w16cex:durableId="555B984A" w16cex:dateUtc="2024-09-09T05:18:00Z"/>
  <w16cex:commentExtensible w16cex:durableId="171383B7" w16cex:dateUtc="2024-09-09T05:21:00Z"/>
  <w16cex:commentExtensible w16cex:durableId="27A6522A" w16cex:dateUtc="2024-09-09T06:04:00Z"/>
  <w16cex:commentExtensible w16cex:durableId="777A3253" w16cex:dateUtc="2024-09-09T06:12:00Z"/>
  <w16cex:commentExtensible w16cex:durableId="7088A9C1" w16cex:dateUtc="2024-09-09T06:16:00Z"/>
  <w16cex:commentExtensible w16cex:durableId="6C667197" w16cex:dateUtc="2024-09-09T06:17:00Z"/>
  <w16cex:commentExtensible w16cex:durableId="2BF0A6E0" w16cex:dateUtc="2024-09-09T08:05:00Z"/>
  <w16cex:commentExtensible w16cex:durableId="5F1896AD" w16cex:dateUtc="2024-09-09T08:08:00Z"/>
  <w16cex:commentExtensible w16cex:durableId="059C328D" w16cex:dateUtc="2024-09-09T0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9279A9" w16cid:durableId="11F600EF"/>
  <w16cid:commentId w16cid:paraId="02ADBDF6" w16cid:durableId="25542A7B"/>
  <w16cid:commentId w16cid:paraId="7C76AD02" w16cid:durableId="1395AAB2"/>
  <w16cid:commentId w16cid:paraId="0F6F02BE" w16cid:durableId="4EAD50C7"/>
  <w16cid:commentId w16cid:paraId="38500B54" w16cid:durableId="1EB85C91"/>
  <w16cid:commentId w16cid:paraId="618D136C" w16cid:durableId="4A55068E"/>
  <w16cid:commentId w16cid:paraId="7620C21C" w16cid:durableId="20C84A34"/>
  <w16cid:commentId w16cid:paraId="7D25FEB0" w16cid:durableId="5FC687FC"/>
  <w16cid:commentId w16cid:paraId="29C464BD" w16cid:durableId="6A08CAFB"/>
  <w16cid:commentId w16cid:paraId="0E8BF95D" w16cid:durableId="2E4F52B0"/>
  <w16cid:commentId w16cid:paraId="07AD9EFE" w16cid:durableId="1EC95523"/>
  <w16cid:commentId w16cid:paraId="3EEA4980" w16cid:durableId="511205C0"/>
  <w16cid:commentId w16cid:paraId="7FD73C3F" w16cid:durableId="690264F7"/>
  <w16cid:commentId w16cid:paraId="357779E3" w16cid:durableId="4853E27E"/>
  <w16cid:commentId w16cid:paraId="73238466" w16cid:durableId="5AD09821"/>
  <w16cid:commentId w16cid:paraId="0AEFCD03" w16cid:durableId="6ED33126"/>
  <w16cid:commentId w16cid:paraId="133F2A21" w16cid:durableId="3DF57380"/>
  <w16cid:commentId w16cid:paraId="2EB109BE" w16cid:durableId="6787274A"/>
  <w16cid:commentId w16cid:paraId="1B90A2FA" w16cid:durableId="292B299A"/>
  <w16cid:commentId w16cid:paraId="395653CD" w16cid:durableId="0437BFBC"/>
  <w16cid:commentId w16cid:paraId="3B1108F0" w16cid:durableId="0A1AE0C7"/>
  <w16cid:commentId w16cid:paraId="7F99041B" w16cid:durableId="1626C527"/>
  <w16cid:commentId w16cid:paraId="5787B924" w16cid:durableId="0DC73CB2"/>
  <w16cid:commentId w16cid:paraId="56ADBC98" w16cid:durableId="0CC1BFD9"/>
  <w16cid:commentId w16cid:paraId="2D60F6AA" w16cid:durableId="555B984A"/>
  <w16cid:commentId w16cid:paraId="44B56D0A" w16cid:durableId="171383B7"/>
  <w16cid:commentId w16cid:paraId="372A150D" w16cid:durableId="27A6522A"/>
  <w16cid:commentId w16cid:paraId="24AC1DEF" w16cid:durableId="777A3253"/>
  <w16cid:commentId w16cid:paraId="36D89061" w16cid:durableId="7088A9C1"/>
  <w16cid:commentId w16cid:paraId="72272500" w16cid:durableId="6C667197"/>
  <w16cid:commentId w16cid:paraId="14AA6109" w16cid:durableId="2BF0A6E0"/>
  <w16cid:commentId w16cid:paraId="1DC65DE0" w16cid:durableId="5F1896AD"/>
  <w16cid:commentId w16cid:paraId="604D58F7" w16cid:durableId="059C32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456347" w14:textId="77777777" w:rsidR="006031B5" w:rsidRDefault="006031B5">
      <w:pPr>
        <w:spacing w:after="0"/>
      </w:pPr>
      <w:r>
        <w:separator/>
      </w:r>
    </w:p>
  </w:endnote>
  <w:endnote w:type="continuationSeparator" w:id="0">
    <w:p w14:paraId="7C923B51" w14:textId="77777777" w:rsidR="006031B5" w:rsidRDefault="006031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E376E" w14:textId="77777777" w:rsidR="006031B5" w:rsidRDefault="006031B5">
      <w:r>
        <w:separator/>
      </w:r>
    </w:p>
  </w:footnote>
  <w:footnote w:type="continuationSeparator" w:id="0">
    <w:p w14:paraId="23ACE5BB" w14:textId="77777777" w:rsidR="006031B5" w:rsidRDefault="00603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165748885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melia Peardon">
    <w15:presenceInfo w15:providerId="AD" w15:userId="S::u7311071@anu.edu.au::5f959336-5d8f-497a-8b4f-dbede2d641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20"/>
    <w:rsid w:val="000170E9"/>
    <w:rsid w:val="00076012"/>
    <w:rsid w:val="00123BBF"/>
    <w:rsid w:val="00184809"/>
    <w:rsid w:val="001A0D60"/>
    <w:rsid w:val="001B5407"/>
    <w:rsid w:val="001F5426"/>
    <w:rsid w:val="00200C65"/>
    <w:rsid w:val="00240BEC"/>
    <w:rsid w:val="002751CF"/>
    <w:rsid w:val="002B26AF"/>
    <w:rsid w:val="002D46DD"/>
    <w:rsid w:val="002F5A6B"/>
    <w:rsid w:val="00336EBC"/>
    <w:rsid w:val="00353D2F"/>
    <w:rsid w:val="0035785F"/>
    <w:rsid w:val="00385EC9"/>
    <w:rsid w:val="003A2EEA"/>
    <w:rsid w:val="003E05DC"/>
    <w:rsid w:val="004A29A0"/>
    <w:rsid w:val="004B7EBD"/>
    <w:rsid w:val="004E09BB"/>
    <w:rsid w:val="004E3411"/>
    <w:rsid w:val="004F3748"/>
    <w:rsid w:val="00533D38"/>
    <w:rsid w:val="0055381F"/>
    <w:rsid w:val="005836F9"/>
    <w:rsid w:val="00583EEB"/>
    <w:rsid w:val="0058608D"/>
    <w:rsid w:val="005C7C1A"/>
    <w:rsid w:val="005F4B58"/>
    <w:rsid w:val="006031B5"/>
    <w:rsid w:val="006258A3"/>
    <w:rsid w:val="0063286A"/>
    <w:rsid w:val="00647F54"/>
    <w:rsid w:val="007359C6"/>
    <w:rsid w:val="00746F86"/>
    <w:rsid w:val="007F760D"/>
    <w:rsid w:val="008161A9"/>
    <w:rsid w:val="00823DB9"/>
    <w:rsid w:val="008C2CE6"/>
    <w:rsid w:val="00905235"/>
    <w:rsid w:val="009278D2"/>
    <w:rsid w:val="00996A8E"/>
    <w:rsid w:val="009A04D4"/>
    <w:rsid w:val="009A68C8"/>
    <w:rsid w:val="009C044E"/>
    <w:rsid w:val="009C4C78"/>
    <w:rsid w:val="009E1B49"/>
    <w:rsid w:val="00B22592"/>
    <w:rsid w:val="00BF1BF1"/>
    <w:rsid w:val="00C66620"/>
    <w:rsid w:val="00C84D9B"/>
    <w:rsid w:val="00CA0936"/>
    <w:rsid w:val="00CA1BD9"/>
    <w:rsid w:val="00CC2CB4"/>
    <w:rsid w:val="00CE6717"/>
    <w:rsid w:val="00D06C5E"/>
    <w:rsid w:val="00D10D64"/>
    <w:rsid w:val="00DD0A35"/>
    <w:rsid w:val="00E15C7C"/>
    <w:rsid w:val="00E9082C"/>
    <w:rsid w:val="00EA3D6A"/>
    <w:rsid w:val="00F033C6"/>
    <w:rsid w:val="00F15F5F"/>
    <w:rsid w:val="00F508DE"/>
    <w:rsid w:val="00F621F9"/>
    <w:rsid w:val="00FB3AFB"/>
    <w:rsid w:val="00FB4AC9"/>
    <w:rsid w:val="00FE27E2"/>
  </w:rsids>
  <m:mathPr>
    <m:mathFont m:val="Cambria Math"/>
    <m:brkBin m:val="before"/>
    <m:brkBinSub m:val="--"/>
    <m:smallFrac m:val="0"/>
    <m:dispDef/>
    <m:lMargin m:val="0"/>
    <m:rMargin m:val="0"/>
    <m:defJc m:val="centerGroup"/>
    <m:wrapRight/>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2F6AF"/>
  <w15:docId w15:val="{150F1051-38E6-3F44-9F8A-59BF8A1B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956185"/>
    <w:rPr>
      <w:rFonts w:ascii="Times New Roman" w:hAnsi="Times New Roman"/>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956185"/>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 w:type="paragraph" w:styleId="Revision">
    <w:name w:val="Revision"/>
    <w:hidden/>
    <w:semiHidden/>
    <w:rsid w:val="002F5A6B"/>
    <w:pPr>
      <w:spacing w:after="0"/>
    </w:pPr>
  </w:style>
  <w:style w:type="character" w:styleId="CommentReference">
    <w:name w:val="annotation reference"/>
    <w:basedOn w:val="DefaultParagraphFont"/>
    <w:semiHidden/>
    <w:unhideWhenUsed/>
    <w:rsid w:val="004E09BB"/>
    <w:rPr>
      <w:sz w:val="16"/>
      <w:szCs w:val="16"/>
    </w:rPr>
  </w:style>
  <w:style w:type="paragraph" w:styleId="CommentText">
    <w:name w:val="annotation text"/>
    <w:basedOn w:val="Normal"/>
    <w:link w:val="CommentTextChar"/>
    <w:unhideWhenUsed/>
    <w:rsid w:val="004E09BB"/>
    <w:rPr>
      <w:sz w:val="20"/>
      <w:szCs w:val="20"/>
    </w:rPr>
  </w:style>
  <w:style w:type="character" w:customStyle="1" w:styleId="CommentTextChar">
    <w:name w:val="Comment Text Char"/>
    <w:basedOn w:val="DefaultParagraphFont"/>
    <w:link w:val="CommentText"/>
    <w:rsid w:val="004E09BB"/>
    <w:rPr>
      <w:sz w:val="20"/>
      <w:szCs w:val="20"/>
    </w:rPr>
  </w:style>
  <w:style w:type="paragraph" w:styleId="CommentSubject">
    <w:name w:val="annotation subject"/>
    <w:basedOn w:val="CommentText"/>
    <w:next w:val="CommentText"/>
    <w:link w:val="CommentSubjectChar"/>
    <w:semiHidden/>
    <w:unhideWhenUsed/>
    <w:rsid w:val="004E09BB"/>
    <w:rPr>
      <w:b/>
      <w:bCs/>
    </w:rPr>
  </w:style>
  <w:style w:type="character" w:customStyle="1" w:styleId="CommentSubjectChar">
    <w:name w:val="Comment Subject Char"/>
    <w:basedOn w:val="CommentTextChar"/>
    <w:link w:val="CommentSubject"/>
    <w:semiHidden/>
    <w:rsid w:val="004E09BB"/>
    <w:rPr>
      <w:b/>
      <w:bCs/>
      <w:sz w:val="20"/>
      <w:szCs w:val="20"/>
    </w:rPr>
  </w:style>
  <w:style w:type="paragraph" w:styleId="Header">
    <w:name w:val="header"/>
    <w:basedOn w:val="Normal"/>
    <w:link w:val="HeaderChar"/>
    <w:unhideWhenUsed/>
    <w:rsid w:val="00E15C7C"/>
    <w:pPr>
      <w:tabs>
        <w:tab w:val="center" w:pos="4513"/>
        <w:tab w:val="right" w:pos="9026"/>
      </w:tabs>
      <w:spacing w:after="0"/>
    </w:pPr>
  </w:style>
  <w:style w:type="character" w:customStyle="1" w:styleId="HeaderChar">
    <w:name w:val="Header Char"/>
    <w:basedOn w:val="DefaultParagraphFont"/>
    <w:link w:val="Header"/>
    <w:rsid w:val="00E15C7C"/>
  </w:style>
  <w:style w:type="paragraph" w:styleId="Footer">
    <w:name w:val="footer"/>
    <w:basedOn w:val="Normal"/>
    <w:link w:val="FooterChar"/>
    <w:unhideWhenUsed/>
    <w:rsid w:val="00E15C7C"/>
    <w:pPr>
      <w:tabs>
        <w:tab w:val="center" w:pos="4513"/>
        <w:tab w:val="right" w:pos="9026"/>
      </w:tabs>
      <w:spacing w:after="0"/>
    </w:pPr>
  </w:style>
  <w:style w:type="character" w:customStyle="1" w:styleId="FooterChar">
    <w:name w:val="Footer Char"/>
    <w:basedOn w:val="DefaultParagraphFont"/>
    <w:link w:val="Footer"/>
    <w:rsid w:val="00E15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9256802">
      <w:bodyDiv w:val="1"/>
      <w:marLeft w:val="0"/>
      <w:marRight w:val="0"/>
      <w:marTop w:val="0"/>
      <w:marBottom w:val="0"/>
      <w:divBdr>
        <w:top w:val="none" w:sz="0" w:space="0" w:color="auto"/>
        <w:left w:val="none" w:sz="0" w:space="0" w:color="auto"/>
        <w:bottom w:val="none" w:sz="0" w:space="0" w:color="auto"/>
        <w:right w:val="none" w:sz="0" w:space="0" w:color="auto"/>
      </w:divBdr>
      <w:divsChild>
        <w:div w:id="169416840">
          <w:marLeft w:val="0"/>
          <w:marRight w:val="0"/>
          <w:marTop w:val="0"/>
          <w:marBottom w:val="0"/>
          <w:divBdr>
            <w:top w:val="none" w:sz="0" w:space="0" w:color="auto"/>
            <w:left w:val="none" w:sz="0" w:space="0" w:color="auto"/>
            <w:bottom w:val="none" w:sz="0" w:space="0" w:color="auto"/>
            <w:right w:val="none" w:sz="0" w:space="0" w:color="auto"/>
          </w:divBdr>
          <w:divsChild>
            <w:div w:id="196754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664">
      <w:bodyDiv w:val="1"/>
      <w:marLeft w:val="0"/>
      <w:marRight w:val="0"/>
      <w:marTop w:val="0"/>
      <w:marBottom w:val="0"/>
      <w:divBdr>
        <w:top w:val="none" w:sz="0" w:space="0" w:color="auto"/>
        <w:left w:val="none" w:sz="0" w:space="0" w:color="auto"/>
        <w:bottom w:val="none" w:sz="0" w:space="0" w:color="auto"/>
        <w:right w:val="none" w:sz="0" w:space="0" w:color="auto"/>
      </w:divBdr>
      <w:divsChild>
        <w:div w:id="2059207769">
          <w:marLeft w:val="0"/>
          <w:marRight w:val="0"/>
          <w:marTop w:val="0"/>
          <w:marBottom w:val="0"/>
          <w:divBdr>
            <w:top w:val="none" w:sz="0" w:space="0" w:color="auto"/>
            <w:left w:val="none" w:sz="0" w:space="0" w:color="auto"/>
            <w:bottom w:val="none" w:sz="0" w:space="0" w:color="auto"/>
            <w:right w:val="none" w:sz="0" w:space="0" w:color="auto"/>
          </w:divBdr>
          <w:divsChild>
            <w:div w:id="178796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007/s10071-013-0665-4" TargetMode="External"/><Relationship Id="rId26" Type="http://schemas.openxmlformats.org/officeDocument/2006/relationships/hyperlink" Target="https://doi.org/10.1007/s00265-013-1639-x" TargetMode="External"/><Relationship Id="rId39" Type="http://schemas.openxmlformats.org/officeDocument/2006/relationships/hyperlink" Target="https://doi.org/10.1016/0166-4328(94)90100-7" TargetMode="External"/><Relationship Id="rId21" Type="http://schemas.openxmlformats.org/officeDocument/2006/relationships/hyperlink" Target="https://doi.org/10.1016/j.tree.2021.04.009" TargetMode="External"/><Relationship Id="rId34" Type="http://schemas.openxmlformats.org/officeDocument/2006/relationships/hyperlink" Target="https://doi.org/10.1098/rsbl.2011.0480"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5281/zenodo.5960048" TargetMode="External"/><Relationship Id="rId29" Type="http://schemas.openxmlformats.org/officeDocument/2006/relationships/hyperlink" Target="https://doi.org/10.1016/j.anbehav.2014.02.017" TargetMode="External"/><Relationship Id="rId11" Type="http://schemas.openxmlformats.org/officeDocument/2006/relationships/image" Target="media/image1.png"/><Relationship Id="rId24" Type="http://schemas.openxmlformats.org/officeDocument/2006/relationships/hyperlink" Target="https://doi.org/10.1071/ZO14098" TargetMode="External"/><Relationship Id="rId32" Type="http://schemas.openxmlformats.org/officeDocument/2006/relationships/hyperlink" Target="https://doi.org/10.1146/annurev.ecolsys.35.112202.130152" TargetMode="External"/><Relationship Id="rId37" Type="http://schemas.openxmlformats.org/officeDocument/2006/relationships/hyperlink" Target="https://doi.org/10.1098/rsbl.2014.0430" TargetMode="External"/><Relationship Id="rId40" Type="http://schemas.openxmlformats.org/officeDocument/2006/relationships/hyperlink" Target="https://doi.org/10.1002/jnr.20338"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doi.org/10.1098/rsbl.2011.1161"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github.com/Pablo-Recio/CORT_Temp_learning" TargetMode="External"/><Relationship Id="rId22" Type="http://schemas.openxmlformats.org/officeDocument/2006/relationships/hyperlink" Target="https://doi.org/10.1016/j.tree.2013.02.004" TargetMode="External"/><Relationship Id="rId27" Type="http://schemas.openxmlformats.org/officeDocument/2006/relationships/hyperlink" Target="https://doi.org/10.1002/(SICI)1096-9861(19970414)380:3%3c409::AID-CNE9%3e3.0.CO;2-6" TargetMode="External"/><Relationship Id="rId30" Type="http://schemas.openxmlformats.org/officeDocument/2006/relationships/hyperlink" Target="https://doi.org/10.1098/rsbl.2017.0002" TargetMode="External"/><Relationship Id="rId35" Type="http://schemas.openxmlformats.org/officeDocument/2006/relationships/hyperlink" Target="https://doi.org/10.1073/pnas.97.20.11032"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007/s10071-016-0993-2" TargetMode="External"/><Relationship Id="rId25" Type="http://schemas.openxmlformats.org/officeDocument/2006/relationships/hyperlink" Target="https://doi.org/10.1002/ece3.22" TargetMode="External"/><Relationship Id="rId33" Type="http://schemas.openxmlformats.org/officeDocument/2006/relationships/hyperlink" Target="https://doi.org/10.1016/j.anbehav.2015.01.018" TargetMode="External"/><Relationship Id="rId38" Type="http://schemas.openxmlformats.org/officeDocument/2006/relationships/hyperlink" Target="https://doi.org/10.1111/brv.12333" TargetMode="External"/><Relationship Id="rId46" Type="http://schemas.openxmlformats.org/officeDocument/2006/relationships/image" Target="media/image9.png"/><Relationship Id="rId20" Type="http://schemas.openxmlformats.org/officeDocument/2006/relationships/hyperlink" Target="https://doi.org/10.1016/j.anbehav.2015.10.027" TargetMode="External"/><Relationship Id="rId41" Type="http://schemas.openxmlformats.org/officeDocument/2006/relationships/image" Target="media/image4.png"/><Relationship Id="rId54"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07/s10071-020-01365-4" TargetMode="External"/><Relationship Id="rId23" Type="http://schemas.openxmlformats.org/officeDocument/2006/relationships/hyperlink" Target="https://doi.org/10.1098/rspb.2013.3275" TargetMode="External"/><Relationship Id="rId28" Type="http://schemas.openxmlformats.org/officeDocument/2006/relationships/hyperlink" Target="https://doi.org/10.1016/j.ygcen.2013.10.006" TargetMode="External"/><Relationship Id="rId36" Type="http://schemas.openxmlformats.org/officeDocument/2006/relationships/hyperlink" Target="https://doi.org/10.1073/pnas.1121254109" TargetMode="External"/><Relationship Id="rId49" Type="http://schemas.openxmlformats.org/officeDocument/2006/relationships/image" Target="media/image12.png"/><Relationship Id="rId57" Type="http://schemas.microsoft.com/office/2011/relationships/people" Target="people.xml"/><Relationship Id="rId10" Type="http://schemas.microsoft.com/office/2018/08/relationships/commentsExtensible" Target="commentsExtensible.xml"/><Relationship Id="rId31" Type="http://schemas.openxmlformats.org/officeDocument/2006/relationships/hyperlink" Target="https://doi.org/10.1073/pnas.0812671106" TargetMode="External"/><Relationship Id="rId44" Type="http://schemas.openxmlformats.org/officeDocument/2006/relationships/image" Target="media/image7.png"/><Relationship Id="rId5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49</Pages>
  <Words>9245</Words>
  <Characters>52697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Early environmental conditions do not impact associative learning in two species of skink</vt:lpstr>
    </vt:vector>
  </TitlesOfParts>
  <Company/>
  <LinksUpToDate>false</LinksUpToDate>
  <CharactersWithSpaces>61819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associative learning in two species of skink</dc:title>
  <dc:creator/>
  <cp:keywords/>
  <cp:lastModifiedBy>Amelia Peardon</cp:lastModifiedBy>
  <cp:revision>43</cp:revision>
  <dcterms:created xsi:type="dcterms:W3CDTF">2024-08-30T07:27:00Z</dcterms:created>
  <dcterms:modified xsi:type="dcterms:W3CDTF">2024-09-10T01:31:00Z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./bib/animal-cognition.csl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