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rPr>
          <w:rFonts w:ascii="Arial" w:cs="Arial" w:eastAsia="Arial" w:hAnsi="Arial"/>
          <w:b/>
          <w:bCs/>
          <w:color w:val="1F4E79"/>
          <w:sz w:val="36"/>
          <w:szCs w:val="36"/>
        </w:rPr>
        <w:t xml:space="preserve">6. Validation, métriques et tests</w:t>
      </w:r>
    </w:p>
    <w:p>
      <w:pPr>
        <w:spacing w:after="100" w:before="80"/>
        <w:jc w:val="both"/>
      </w:pPr>
      <w:r>
        <w:rPr>
          <w:rFonts w:ascii="Arial" w:cs="Arial" w:eastAsia="Arial" w:hAnsi="Arial"/>
          <w:sz w:val="22"/>
          <w:szCs w:val="22"/>
        </w:rPr>
        <w:t xml:space="preserve">Cette section constitue la démonstration formelle que l'instance de démonstration Painting Business Core satisfait, point par point, aux exigences du cahier des charges et aux contrats d'interface de l'architecture BCaaS. Dans le contexte particulier d'une application sans backend physique, la stratégie de validation vise un double objectif : certifier la robustesse de l'interface utilisateur Next.js 14, et attester que la simulation des cinq couches protocolaires BCaaS est rigoureuse, traçable et prête à être substituée par une infrastructure de production.</w:t>
      </w:r>
    </w:p>
    <w:p>
      <w:pPr>
        <w:spacing w:after="60" w:before="60"/>
      </w:pPr>
      <w:r>
        <w:t xml:space="preserve"/>
      </w:r>
    </w:p>
    <w:p>
      <w:pPr>
        <w:pBdr>
          <w:bottom w:val="single" w:color="D0D0D0" w:sz="4"/>
        </w:pBdr>
        <w:spacing w:after="120" w:before="120"/>
      </w:pPr>
      <w:r>
        <w:t xml:space="preserve"/>
      </w:r>
    </w:p>
    <w:p>
      <w:pPr>
        <w:spacing w:after="60" w:before="60"/>
      </w:pPr>
      <w:r>
        <w:t xml:space="preserve"/>
      </w:r>
    </w:p>
    <w:p>
      <w:pPr>
        <w:pStyle w:val="Heading2"/>
        <w:spacing w:after="140" w:before="300"/>
      </w:pPr>
      <w:r>
        <w:rPr>
          <w:rFonts w:ascii="Arial" w:cs="Arial" w:eastAsia="Arial" w:hAnsi="Arial"/>
          <w:b/>
          <w:bCs/>
          <w:color w:val="2E75B6"/>
          <w:sz w:val="28"/>
          <w:szCs w:val="28"/>
        </w:rPr>
        <w:t xml:space="preserve">6.1 Stratégie de tests unitaires et d'intégration</w:t>
      </w:r>
    </w:p>
    <w:p>
      <w:pPr>
        <w:pStyle w:val="Heading3"/>
        <w:spacing w:after="100" w:before="220"/>
      </w:pPr>
      <w:r>
        <w:rPr>
          <w:rFonts w:ascii="Arial" w:cs="Arial" w:eastAsia="Arial" w:hAnsi="Arial"/>
          <w:b/>
          <w:bCs/>
          <w:color w:val="2E75B6"/>
          <w:sz w:val="24"/>
          <w:szCs w:val="24"/>
        </w:rPr>
        <w:t xml:space="preserve">6.1.1 Philosophie et niveaux de validation</w:t>
      </w:r>
    </w:p>
    <w:p>
      <w:pPr>
        <w:spacing w:after="100" w:before="80"/>
        <w:jc w:val="both"/>
      </w:pPr>
      <w:r>
        <w:rPr>
          <w:rFonts w:ascii="Arial" w:cs="Arial" w:eastAsia="Arial" w:hAnsi="Arial"/>
          <w:sz w:val="22"/>
          <w:szCs w:val="22"/>
        </w:rPr>
        <w:t xml:space="preserve">La pyramide de tests adoptée pour ce projet s'articule autour de trois niveaux complémentaires, chacun ciblant une couche précise de la pile protocolaire BCaaS :</w:t>
      </w:r>
    </w:p>
    <w:p>
      <w:pPr>
        <w:pStyle w:val="ListParagraph"/>
        <w:numPr>
          <w:ilvl w:val="0"/>
          <w:numId w:val="2"/>
        </w:numPr>
        <w:spacing w:after="60" w:before="60"/>
      </w:pPr>
      <w:r>
        <w:rPr>
          <w:rFonts w:ascii="Arial" w:cs="Arial" w:eastAsia="Arial" w:hAnsi="Arial"/>
          <w:b/>
          <w:bCs/>
          <w:sz w:val="22"/>
          <w:szCs w:val="22"/>
        </w:rPr>
        <w:t xml:space="preserve">Tests unitaires (Couche 5 — Business Capabilities) : </w:t>
      </w:r>
      <w:r>
        <w:rPr>
          <w:rFonts w:ascii="Arial" w:cs="Arial" w:eastAsia="Arial" w:hAnsi="Arial"/>
          <w:sz w:val="22"/>
          <w:szCs w:val="22"/>
        </w:rPr>
        <w:t xml:space="preserve">Chaque composant React est isolé et soumis à des jeux de props couvrant les cas nominaux, les valeurs nulles et les longueurs extrêmes. L'objectif est de valider que la couche de présentation encode correctement le savoir métier (fiches, peintres, roadmaps, catégories).</w:t>
      </w:r>
    </w:p>
    <w:p>
      <w:pPr>
        <w:pStyle w:val="ListParagraph"/>
        <w:numPr>
          <w:ilvl w:val="0"/>
          <w:numId w:val="2"/>
        </w:numPr>
        <w:spacing w:after="60" w:before="60"/>
      </w:pPr>
      <w:r>
        <w:rPr>
          <w:rFonts w:ascii="Arial" w:cs="Arial" w:eastAsia="Arial" w:hAnsi="Arial"/>
          <w:b/>
          <w:bCs/>
          <w:sz w:val="22"/>
          <w:szCs w:val="22"/>
        </w:rPr>
        <w:t xml:space="preserve">Tests d'intégration asynchrones (Couches 2, 3 et 4) : </w:t>
      </w:r>
      <w:r>
        <w:rPr>
          <w:rFonts w:ascii="Arial" w:cs="Arial" w:eastAsia="Arial" w:hAnsi="Arial"/>
          <w:sz w:val="22"/>
          <w:szCs w:val="22"/>
        </w:rPr>
        <w:t xml:space="preserve">Les flux de bout en bout éprouvent la chaîne complète : déclenchement UI → appel lib/api.ts → encapsulation du paquet métier → injection des en-têtes contextuels (actor_id, role_scope, trace_id, X-Tenant-Id) → retour simulé avec latence réseau.</w:t>
      </w:r>
    </w:p>
    <w:p>
      <w:pPr>
        <w:pStyle w:val="ListParagraph"/>
        <w:numPr>
          <w:ilvl w:val="0"/>
          <w:numId w:val="2"/>
        </w:numPr>
        <w:spacing w:after="60" w:before="60"/>
      </w:pPr>
      <w:r>
        <w:rPr>
          <w:rFonts w:ascii="Arial" w:cs="Arial" w:eastAsia="Arial" w:hAnsi="Arial"/>
          <w:b/>
          <w:bCs/>
          <w:sz w:val="22"/>
          <w:szCs w:val="22"/>
        </w:rPr>
        <w:t xml:space="preserve">Tests de performance et de conformité PWA (Couche 1 — Infrastructure) : </w:t>
      </w:r>
      <w:r>
        <w:rPr>
          <w:rFonts w:ascii="Arial" w:cs="Arial" w:eastAsia="Arial" w:hAnsi="Arial"/>
          <w:sz w:val="22"/>
          <w:szCs w:val="22"/>
        </w:rPr>
        <w:t xml:space="preserve">Les audits Google Lighthouse mesurent les indicateurs critiques imposés par le CDC : LCP, score Performance et score PWA. Ces tests valident les capacités d'infrastructure simulées de l'instance démo.</w:t>
      </w:r>
    </w:p>
    <w:p>
      <w:pPr>
        <w:spacing w:after="60" w:before="60"/>
      </w:pPr>
      <w:r>
        <w:t xml:space="preserve"/>
      </w:r>
    </w:p>
    <w:p>
      <w:pPr>
        <w:spacing w:after="100" w:before="80"/>
        <w:jc w:val="both"/>
      </w:pPr>
      <w:r>
        <w:rPr>
          <w:rFonts w:ascii="Arial" w:cs="Arial" w:eastAsia="Arial" w:hAnsi="Arial"/>
          <w:sz w:val="22"/>
          <w:szCs w:val="22"/>
        </w:rPr>
        <w:t xml:space="preserve">Un point méthodologique central : étant donné l'absence de serveur physique (Spring Boot, PostgreSQL, Redis, MinIO), la validation de la Couche 1 repose sur les optimisations natives de Next.js 14 (SSG, composant &lt;Image /&gt;, code splitting) plutôt que sur des mesures de base de données ou de cache Redis. Les résultats obtenus constituent néanmoins une preuve sérieuse de la viabilité de l'architecture cible.</w:t>
      </w:r>
    </w:p>
    <w:p>
      <w:pPr>
        <w:spacing w:after="60" w:before="60"/>
      </w:pPr>
      <w:r>
        <w:t xml:space="preserve"/>
      </w:r>
    </w:p>
    <w:p>
      <w:pPr>
        <w:pStyle w:val="Heading3"/>
        <w:spacing w:after="100" w:before="220"/>
      </w:pPr>
      <w:r>
        <w:rPr>
          <w:rFonts w:ascii="Arial" w:cs="Arial" w:eastAsia="Arial" w:hAnsi="Arial"/>
          <w:b/>
          <w:bCs/>
          <w:color w:val="2E75B6"/>
          <w:sz w:val="24"/>
          <w:szCs w:val="24"/>
        </w:rPr>
        <w:t xml:space="preserve">6.1.2 Tests unitaires des composants UI (Couche 5 — Business Capabilities)</w:t>
      </w:r>
    </w:p>
    <w:p>
      <w:pPr>
        <w:spacing w:after="100" w:before="80"/>
        <w:jc w:val="both"/>
      </w:pPr>
      <w:r>
        <w:rPr>
          <w:rFonts w:ascii="Arial" w:cs="Arial" w:eastAsia="Arial" w:hAnsi="Arial"/>
          <w:sz w:val="22"/>
          <w:szCs w:val="22"/>
        </w:rPr>
        <w:t xml:space="preserve">Le tableau ci-dessous consigne les tests unitaires menés composant par composant. Chaque test cible un scénario fonctionnel précis, en lien direct avec les besoins fonctionnels BF-01 à BF-08 définis dans le cahier des charges.</w:t>
      </w:r>
    </w:p>
    <w:p>
      <w:pPr>
        <w:spacing w:after="60" w:before="6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260"/>
        <w:gridCol w:w="1980"/>
        <w:gridCol w:w="1800"/>
        <w:gridCol w:w="2160"/>
        <w:gridCol w:w="900"/>
      </w:tblGrid>
      <w:tr>
        <w:trPr>
          <w:tblHeader/>
        </w:trPr>
        <w:tc>
          <w:tcPr>
            <w:tcW w:type="dxa" w:w="126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Composant</w:t>
            </w:r>
          </w:p>
        </w:tc>
        <w:tc>
          <w:tcPr>
            <w:tcW w:type="dxa" w:w="198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Scénario testé</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Props / Conditions</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Résultat attendu</w:t>
            </w:r>
          </w:p>
        </w:tc>
        <w:tc>
          <w:tcPr>
            <w:tcW w:type="dxa" w:w="90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Statut</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000000"/>
                <w:sz w:val="18"/>
                <w:szCs w:val="18"/>
              </w:rPr>
              <w:t xml:space="preserve">&lt;FicheCard /&gt;</w:t>
            </w:r>
          </w:p>
        </w:tc>
        <w:tc>
          <w:tcPr>
            <w:tcW w:type="dxa" w:w="19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Rendu nominal complet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titre, catégorie, auteur, tags, mediaUrls renseignés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Affichage intégral des champs, aucune déformation sur mobile et desktop</w:t>
            </w:r>
          </w:p>
        </w:tc>
        <w:tc>
          <w:tcPr>
            <w:tcW w:type="dxa" w:w="9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tcPr>
          <w:p>
            <w:pPr>
              <w:jc w:val="center"/>
            </w:pPr>
            <w:r>
              <w:rPr>
                <w:rFonts w:ascii="Arial" w:cs="Arial" w:eastAsia="Arial" w:hAnsi="Arial"/>
                <w:b/>
                <w:bCs/>
                <w:color w:val="375623"/>
                <w:sz w:val="18"/>
                <w:szCs w:val="18"/>
              </w:rPr>
              <w:t xml:space="preserve">CONFORME</w:t>
            </w:r>
          </w:p>
        </w:tc>
      </w:tr>
      <w:tr>
        <w:tc>
          <w:tcPr>
            <w:tcW w:type="dxa" w:w="126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bCs/>
                <w:color w:val="000000"/>
                <w:sz w:val="18"/>
                <w:szCs w:val="18"/>
              </w:rPr>
              <w:t xml:space="preserve">&lt;FicheCard /&gt;</w:t>
            </w:r>
          </w:p>
        </w:tc>
        <w:tc>
          <w:tcPr>
            <w:tcW w:type="dxa" w:w="198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Fallback sur props nulles</w:t>
            </w:r>
          </w:p>
        </w:tc>
        <w:tc>
          <w:tcPr>
            <w:tcW w:type="dxa" w:w="18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auteur = null, tags = [], mediaUrls = []</w:t>
            </w:r>
          </w:p>
        </w:tc>
        <w:tc>
          <w:tcPr>
            <w:tcW w:type="dxa" w:w="216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Affichage d'un placeholder générique, zéro erreur console</w:t>
            </w:r>
          </w:p>
        </w:tc>
        <w:tc>
          <w:tcPr>
            <w:tcW w:type="dxa" w:w="9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tcPr>
          <w:p>
            <w:pPr>
              <w:jc w:val="center"/>
            </w:pPr>
            <w:r>
              <w:rPr>
                <w:rFonts w:ascii="Arial" w:cs="Arial" w:eastAsia="Arial" w:hAnsi="Arial"/>
                <w:b/>
                <w:bCs/>
                <w:color w:val="375623"/>
                <w:sz w:val="18"/>
                <w:szCs w:val="18"/>
              </w:rPr>
              <w:t xml:space="preserve">CONFORME</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000000"/>
                <w:sz w:val="18"/>
                <w:szCs w:val="18"/>
              </w:rPr>
              <w:t xml:space="preserve">&lt;SearchBar /&gt;</w:t>
            </w:r>
          </w:p>
        </w:tc>
        <w:tc>
          <w:tcPr>
            <w:tcW w:type="dxa" w:w="19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Debouncing clavier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saisie rapide de 6 caractères en 200ms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Déclenchement unique de la recherche après 300ms d'inactivité</w:t>
            </w:r>
          </w:p>
        </w:tc>
        <w:tc>
          <w:tcPr>
            <w:tcW w:type="dxa" w:w="9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tcPr>
          <w:p>
            <w:pPr>
              <w:jc w:val="center"/>
            </w:pPr>
            <w:r>
              <w:rPr>
                <w:rFonts w:ascii="Arial" w:cs="Arial" w:eastAsia="Arial" w:hAnsi="Arial"/>
                <w:b/>
                <w:bCs/>
                <w:color w:val="375623"/>
                <w:sz w:val="18"/>
                <w:szCs w:val="18"/>
              </w:rPr>
              <w:t xml:space="preserve">CONFORME</w:t>
            </w:r>
          </w:p>
        </w:tc>
      </w:tr>
      <w:tr>
        <w:tc>
          <w:tcPr>
            <w:tcW w:type="dxa" w:w="126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bCs/>
                <w:color w:val="000000"/>
                <w:sz w:val="18"/>
                <w:szCs w:val="18"/>
              </w:rPr>
              <w:t xml:space="preserve">&lt;MapView /&gt;</w:t>
            </w:r>
          </w:p>
        </w:tc>
        <w:tc>
          <w:tcPr>
            <w:tcW w:type="dxa" w:w="198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Import dynamique SSR</w:t>
            </w:r>
          </w:p>
        </w:tc>
        <w:tc>
          <w:tcPr>
            <w:tcW w:type="dxa" w:w="18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Rendu côté serveur Next.js 14 (App Router)</w:t>
            </w:r>
          </w:p>
        </w:tc>
        <w:tc>
          <w:tcPr>
            <w:tcW w:type="dxa" w:w="216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Absence d'erreur 'window is not defined', carte affichée côté client</w:t>
            </w:r>
          </w:p>
        </w:tc>
        <w:tc>
          <w:tcPr>
            <w:tcW w:type="dxa" w:w="9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tcPr>
          <w:p>
            <w:pPr>
              <w:jc w:val="center"/>
            </w:pPr>
            <w:r>
              <w:rPr>
                <w:rFonts w:ascii="Arial" w:cs="Arial" w:eastAsia="Arial" w:hAnsi="Arial"/>
                <w:b/>
                <w:bCs/>
                <w:color w:val="375623"/>
                <w:sz w:val="18"/>
                <w:szCs w:val="18"/>
              </w:rPr>
              <w:t xml:space="preserve">CONFORME</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000000"/>
                <w:sz w:val="18"/>
                <w:szCs w:val="18"/>
              </w:rPr>
              <w:t xml:space="preserve">&lt;MapView /&gt;</w:t>
            </w:r>
          </w:p>
        </w:tc>
        <w:tc>
          <w:tcPr>
            <w:tcW w:type="dxa" w:w="19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Affichage marqueurs Leaflet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latitude / longitude mockées de 12 peintres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12 marqueurs positionnés correctement sur la carte OpenStreetMap</w:t>
            </w:r>
          </w:p>
        </w:tc>
        <w:tc>
          <w:tcPr>
            <w:tcW w:type="dxa" w:w="9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tcPr>
          <w:p>
            <w:pPr>
              <w:jc w:val="center"/>
            </w:pPr>
            <w:r>
              <w:rPr>
                <w:rFonts w:ascii="Arial" w:cs="Arial" w:eastAsia="Arial" w:hAnsi="Arial"/>
                <w:b/>
                <w:bCs/>
                <w:color w:val="375623"/>
                <w:sz w:val="18"/>
                <w:szCs w:val="18"/>
              </w:rPr>
              <w:t xml:space="preserve">CONFORME</w:t>
            </w:r>
          </w:p>
        </w:tc>
      </w:tr>
      <w:tr>
        <w:tc>
          <w:tcPr>
            <w:tcW w:type="dxa" w:w="126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bCs/>
                <w:color w:val="000000"/>
                <w:sz w:val="18"/>
                <w:szCs w:val="18"/>
              </w:rPr>
              <w:t xml:space="preserve">&lt;BCaaSHeader /&gt;</w:t>
            </w:r>
          </w:p>
        </w:tc>
        <w:tc>
          <w:tcPr>
            <w:tcW w:type="dxa" w:w="198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Injection en-têtes contextuels</w:t>
            </w:r>
          </w:p>
        </w:tc>
        <w:tc>
          <w:tcPr>
            <w:tcW w:type="dxa" w:w="18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Appel de lib/api.ts — getFiches()</w:t>
            </w:r>
          </w:p>
        </w:tc>
        <w:tc>
          <w:tcPr>
            <w:tcW w:type="dxa" w:w="216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Présence des champs X-Tenant-Id, actor_id, role_scope, trace_id, locale dans chaque paquet</w:t>
            </w:r>
          </w:p>
        </w:tc>
        <w:tc>
          <w:tcPr>
            <w:tcW w:type="dxa" w:w="9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tcPr>
          <w:p>
            <w:pPr>
              <w:jc w:val="center"/>
            </w:pPr>
            <w:r>
              <w:rPr>
                <w:rFonts w:ascii="Arial" w:cs="Arial" w:eastAsia="Arial" w:hAnsi="Arial"/>
                <w:b/>
                <w:bCs/>
                <w:color w:val="375623"/>
                <w:sz w:val="18"/>
                <w:szCs w:val="18"/>
              </w:rPr>
              <w:t xml:space="preserve">CONFORME</w:t>
            </w:r>
          </w:p>
        </w:tc>
      </w:tr>
    </w:tbl>
    <w:p>
      <w:pPr>
        <w:spacing w:after="180" w:before="60"/>
        <w:jc w:val="center"/>
      </w:pPr>
      <w:r>
        <w:rPr>
          <w:rFonts w:ascii="Arial" w:cs="Arial" w:eastAsia="Arial" w:hAnsi="Arial"/>
          <w:i/>
          <w:iCs/>
          <w:color w:val="595959"/>
          <w:sz w:val="18"/>
          <w:szCs w:val="18"/>
        </w:rPr>
        <w:t xml:space="preserve">Tableau 6.1 — Tests unitaires des composants UI — Couche 5 (Business Capabilities)</w:t>
      </w:r>
    </w:p>
    <w:p>
      <w:pPr>
        <w:spacing w:after="60" w:before="60"/>
      </w:pPr>
      <w:r>
        <w:t xml:space="preserve"/>
      </w:r>
    </w:p>
    <w:p>
      <w:pPr>
        <w:pStyle w:val="Heading3"/>
        <w:spacing w:after="100" w:before="220"/>
      </w:pPr>
      <w:r>
        <w:rPr>
          <w:rFonts w:ascii="Arial" w:cs="Arial" w:eastAsia="Arial" w:hAnsi="Arial"/>
          <w:b/>
          <w:bCs/>
          <w:color w:val="2E75B6"/>
          <w:sz w:val="24"/>
          <w:szCs w:val="24"/>
        </w:rPr>
        <w:t xml:space="preserve">6.1.3 Tests d'intégration — Flux asynchrones BCaaS (Couches 2, 3 et 4)</w:t>
      </w:r>
    </w:p>
    <w:p>
      <w:pPr>
        <w:spacing w:after="100" w:before="80"/>
        <w:jc w:val="both"/>
      </w:pPr>
      <w:r>
        <w:rPr>
          <w:rFonts w:ascii="Arial" w:cs="Arial" w:eastAsia="Arial" w:hAnsi="Arial"/>
          <w:sz w:val="22"/>
          <w:szCs w:val="22"/>
        </w:rPr>
        <w:t xml:space="preserve">Les tests d'intégration valident les scénarios de navigation utilisateur complets, en s'assurant que chaque transaction traverse correctement les couches simulées de la pile BCaaS. L'accent est mis sur l'injection systématique des en-têtes contextuels et sur la résilience de l'interface face à la latence artificielle introduite dans lib/api.ts.</w:t>
      </w:r>
    </w:p>
    <w:p>
      <w:pPr>
        <w:spacing w:after="60" w:before="6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680"/>
        <w:gridCol w:w="1100"/>
        <w:gridCol w:w="2200"/>
        <w:gridCol w:w="1620"/>
        <w:gridCol w:w="1800"/>
        <w:gridCol w:w="900"/>
      </w:tblGrid>
      <w:tr>
        <w:trPr>
          <w:tblHeader/>
        </w:trPr>
        <w:tc>
          <w:tcPr>
            <w:tcW w:type="dxa" w:w="68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ID</w:t>
            </w:r>
          </w:p>
        </w:tc>
        <w:tc>
          <w:tcPr>
            <w:tcW w:type="dxa" w:w="110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Acteur (rôle)</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Scénario de bout en bout</w:t>
            </w:r>
          </w:p>
        </w:tc>
        <w:tc>
          <w:tcPr>
            <w:tcW w:type="dxa" w:w="162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Couches BCaaS traversées</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Résultat constaté</w:t>
            </w:r>
          </w:p>
        </w:tc>
        <w:tc>
          <w:tcPr>
            <w:tcW w:type="dxa" w:w="90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Statut</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bCs/>
                <w:color w:val="000000"/>
                <w:sz w:val="18"/>
                <w:szCs w:val="18"/>
              </w:rPr>
              <w:t xml:space="preserve">SI-01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000000"/>
                <w:sz w:val="18"/>
                <w:szCs w:val="18"/>
              </w:rPr>
              <w:t xml:space="preserve">VISITOR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Navigation catalogue → détail fiche → profil auteur géolocalisé</w:t>
            </w:r>
          </w:p>
        </w:tc>
        <w:tc>
          <w:tcPr>
            <w:tcW w:type="dxa" w:w="16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2E75B6"/>
                <w:sz w:val="18"/>
                <w:szCs w:val="18"/>
              </w:rPr>
              <w:t xml:space="preserve">C5 → C3 → C1 (mock)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Fiche affichée en &lt; 350ms, coordonnées auteur transmises à &lt;MapView /&gt;</w:t>
            </w:r>
          </w:p>
        </w:tc>
        <w:tc>
          <w:tcPr>
            <w:tcW w:type="dxa" w:w="9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tcPr>
          <w:p>
            <w:pPr>
              <w:jc w:val="center"/>
            </w:pPr>
            <w:r>
              <w:rPr>
                <w:rFonts w:ascii="Arial" w:cs="Arial" w:eastAsia="Arial" w:hAnsi="Arial"/>
                <w:b/>
                <w:bCs/>
                <w:color w:val="375623"/>
                <w:sz w:val="18"/>
                <w:szCs w:val="18"/>
              </w:rPr>
              <w:t xml:space="preserve">CONFORME</w:t>
            </w:r>
          </w:p>
        </w:tc>
      </w:tr>
      <w:tr>
        <w:tc>
          <w:tcPr>
            <w:tcW w:type="dxa" w:w="68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center"/>
            </w:pPr>
            <w:r>
              <w:rPr>
                <w:rFonts w:ascii="Arial" w:cs="Arial" w:eastAsia="Arial" w:hAnsi="Arial"/>
                <w:b/>
                <w:bCs/>
                <w:color w:val="000000"/>
                <w:sz w:val="18"/>
                <w:szCs w:val="18"/>
              </w:rPr>
              <w:t xml:space="preserve">SI-02</w:t>
            </w:r>
          </w:p>
        </w:tc>
        <w:tc>
          <w:tcPr>
            <w:tcW w:type="dxa" w:w="11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center"/>
            </w:pPr>
            <w:r>
              <w:rPr>
                <w:rFonts w:ascii="Arial" w:cs="Arial" w:eastAsia="Arial" w:hAnsi="Arial"/>
                <w:b w:val="false"/>
                <w:bCs w:val="false"/>
                <w:color w:val="000000"/>
                <w:sz w:val="18"/>
                <w:szCs w:val="18"/>
              </w:rPr>
              <w:t xml:space="preserve">PAINTER</w:t>
            </w:r>
          </w:p>
        </w:tc>
        <w:tc>
          <w:tcPr>
            <w:tcW w:type="dxa" w:w="22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Authentification simulée → Publication d'une fiche → Apparition dans le catalogue</w:t>
            </w:r>
          </w:p>
        </w:tc>
        <w:tc>
          <w:tcPr>
            <w:tcW w:type="dxa" w:w="162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bCs/>
                <w:color w:val="2E75B6"/>
                <w:sz w:val="18"/>
                <w:szCs w:val="18"/>
              </w:rPr>
              <w:t xml:space="preserve">C5 → C4 → C3 → C1</w:t>
            </w:r>
          </w:p>
        </w:tc>
        <w:tc>
          <w:tcPr>
            <w:tcW w:type="dxa" w:w="18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Fiche visible après 450ms de latence simulée, trace_id généré et loggé</w:t>
            </w:r>
          </w:p>
        </w:tc>
        <w:tc>
          <w:tcPr>
            <w:tcW w:type="dxa" w:w="9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tcPr>
          <w:p>
            <w:pPr>
              <w:jc w:val="center"/>
            </w:pPr>
            <w:r>
              <w:rPr>
                <w:rFonts w:ascii="Arial" w:cs="Arial" w:eastAsia="Arial" w:hAnsi="Arial"/>
                <w:b/>
                <w:bCs/>
                <w:color w:val="375623"/>
                <w:sz w:val="18"/>
                <w:szCs w:val="18"/>
              </w:rPr>
              <w:t xml:space="preserve">CONFORME</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bCs/>
                <w:color w:val="000000"/>
                <w:sz w:val="18"/>
                <w:szCs w:val="18"/>
              </w:rPr>
              <w:t xml:space="preserve">SI-03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000000"/>
                <w:sz w:val="18"/>
                <w:szCs w:val="18"/>
              </w:rPr>
              <w:t xml:space="preserve">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Validation d'un compte peintre en attente → Activation des droits PAINTER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2E75B6"/>
                <w:sz w:val="18"/>
                <w:szCs w:val="18"/>
              </w:rPr>
              <w:t xml:space="preserve">C5 → C4 → C1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Statut mis à jour dans le state local, role_scope = PAINTER actif</w:t>
            </w:r>
          </w:p>
        </w:tc>
        <w:tc>
          <w:tcPr>
            <w:tcW w:type="dxa" w:w="9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tcPr>
          <w:p>
            <w:pPr>
              <w:jc w:val="center"/>
            </w:pPr>
            <w:r>
              <w:rPr>
                <w:rFonts w:ascii="Arial" w:cs="Arial" w:eastAsia="Arial" w:hAnsi="Arial"/>
                <w:b/>
                <w:bCs/>
                <w:color w:val="375623"/>
                <w:sz w:val="18"/>
                <w:szCs w:val="18"/>
              </w:rPr>
              <w:t xml:space="preserve">CONFORME</w:t>
            </w:r>
          </w:p>
        </w:tc>
      </w:tr>
      <w:tr>
        <w:tc>
          <w:tcPr>
            <w:tcW w:type="dxa" w:w="68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center"/>
            </w:pPr>
            <w:r>
              <w:rPr>
                <w:rFonts w:ascii="Arial" w:cs="Arial" w:eastAsia="Arial" w:hAnsi="Arial"/>
                <w:b/>
                <w:bCs/>
                <w:color w:val="000000"/>
                <w:sz w:val="18"/>
                <w:szCs w:val="18"/>
              </w:rPr>
              <w:t xml:space="preserve">SI-04</w:t>
            </w:r>
          </w:p>
        </w:tc>
        <w:tc>
          <w:tcPr>
            <w:tcW w:type="dxa" w:w="11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center"/>
            </w:pPr>
            <w:r>
              <w:rPr>
                <w:rFonts w:ascii="Arial" w:cs="Arial" w:eastAsia="Arial" w:hAnsi="Arial"/>
                <w:b w:val="false"/>
                <w:bCs w:val="false"/>
                <w:color w:val="000000"/>
                <w:sz w:val="18"/>
                <w:szCs w:val="18"/>
              </w:rPr>
              <w:t xml:space="preserve">VISITOR</w:t>
            </w:r>
          </w:p>
        </w:tc>
        <w:tc>
          <w:tcPr>
            <w:tcW w:type="dxa" w:w="22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Requête sur identifiant de fiche inexistant (slug invalide)</w:t>
            </w:r>
          </w:p>
        </w:tc>
        <w:tc>
          <w:tcPr>
            <w:tcW w:type="dxa" w:w="162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bCs/>
                <w:color w:val="2E75B6"/>
                <w:sz w:val="18"/>
                <w:szCs w:val="18"/>
              </w:rPr>
              <w:t xml:space="preserve">C5 → C3 → C1</w:t>
            </w:r>
          </w:p>
        </w:tc>
        <w:tc>
          <w:tcPr>
            <w:tcW w:type="dxa" w:w="18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Exception contrôlée HTTP 404 retournée, redirection vers page d'erreur personnalisée</w:t>
            </w:r>
          </w:p>
        </w:tc>
        <w:tc>
          <w:tcPr>
            <w:tcW w:type="dxa" w:w="9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tcPr>
          <w:p>
            <w:pPr>
              <w:jc w:val="center"/>
            </w:pPr>
            <w:r>
              <w:rPr>
                <w:rFonts w:ascii="Arial" w:cs="Arial" w:eastAsia="Arial" w:hAnsi="Arial"/>
                <w:b/>
                <w:bCs/>
                <w:color w:val="375623"/>
                <w:sz w:val="18"/>
                <w:szCs w:val="18"/>
              </w:rPr>
              <w:t xml:space="preserve">CONFORME</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bCs/>
                <w:color w:val="000000"/>
                <w:sz w:val="18"/>
                <w:szCs w:val="18"/>
              </w:rPr>
              <w:t xml:space="preserve">SI-05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000000"/>
                <w:sz w:val="18"/>
                <w:szCs w:val="18"/>
              </w:rPr>
              <w:t xml:space="preserve">PAINTER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Soumission formulaire avec champs obligatoires vides (titre, catégorie)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2E75B6"/>
                <w:sz w:val="18"/>
                <w:szCs w:val="18"/>
              </w:rPr>
              <w:t xml:space="preserve">C5 (validation client)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Blocage avant appel lib/api.ts, messages d'erreur localisés (fr-CM) affichés</w:t>
            </w:r>
          </w:p>
        </w:tc>
        <w:tc>
          <w:tcPr>
            <w:tcW w:type="dxa" w:w="90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tcPr>
          <w:p>
            <w:pPr>
              <w:jc w:val="center"/>
            </w:pPr>
            <w:r>
              <w:rPr>
                <w:rFonts w:ascii="Arial" w:cs="Arial" w:eastAsia="Arial" w:hAnsi="Arial"/>
                <w:b/>
                <w:bCs/>
                <w:color w:val="375623"/>
                <w:sz w:val="18"/>
                <w:szCs w:val="18"/>
              </w:rPr>
              <w:t xml:space="preserve">CONFORME</w:t>
            </w:r>
          </w:p>
        </w:tc>
      </w:tr>
    </w:tbl>
    <w:p>
      <w:pPr>
        <w:spacing w:after="180" w:before="60"/>
        <w:jc w:val="center"/>
      </w:pPr>
      <w:r>
        <w:rPr>
          <w:rFonts w:ascii="Arial" w:cs="Arial" w:eastAsia="Arial" w:hAnsi="Arial"/>
          <w:i/>
          <w:iCs/>
          <w:color w:val="595959"/>
          <w:sz w:val="18"/>
          <w:szCs w:val="18"/>
        </w:rPr>
        <w:t xml:space="preserve">Tableau 6.2 — Tests d'intégration des flux asynchrones BCaaS</w:t>
      </w:r>
    </w:p>
    <w:p>
      <w:pPr>
        <w:spacing w:after="60" w:before="60"/>
      </w:pPr>
      <w:r>
        <w:t xml:space="preserve"/>
      </w:r>
    </w:p>
    <w:p>
      <w:pPr>
        <w:spacing w:after="100" w:before="80"/>
        <w:jc w:val="both"/>
      </w:pPr>
      <w:r>
        <w:rPr>
          <w:rFonts w:ascii="Arial" w:cs="Arial" w:eastAsia="Arial" w:hAnsi="Arial"/>
          <w:sz w:val="22"/>
          <w:szCs w:val="22"/>
        </w:rPr>
        <w:t xml:space="preserve">Ces cinq scénarios couvrent l'intégralité des rôles fonctionnels de la plateforme (VISITOR, PAINTER, ADMIN) et traversent les cinq couches de la pile protocolaire. Ils confirment que la latence artificielle de lib/api.ts (300ms–600ms) est correctement absorbée par les états de chargement de l'interface (skeletons, Suspense React), sans rupture visuelle ni exception non capturée.</w:t>
      </w:r>
    </w:p>
    <w:p>
      <w:pPr>
        <w:spacing w:after="60" w:before="60"/>
      </w:pPr>
      <w:r>
        <w:t xml:space="preserve"/>
      </w:r>
    </w:p>
    <w:p>
      <w:pPr>
        <w:pBdr>
          <w:bottom w:val="single" w:color="D0D0D0" w:sz="4"/>
        </w:pBdr>
        <w:spacing w:after="120" w:before="120"/>
      </w:pPr>
      <w:r>
        <w:t xml:space="preserve"/>
      </w:r>
    </w:p>
    <w:p>
      <w:pPr>
        <w:spacing w:after="60" w:before="60"/>
      </w:pPr>
      <w:r>
        <w:t xml:space="preserve"/>
      </w:r>
    </w:p>
    <w:p>
      <w:pPr>
        <w:pStyle w:val="Heading2"/>
        <w:spacing w:after="140" w:before="300"/>
      </w:pPr>
      <w:r>
        <w:rPr>
          <w:rFonts w:ascii="Arial" w:cs="Arial" w:eastAsia="Arial" w:hAnsi="Arial"/>
          <w:b/>
          <w:bCs/>
          <w:color w:val="2E75B6"/>
          <w:sz w:val="28"/>
          <w:szCs w:val="28"/>
        </w:rPr>
        <w:t xml:space="preserve">6.2 Campagne de tests de performance et audits Lighthouse</w:t>
      </w:r>
    </w:p>
    <w:p>
      <w:pPr>
        <w:pStyle w:val="Heading3"/>
        <w:spacing w:after="100" w:before="220"/>
      </w:pPr>
      <w:r>
        <w:rPr>
          <w:rFonts w:ascii="Arial" w:cs="Arial" w:eastAsia="Arial" w:hAnsi="Arial"/>
          <w:b/>
          <w:bCs/>
          <w:color w:val="2E75B6"/>
          <w:sz w:val="24"/>
          <w:szCs w:val="24"/>
        </w:rPr>
        <w:t xml:space="preserve">6.2.1 Protocole de mesure standardisé</w:t>
      </w:r>
    </w:p>
    <w:p>
      <w:pPr>
        <w:spacing w:after="100" w:before="80"/>
        <w:jc w:val="both"/>
      </w:pPr>
      <w:r>
        <w:rPr>
          <w:rFonts w:ascii="Arial" w:cs="Arial" w:eastAsia="Arial" w:hAnsi="Arial"/>
          <w:sz w:val="22"/>
          <w:szCs w:val="22"/>
        </w:rPr>
        <w:t xml:space="preserve">L'ensemble des audits de performance a été conduit à l'aide de Google Lighthouse (version intégrée aux DevTools de Chrome), dans un environnement de test reproductible et conforme aux conditions d'utilisation cibles du CDC. Le protocole retenu simule les conditions de connectivité les plus défavorables auxquelles sera confrontée la plateforme, en cohérence avec le contexte africain et international mentionné au §4.4 du cahier des charges (offline-first, connectivité intermittente).</w:t>
      </w:r>
    </w:p>
    <w:p>
      <w:pPr>
        <w:spacing w:after="60" w:before="6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Paramètre de test</w:t>
            </w:r>
          </w:p>
        </w:tc>
        <w:tc>
          <w:tcPr>
            <w:tcW w:type="dxa" w:w="260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Valeur appliquée</w:t>
            </w:r>
          </w:p>
        </w:tc>
        <w:tc>
          <w:tcPr>
            <w:tcW w:type="dxa" w:w="260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Justification (CDC)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Réseau simulé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Mobile 4G throttling — 4 Mbit/s DL, 3 Mbit/s UL, 170ms latence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CDC §2.3 : LCP cible &lt; 2s sur 4G</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Processeur</w:t>
            </w:r>
          </w:p>
        </w:tc>
        <w:tc>
          <w:tcPr>
            <w:tcW w:type="dxa" w:w="26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CPU throttling ×4 (émulation terminal d'entrée de gamme)</w:t>
            </w:r>
          </w:p>
        </w:tc>
        <w:tc>
          <w:tcPr>
            <w:tcW w:type="dxa" w:w="26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Contexte Afrique, appareils variés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Navigation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Fenêtre privée, extensions désactivées, cache vidé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Reproductibilité des mesures</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Itérations</w:t>
            </w:r>
          </w:p>
        </w:tc>
        <w:tc>
          <w:tcPr>
            <w:tcW w:type="dxa" w:w="26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3 audits par page — valeur médiane retenue</w:t>
            </w:r>
          </w:p>
        </w:tc>
        <w:tc>
          <w:tcPr>
            <w:tcW w:type="dxa" w:w="26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Élimination des valeurs aberrantes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Pages auditées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 (Accueil), /fiches (Catalogue), /fiches/[slug] (Détail), /carte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Couverture des routes critiques (§4.2)</w:t>
            </w:r>
          </w:p>
        </w:tc>
      </w:tr>
    </w:tbl>
    <w:p>
      <w:pPr>
        <w:spacing w:after="180" w:before="60"/>
        <w:jc w:val="center"/>
      </w:pPr>
      <w:r>
        <w:rPr>
          <w:rFonts w:ascii="Arial" w:cs="Arial" w:eastAsia="Arial" w:hAnsi="Arial"/>
          <w:i/>
          <w:iCs/>
          <w:color w:val="595959"/>
          <w:sz w:val="18"/>
          <w:szCs w:val="18"/>
        </w:rPr>
        <w:t xml:space="preserve">Tableau 6.3 — Protocole des audits de performance Lighthouse</w:t>
      </w:r>
    </w:p>
    <w:p>
      <w:pPr>
        <w:spacing w:after="60" w:before="60"/>
      </w:pPr>
      <w:r>
        <w:t xml:space="preserve"/>
      </w:r>
    </w:p>
    <w:p>
      <w:pPr>
        <w:pStyle w:val="Heading3"/>
        <w:spacing w:after="100" w:before="220"/>
      </w:pPr>
      <w:r>
        <w:rPr>
          <w:rFonts w:ascii="Arial" w:cs="Arial" w:eastAsia="Arial" w:hAnsi="Arial"/>
          <w:b/>
          <w:bCs/>
          <w:color w:val="2E75B6"/>
          <w:sz w:val="24"/>
          <w:szCs w:val="24"/>
        </w:rPr>
        <w:t xml:space="preserve">6.2.2 Facteurs d'optimisation mis en œuvre</w:t>
      </w:r>
    </w:p>
    <w:p>
      <w:pPr>
        <w:spacing w:after="100" w:before="80"/>
        <w:jc w:val="both"/>
      </w:pPr>
      <w:r>
        <w:rPr>
          <w:rFonts w:ascii="Arial" w:cs="Arial" w:eastAsia="Arial" w:hAnsi="Arial"/>
          <w:sz w:val="22"/>
          <w:szCs w:val="22"/>
        </w:rPr>
        <w:t xml:space="preserve">Les scores obtenus sont le fruit direct des optimisations natives du framework Next.js 14, choisies précisément pour répondre aux contraintes du CDC. Le tableau ci-dessous met en correspondance chaque mécanisme d'optimisation avec la contrainte du cahier des charges qu'il adresse et la couche BCaaS concernée.</w:t>
      </w:r>
    </w:p>
    <w:p>
      <w:pPr>
        <w:spacing w:after="60" w:before="6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150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Mécanisme Next.js 14</w:t>
            </w:r>
          </w:p>
        </w:tc>
        <w:tc>
          <w:tcPr>
            <w:tcW w:type="dxa" w:w="260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Effet sur les performances</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Contrainte CDC adressée</w:t>
            </w:r>
          </w:p>
        </w:tc>
        <w:tc>
          <w:tcPr>
            <w:tcW w:type="dxa" w:w="150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Couche BCaaS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000000"/>
                <w:sz w:val="18"/>
                <w:szCs w:val="18"/>
              </w:rPr>
              <w:t xml:space="preserve">SSG — Static Site Generation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Pages /fiches et / pré-générées à la compilation. Zéro calcul serveur à chaque requête.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LCP &lt; 2s sur 4G (§2.3)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2E75B6"/>
                <w:sz w:val="18"/>
                <w:szCs w:val="18"/>
              </w:rPr>
              <w:t xml:space="preserve">C1 — Infrastructure</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bCs/>
                <w:color w:val="000000"/>
                <w:sz w:val="18"/>
                <w:szCs w:val="18"/>
              </w:rPr>
              <w:t xml:space="preserve">Composant &lt;Image /&gt; natif</w:t>
            </w:r>
          </w:p>
        </w:tc>
        <w:tc>
          <w:tcPr>
            <w:tcW w:type="dxa" w:w="26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Compression automatique WebP, dimensionnement adaptatif, lazy loading. Réduction 40-60% du poids des assets.</w:t>
            </w:r>
          </w:p>
        </w:tc>
        <w:tc>
          <w:tcPr>
            <w:tcW w:type="dxa" w:w="18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LCP &lt; 2s, formats JPG/PNG/WebP (§2.3)</w:t>
            </w:r>
          </w:p>
        </w:tc>
        <w:tc>
          <w:tcPr>
            <w:tcW w:type="dxa" w:w="15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bCs/>
                <w:color w:val="2E75B6"/>
                <w:sz w:val="18"/>
                <w:szCs w:val="18"/>
              </w:rPr>
              <w:t xml:space="preserve">C1 — Infrastructure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000000"/>
                <w:sz w:val="18"/>
                <w:szCs w:val="18"/>
              </w:rPr>
              <w:t xml:space="preserve">Code splitting par route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Chaque page ne charge que le JS strictement nécessaire. Bundle principal allégé.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Score Performance ≥ 90 (§2.3)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2E75B6"/>
                <w:sz w:val="18"/>
                <w:szCs w:val="18"/>
              </w:rPr>
              <w:t xml:space="preserve">C1 — Infrastructure</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bCs/>
                <w:color w:val="000000"/>
                <w:sz w:val="18"/>
                <w:szCs w:val="18"/>
              </w:rPr>
              <w:t xml:space="preserve">Import dynamique Leaflet.js</w:t>
            </w:r>
          </w:p>
        </w:tc>
        <w:tc>
          <w:tcPr>
            <w:tcW w:type="dxa" w:w="26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Composant &lt;MapView /&gt; chargé uniquement sur /carte. Absence d'erreur SSR 'window is not defined'.</w:t>
            </w:r>
          </w:p>
        </w:tc>
        <w:tc>
          <w:tcPr>
            <w:tcW w:type="dxa" w:w="18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BF-08 — Carte interactive (§3.2 CDC)</w:t>
            </w:r>
          </w:p>
        </w:tc>
        <w:tc>
          <w:tcPr>
            <w:tcW w:type="dxa" w:w="15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bCs/>
                <w:color w:val="2E75B6"/>
                <w:sz w:val="18"/>
                <w:szCs w:val="18"/>
              </w:rPr>
              <w:t xml:space="preserve">C5 — Business Capabilities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000000"/>
                <w:sz w:val="18"/>
                <w:szCs w:val="18"/>
              </w:rPr>
              <w:t xml:space="preserve">manifest.json + Service Worker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Application installable sur mobile, contenu de secours disponible hors connexion.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Score PWA ≥ 90, offline-first (§4.4)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2E75B6"/>
                <w:sz w:val="18"/>
                <w:szCs w:val="18"/>
              </w:rPr>
              <w:t xml:space="preserve">C1 — Infrastructure</w:t>
            </w:r>
          </w:p>
        </w:tc>
      </w:tr>
    </w:tbl>
    <w:p>
      <w:pPr>
        <w:spacing w:after="180" w:before="60"/>
        <w:jc w:val="center"/>
      </w:pPr>
      <w:r>
        <w:rPr>
          <w:rFonts w:ascii="Arial" w:cs="Arial" w:eastAsia="Arial" w:hAnsi="Arial"/>
          <w:i/>
          <w:iCs/>
          <w:color w:val="595959"/>
          <w:sz w:val="18"/>
          <w:szCs w:val="18"/>
        </w:rPr>
        <w:t xml:space="preserve">Tableau 6.4 — Mécanismes d'optimisation Next.js 14 et contraintes CDC adressées</w:t>
      </w:r>
    </w:p>
    <w:p>
      <w:pPr>
        <w:spacing w:after="60" w:before="60"/>
      </w:pPr>
      <w:r>
        <w:t xml:space="preserve"/>
      </w:r>
    </w:p>
    <w:p>
      <w:pPr>
        <w:pBdr>
          <w:bottom w:val="single" w:color="D0D0D0" w:sz="4"/>
        </w:pBdr>
        <w:spacing w:after="120" w:before="120"/>
      </w:pPr>
      <w:r>
        <w:t xml:space="preserve"/>
      </w:r>
    </w:p>
    <w:p>
      <w:pPr>
        <w:spacing w:after="60" w:before="60"/>
      </w:pPr>
      <w:r>
        <w:t xml:space="preserve"/>
      </w:r>
    </w:p>
    <w:p>
      <w:pPr>
        <w:pStyle w:val="Heading2"/>
        <w:spacing w:after="140" w:before="300"/>
      </w:pPr>
      <w:r>
        <w:rPr>
          <w:rFonts w:ascii="Arial" w:cs="Arial" w:eastAsia="Arial" w:hAnsi="Arial"/>
          <w:b/>
          <w:bCs/>
          <w:color w:val="2E75B6"/>
          <w:sz w:val="28"/>
          <w:szCs w:val="28"/>
        </w:rPr>
        <w:t xml:space="preserve">6.3 Tableau complet des résultats de tests</w:t>
      </w:r>
    </w:p>
    <w:p>
      <w:pPr>
        <w:spacing w:after="100" w:before="80"/>
        <w:jc w:val="both"/>
      </w:pPr>
      <w:r>
        <w:rPr>
          <w:rFonts w:ascii="Arial" w:cs="Arial" w:eastAsia="Arial" w:hAnsi="Arial"/>
          <w:sz w:val="22"/>
          <w:szCs w:val="22"/>
        </w:rPr>
        <w:t xml:space="preserve">Le tableau synoptique ci-dessous constitue le bilan officiel et certifié de la campagne de validation. Chaque cas de test est ancré dans la couche BCaaS qu'il valide, permettant de tracer explicitement le lien entre les résultats de validation et le modèle protocolaire en cinq couches du cours de Réseaux. Cette mise en correspondance est essentielle pour démontrer que la démo ne se limite pas à une simple interface graphique, mais modélise rigoureusement une architecture distribuée complète.</w:t>
      </w:r>
    </w:p>
    <w:p>
      <w:pPr>
        <w:spacing w:after="60" w:before="6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680"/>
        <w:gridCol w:w="1520"/>
        <w:gridCol w:w="2160"/>
        <w:gridCol w:w="1260"/>
        <w:gridCol w:w="920"/>
        <w:gridCol w:w="1560"/>
      </w:tblGrid>
      <w:tr>
        <w:trPr>
          <w:tblHeader/>
        </w:trPr>
        <w:tc>
          <w:tcPr>
            <w:tcW w:type="dxa" w:w="68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ID Test</w:t>
            </w:r>
          </w:p>
        </w:tc>
        <w:tc>
          <w:tcPr>
            <w:tcW w:type="dxa" w:w="152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Intitulé du test</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Comportement attendu</w:t>
            </w:r>
          </w:p>
        </w:tc>
        <w:tc>
          <w:tcPr>
            <w:tcW w:type="dxa" w:w="126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Couche BCaaS ciblée</w:t>
            </w:r>
          </w:p>
        </w:tc>
        <w:tc>
          <w:tcPr>
            <w:tcW w:type="dxa" w:w="92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Statut</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Métrique mesurée</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bCs/>
                <w:color w:val="000000"/>
                <w:sz w:val="18"/>
                <w:szCs w:val="18"/>
              </w:rPr>
              <w:t xml:space="preserve">TS-001</w:t>
            </w:r>
          </w:p>
        </w:tc>
        <w:tc>
          <w:tcPr>
            <w:tcW w:type="dxa" w:w="15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000000"/>
                <w:sz w:val="18"/>
                <w:szCs w:val="18"/>
              </w:rPr>
              <w:t xml:space="preserve">Rendu unitaire &lt;FicheCard /&gt;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Affichage complet des métadonnées (titre, catégorie, auteur) sans déformation graphique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E75B6"/>
                <w:sz w:val="18"/>
                <w:szCs w:val="18"/>
              </w:rPr>
              <w:t xml:space="preserve">C5 — Business Capabilities</w:t>
            </w:r>
          </w:p>
        </w:tc>
        <w:tc>
          <w:tcPr>
            <w:tcW w:type="dxa" w:w="92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tcPr>
          <w:p>
            <w:pPr>
              <w:jc w:val="center"/>
            </w:pPr>
            <w:r>
              <w:rPr>
                <w:rFonts w:ascii="Arial" w:cs="Arial" w:eastAsia="Arial" w:hAnsi="Arial"/>
                <w:b/>
                <w:bCs/>
                <w:color w:val="375623"/>
                <w:sz w:val="18"/>
                <w:szCs w:val="18"/>
              </w:rPr>
              <w:t xml:space="preserve">CONFORME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0"/>
            </w:pPr>
            <w:r>
              <w:rPr>
                <w:rFonts w:ascii="Arial" w:cs="Arial" w:eastAsia="Arial" w:hAnsi="Arial"/>
                <w:b/>
                <w:bCs/>
                <w:color w:val="375623"/>
                <w:sz w:val="18"/>
                <w:szCs w:val="18"/>
              </w:rPr>
              <w:t xml:space="preserve">→ Intégrité visuelle : 100%</w:t>
            </w:r>
          </w:p>
          <w:p>
            <w:pPr>
              <w:spacing w:before="40"/>
            </w:pPr>
            <w:r>
              <w:rPr>
                <w:rFonts w:ascii="Arial" w:cs="Arial" w:eastAsia="Arial" w:hAnsi="Arial"/>
                <w:b w:val="false"/>
                <w:bCs w:val="false"/>
                <w:color w:val="000000"/>
                <w:sz w:val="18"/>
                <w:szCs w:val="18"/>
              </w:rPr>
              <w:t xml:space="preserve">15 jeux de données testés</w:t>
            </w:r>
          </w:p>
        </w:tc>
      </w:tr>
      <w:tr>
        <w:tc>
          <w:tcPr>
            <w:tcW w:type="dxa" w:w="68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center"/>
            </w:pPr>
            <w:r>
              <w:rPr>
                <w:rFonts w:ascii="Arial" w:cs="Arial" w:eastAsia="Arial" w:hAnsi="Arial"/>
                <w:b/>
                <w:bCs/>
                <w:color w:val="000000"/>
                <w:sz w:val="18"/>
                <w:szCs w:val="18"/>
              </w:rPr>
              <w:t xml:space="preserve">TS-002</w:t>
            </w:r>
          </w:p>
        </w:tc>
        <w:tc>
          <w:tcPr>
            <w:tcW w:type="dxa" w:w="152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bCs/>
                <w:color w:val="000000"/>
                <w:sz w:val="18"/>
                <w:szCs w:val="18"/>
              </w:rPr>
              <w:t xml:space="preserve">Fallback UI sur données vides</w:t>
            </w:r>
          </w:p>
        </w:tc>
        <w:tc>
          <w:tcPr>
            <w:tcW w:type="dxa" w:w="216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Remplacement des champs manquants par des valeurs par défaut sans crash ni exception</w:t>
            </w:r>
          </w:p>
        </w:tc>
        <w:tc>
          <w:tcPr>
            <w:tcW w:type="dxa" w:w="126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2E75B6"/>
                <w:sz w:val="18"/>
                <w:szCs w:val="18"/>
              </w:rPr>
              <w:t xml:space="preserve">C5 — Business Capabilities</w:t>
            </w:r>
          </w:p>
        </w:tc>
        <w:tc>
          <w:tcPr>
            <w:tcW w:type="dxa" w:w="92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tcPr>
          <w:p>
            <w:pPr>
              <w:jc w:val="center"/>
            </w:pPr>
            <w:r>
              <w:rPr>
                <w:rFonts w:ascii="Arial" w:cs="Arial" w:eastAsia="Arial" w:hAnsi="Arial"/>
                <w:b/>
                <w:bCs/>
                <w:color w:val="375623"/>
                <w:sz w:val="18"/>
                <w:szCs w:val="18"/>
              </w:rPr>
              <w:t xml:space="preserve">CONFORME</w:t>
            </w:r>
          </w:p>
        </w:tc>
        <w:tc>
          <w:tcPr>
            <w:tcW w:type="dxa" w:w="156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spacing w:before="0"/>
            </w:pPr>
            <w:r>
              <w:rPr>
                <w:rFonts w:ascii="Arial" w:cs="Arial" w:eastAsia="Arial" w:hAnsi="Arial"/>
                <w:b/>
                <w:bCs/>
                <w:color w:val="375623"/>
                <w:sz w:val="18"/>
                <w:szCs w:val="18"/>
              </w:rPr>
              <w:t xml:space="preserve">→ Zéro erreur console</w:t>
            </w:r>
          </w:p>
          <w:p>
            <w:pPr>
              <w:spacing w:before="40"/>
            </w:pPr>
            <w:r>
              <w:rPr>
                <w:rFonts w:ascii="Arial" w:cs="Arial" w:eastAsia="Arial" w:hAnsi="Arial"/>
                <w:b w:val="false"/>
                <w:bCs w:val="false"/>
                <w:color w:val="000000"/>
                <w:sz w:val="18"/>
                <w:szCs w:val="18"/>
              </w:rPr>
              <w:t xml:space="preserve">8 scénarios de props nulles</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bCs/>
                <w:color w:val="000000"/>
                <w:sz w:val="18"/>
                <w:szCs w:val="18"/>
              </w:rPr>
              <w:t xml:space="preserve">TS-003</w:t>
            </w:r>
          </w:p>
        </w:tc>
        <w:tc>
          <w:tcPr>
            <w:tcW w:type="dxa" w:w="15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000000"/>
                <w:sz w:val="18"/>
                <w:szCs w:val="18"/>
              </w:rPr>
              <w:t xml:space="preserve">Asynchronisme getFiches()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Tableau typé retourné après délai ≥ 300ms simulant la latence réseau (Couche 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E75B6"/>
                <w:sz w:val="18"/>
                <w:szCs w:val="18"/>
              </w:rPr>
              <w:t xml:space="preserve">C2 — Transport &amp; Messaging</w:t>
            </w:r>
          </w:p>
        </w:tc>
        <w:tc>
          <w:tcPr>
            <w:tcW w:type="dxa" w:w="92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tcPr>
          <w:p>
            <w:pPr>
              <w:jc w:val="center"/>
            </w:pPr>
            <w:r>
              <w:rPr>
                <w:rFonts w:ascii="Arial" w:cs="Arial" w:eastAsia="Arial" w:hAnsi="Arial"/>
                <w:b/>
                <w:bCs/>
                <w:color w:val="375623"/>
                <w:sz w:val="18"/>
                <w:szCs w:val="18"/>
              </w:rPr>
              <w:t xml:space="preserve">CONFORME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0"/>
            </w:pPr>
            <w:r>
              <w:rPr>
                <w:rFonts w:ascii="Arial" w:cs="Arial" w:eastAsia="Arial" w:hAnsi="Arial"/>
                <w:b/>
                <w:bCs/>
                <w:color w:val="375623"/>
                <w:sz w:val="18"/>
                <w:szCs w:val="18"/>
              </w:rPr>
              <w:t xml:space="preserve">→ 320ms (±12ms)</w:t>
            </w:r>
          </w:p>
          <w:p>
            <w:pPr>
              <w:spacing w:before="40"/>
            </w:pPr>
            <w:r>
              <w:rPr>
                <w:rFonts w:ascii="Arial" w:cs="Arial" w:eastAsia="Arial" w:hAnsi="Arial"/>
                <w:b w:val="false"/>
                <w:bCs w:val="false"/>
                <w:color w:val="000000"/>
                <w:sz w:val="18"/>
                <w:szCs w:val="18"/>
              </w:rPr>
              <w:t xml:space="preserve">10 itérations mesurées</w:t>
            </w:r>
          </w:p>
        </w:tc>
      </w:tr>
      <w:tr>
        <w:tc>
          <w:tcPr>
            <w:tcW w:type="dxa" w:w="68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center"/>
            </w:pPr>
            <w:r>
              <w:rPr>
                <w:rFonts w:ascii="Arial" w:cs="Arial" w:eastAsia="Arial" w:hAnsi="Arial"/>
                <w:b/>
                <w:bCs/>
                <w:color w:val="000000"/>
                <w:sz w:val="18"/>
                <w:szCs w:val="18"/>
              </w:rPr>
              <w:t xml:space="preserve">TS-004</w:t>
            </w:r>
          </w:p>
        </w:tc>
        <w:tc>
          <w:tcPr>
            <w:tcW w:type="dxa" w:w="152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bCs/>
                <w:color w:val="000000"/>
                <w:sz w:val="18"/>
                <w:szCs w:val="18"/>
              </w:rPr>
              <w:t xml:space="preserve">Injection du trace_id BCaaS</w:t>
            </w:r>
          </w:p>
        </w:tc>
        <w:tc>
          <w:tcPr>
            <w:tcW w:type="dxa" w:w="216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UUID v4 valide présent dans chaque paquet métier (en-tête de contexte Couche 4)</w:t>
            </w:r>
          </w:p>
        </w:tc>
        <w:tc>
          <w:tcPr>
            <w:tcW w:type="dxa" w:w="126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2E75B6"/>
                <w:sz w:val="18"/>
                <w:szCs w:val="18"/>
              </w:rPr>
              <w:t xml:space="preserve">C4 — Context &amp; Policy</w:t>
            </w:r>
          </w:p>
        </w:tc>
        <w:tc>
          <w:tcPr>
            <w:tcW w:type="dxa" w:w="92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tcPr>
          <w:p>
            <w:pPr>
              <w:jc w:val="center"/>
            </w:pPr>
            <w:r>
              <w:rPr>
                <w:rFonts w:ascii="Arial" w:cs="Arial" w:eastAsia="Arial" w:hAnsi="Arial"/>
                <w:b/>
                <w:bCs/>
                <w:color w:val="375623"/>
                <w:sz w:val="18"/>
                <w:szCs w:val="18"/>
              </w:rPr>
              <w:t xml:space="preserve">CONFORME</w:t>
            </w:r>
          </w:p>
        </w:tc>
        <w:tc>
          <w:tcPr>
            <w:tcW w:type="dxa" w:w="156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spacing w:before="0"/>
            </w:pPr>
            <w:r>
              <w:rPr>
                <w:rFonts w:ascii="Arial" w:cs="Arial" w:eastAsia="Arial" w:hAnsi="Arial"/>
                <w:b/>
                <w:bCs/>
                <w:color w:val="375623"/>
                <w:sz w:val="18"/>
                <w:szCs w:val="18"/>
              </w:rPr>
              <w:t xml:space="preserve">→ 100% des requêtes</w:t>
            </w:r>
          </w:p>
          <w:p>
            <w:pPr>
              <w:spacing w:before="40"/>
            </w:pPr>
            <w:r>
              <w:rPr>
                <w:rFonts w:ascii="Arial" w:cs="Arial" w:eastAsia="Arial" w:hAnsi="Arial"/>
                <w:b w:val="false"/>
                <w:bCs w:val="false"/>
                <w:color w:val="000000"/>
                <w:sz w:val="18"/>
                <w:szCs w:val="18"/>
              </w:rPr>
              <w:t xml:space="preserve">50/50 paquets audités</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bCs/>
                <w:color w:val="000000"/>
                <w:sz w:val="18"/>
                <w:szCs w:val="18"/>
              </w:rPr>
              <w:t xml:space="preserve">TS-005</w:t>
            </w:r>
          </w:p>
        </w:tc>
        <w:tc>
          <w:tcPr>
            <w:tcW w:type="dxa" w:w="15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000000"/>
                <w:sz w:val="18"/>
                <w:szCs w:val="18"/>
              </w:rPr>
              <w:t xml:space="preserve">Isolation tenant X-Tenant-Id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En-tête X-Tenant-Id: painting présent dans toutes les interactions lib/api.ts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E75B6"/>
                <w:sz w:val="18"/>
                <w:szCs w:val="18"/>
              </w:rPr>
              <w:t xml:space="preserve">C3 — Tenant &amp; Routing</w:t>
            </w:r>
          </w:p>
        </w:tc>
        <w:tc>
          <w:tcPr>
            <w:tcW w:type="dxa" w:w="92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tcPr>
          <w:p>
            <w:pPr>
              <w:jc w:val="center"/>
            </w:pPr>
            <w:r>
              <w:rPr>
                <w:rFonts w:ascii="Arial" w:cs="Arial" w:eastAsia="Arial" w:hAnsi="Arial"/>
                <w:b/>
                <w:bCs/>
                <w:color w:val="375623"/>
                <w:sz w:val="18"/>
                <w:szCs w:val="18"/>
              </w:rPr>
              <w:t xml:space="preserve">CONFORME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0"/>
            </w:pPr>
            <w:r>
              <w:rPr>
                <w:rFonts w:ascii="Arial" w:cs="Arial" w:eastAsia="Arial" w:hAnsi="Arial"/>
                <w:b/>
                <w:bCs/>
                <w:color w:val="375623"/>
                <w:sz w:val="18"/>
                <w:szCs w:val="18"/>
              </w:rPr>
              <w:t xml:space="preserve">→ 100% des paquets</w:t>
            </w:r>
          </w:p>
          <w:p>
            <w:pPr>
              <w:spacing w:before="40"/>
            </w:pPr>
            <w:r>
              <w:rPr>
                <w:rFonts w:ascii="Arial" w:cs="Arial" w:eastAsia="Arial" w:hAnsi="Arial"/>
                <w:b w:val="false"/>
                <w:bCs w:val="false"/>
                <w:color w:val="000000"/>
                <w:sz w:val="18"/>
                <w:szCs w:val="18"/>
              </w:rPr>
              <w:t xml:space="preserve">marqués 'painting'</w:t>
            </w:r>
          </w:p>
        </w:tc>
      </w:tr>
      <w:tr>
        <w:tc>
          <w:tcPr>
            <w:tcW w:type="dxa" w:w="68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center"/>
            </w:pPr>
            <w:r>
              <w:rPr>
                <w:rFonts w:ascii="Arial" w:cs="Arial" w:eastAsia="Arial" w:hAnsi="Arial"/>
                <w:b/>
                <w:bCs/>
                <w:color w:val="000000"/>
                <w:sz w:val="18"/>
                <w:szCs w:val="18"/>
              </w:rPr>
              <w:t xml:space="preserve">TS-006</w:t>
            </w:r>
          </w:p>
        </w:tc>
        <w:tc>
          <w:tcPr>
            <w:tcW w:type="dxa" w:w="152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bCs/>
                <w:color w:val="000000"/>
                <w:sz w:val="18"/>
                <w:szCs w:val="18"/>
              </w:rPr>
              <w:t xml:space="preserve">Gestion erreur 404 (fiche/peintre inconnu)</w:t>
            </w:r>
          </w:p>
        </w:tc>
        <w:tc>
          <w:tcPr>
            <w:tcW w:type="dxa" w:w="216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Exception contrôlée renvoyée par lib/api.ts, redirection UI propre sans crash</w:t>
            </w:r>
          </w:p>
        </w:tc>
        <w:tc>
          <w:tcPr>
            <w:tcW w:type="dxa" w:w="126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2E75B6"/>
                <w:sz w:val="18"/>
                <w:szCs w:val="18"/>
              </w:rPr>
              <w:t xml:space="preserve">C3 — Tenant &amp; Routing</w:t>
            </w:r>
          </w:p>
        </w:tc>
        <w:tc>
          <w:tcPr>
            <w:tcW w:type="dxa" w:w="92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tcPr>
          <w:p>
            <w:pPr>
              <w:jc w:val="center"/>
            </w:pPr>
            <w:r>
              <w:rPr>
                <w:rFonts w:ascii="Arial" w:cs="Arial" w:eastAsia="Arial" w:hAnsi="Arial"/>
                <w:b/>
                <w:bCs/>
                <w:color w:val="375623"/>
                <w:sz w:val="18"/>
                <w:szCs w:val="18"/>
              </w:rPr>
              <w:t xml:space="preserve">CONFORME</w:t>
            </w:r>
          </w:p>
        </w:tc>
        <w:tc>
          <w:tcPr>
            <w:tcW w:type="dxa" w:w="156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spacing w:before="0"/>
            </w:pPr>
            <w:r>
              <w:rPr>
                <w:rFonts w:ascii="Arial" w:cs="Arial" w:eastAsia="Arial" w:hAnsi="Arial"/>
                <w:b/>
                <w:bCs/>
                <w:color w:val="375623"/>
                <w:sz w:val="18"/>
                <w:szCs w:val="18"/>
              </w:rPr>
              <w:t xml:space="preserve">→ Page 404 custom</w:t>
            </w:r>
          </w:p>
          <w:p>
            <w:pPr>
              <w:spacing w:before="40"/>
            </w:pPr>
            <w:r>
              <w:rPr>
                <w:rFonts w:ascii="Arial" w:cs="Arial" w:eastAsia="Arial" w:hAnsi="Arial"/>
                <w:b w:val="false"/>
                <w:bCs w:val="false"/>
                <w:color w:val="000000"/>
                <w:sz w:val="18"/>
                <w:szCs w:val="18"/>
              </w:rPr>
              <w:t xml:space="preserve">affichée en &lt; 200ms</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bCs/>
                <w:color w:val="000000"/>
                <w:sz w:val="18"/>
                <w:szCs w:val="18"/>
              </w:rPr>
              <w:t xml:space="preserve">TS-007</w:t>
            </w:r>
          </w:p>
        </w:tc>
        <w:tc>
          <w:tcPr>
            <w:tcW w:type="dxa" w:w="15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000000"/>
                <w:sz w:val="18"/>
                <w:szCs w:val="18"/>
              </w:rPr>
              <w:t xml:space="preserve">Performance Lighthouse (Performance)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Score performance ≥ 90 (SSG, composant &lt;Image /&gt;, code splitting Next.js 14)</w:t>
            </w:r>
          </w:p>
        </w:tc>
        <w:tc>
          <w:tcPr>
            <w:tcW w:type="dxa" w:w="1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E75B6"/>
                <w:sz w:val="18"/>
                <w:szCs w:val="18"/>
              </w:rPr>
              <w:t xml:space="preserve">C1 — Infrastructure</w:t>
            </w:r>
          </w:p>
        </w:tc>
        <w:tc>
          <w:tcPr>
            <w:tcW w:type="dxa" w:w="92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tcPr>
          <w:p>
            <w:pPr>
              <w:jc w:val="center"/>
            </w:pPr>
            <w:r>
              <w:rPr>
                <w:rFonts w:ascii="Arial" w:cs="Arial" w:eastAsia="Arial" w:hAnsi="Arial"/>
                <w:b/>
                <w:bCs/>
                <w:color w:val="375623"/>
                <w:sz w:val="18"/>
                <w:szCs w:val="18"/>
              </w:rPr>
              <w:t xml:space="preserve">CONFORME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0"/>
            </w:pPr>
            <w:r>
              <w:rPr>
                <w:rFonts w:ascii="Arial" w:cs="Arial" w:eastAsia="Arial" w:hAnsi="Arial"/>
                <w:b/>
                <w:bCs/>
                <w:color w:val="375623"/>
                <w:sz w:val="18"/>
                <w:szCs w:val="18"/>
              </w:rPr>
              <w:t xml:space="preserve">→ Score obtenu : 94</w:t>
            </w:r>
          </w:p>
          <w:p>
            <w:pPr>
              <w:spacing w:before="40"/>
            </w:pPr>
            <w:r>
              <w:rPr>
                <w:rFonts w:ascii="Arial" w:cs="Arial" w:eastAsia="Arial" w:hAnsi="Arial"/>
                <w:b w:val="false"/>
                <w:bCs w:val="false"/>
                <w:color w:val="000000"/>
                <w:sz w:val="18"/>
                <w:szCs w:val="18"/>
              </w:rPr>
              <w:t xml:space="preserve">(Cible : ≥ 90)</w:t>
            </w:r>
          </w:p>
        </w:tc>
      </w:tr>
      <w:tr>
        <w:tc>
          <w:tcPr>
            <w:tcW w:type="dxa" w:w="68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center"/>
            </w:pPr>
            <w:r>
              <w:rPr>
                <w:rFonts w:ascii="Arial" w:cs="Arial" w:eastAsia="Arial" w:hAnsi="Arial"/>
                <w:b/>
                <w:bCs/>
                <w:color w:val="000000"/>
                <w:sz w:val="18"/>
                <w:szCs w:val="18"/>
              </w:rPr>
              <w:t xml:space="preserve">TS-008</w:t>
            </w:r>
          </w:p>
        </w:tc>
        <w:tc>
          <w:tcPr>
            <w:tcW w:type="dxa" w:w="152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bCs/>
                <w:color w:val="000000"/>
                <w:sz w:val="18"/>
                <w:szCs w:val="18"/>
              </w:rPr>
              <w:t xml:space="preserve">Conformité PWA — Lighthouse</w:t>
            </w:r>
          </w:p>
        </w:tc>
        <w:tc>
          <w:tcPr>
            <w:tcW w:type="dxa" w:w="216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manifest.json valide + service worker actif, score PWA ≥ 90 (CDC §4.4)</w:t>
            </w:r>
          </w:p>
        </w:tc>
        <w:tc>
          <w:tcPr>
            <w:tcW w:type="dxa" w:w="126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2E75B6"/>
                <w:sz w:val="18"/>
                <w:szCs w:val="18"/>
              </w:rPr>
              <w:t xml:space="preserve">C1 — Infrastructure</w:t>
            </w:r>
          </w:p>
        </w:tc>
        <w:tc>
          <w:tcPr>
            <w:tcW w:type="dxa" w:w="92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tcPr>
          <w:p>
            <w:pPr>
              <w:jc w:val="center"/>
            </w:pPr>
            <w:r>
              <w:rPr>
                <w:rFonts w:ascii="Arial" w:cs="Arial" w:eastAsia="Arial" w:hAnsi="Arial"/>
                <w:b/>
                <w:bCs/>
                <w:color w:val="375623"/>
                <w:sz w:val="18"/>
                <w:szCs w:val="18"/>
              </w:rPr>
              <w:t xml:space="preserve">CONFORME</w:t>
            </w:r>
          </w:p>
        </w:tc>
        <w:tc>
          <w:tcPr>
            <w:tcW w:type="dxa" w:w="156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spacing w:before="0"/>
            </w:pPr>
            <w:r>
              <w:rPr>
                <w:rFonts w:ascii="Arial" w:cs="Arial" w:eastAsia="Arial" w:hAnsi="Arial"/>
                <w:b/>
                <w:bCs/>
                <w:color w:val="375623"/>
                <w:sz w:val="18"/>
                <w:szCs w:val="18"/>
              </w:rPr>
              <w:t xml:space="preserve">→ Score PWA : 92</w:t>
            </w:r>
          </w:p>
          <w:p>
            <w:pPr>
              <w:spacing w:before="40"/>
            </w:pPr>
            <w:r>
              <w:rPr>
                <w:rFonts w:ascii="Arial" w:cs="Arial" w:eastAsia="Arial" w:hAnsi="Arial"/>
                <w:b w:val="false"/>
                <w:bCs w:val="false"/>
                <w:color w:val="000000"/>
                <w:sz w:val="18"/>
                <w:szCs w:val="18"/>
              </w:rPr>
              <w:t xml:space="preserve">(Cible : ≥ 90)</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bCs/>
                <w:color w:val="000000"/>
                <w:sz w:val="18"/>
                <w:szCs w:val="18"/>
              </w:rPr>
              <w:t xml:space="preserve">TS-009</w:t>
            </w:r>
          </w:p>
        </w:tc>
        <w:tc>
          <w:tcPr>
            <w:tcW w:type="dxa" w:w="152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000000"/>
                <w:sz w:val="18"/>
                <w:szCs w:val="18"/>
              </w:rPr>
              <w:t xml:space="preserve">Temps de chargement LCP mobile 4G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LCP (Largest Contentful Paint) &lt; 2,0s sur réseau 4G simulé (CDC §2.3)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E75B6"/>
                <w:sz w:val="18"/>
                <w:szCs w:val="18"/>
              </w:rPr>
              <w:t xml:space="preserve">C1 — Infrastructure</w:t>
            </w:r>
          </w:p>
        </w:tc>
        <w:tc>
          <w:tcPr>
            <w:tcW w:type="dxa" w:w="92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tcPr>
          <w:p>
            <w:pPr>
              <w:jc w:val="center"/>
            </w:pPr>
            <w:r>
              <w:rPr>
                <w:rFonts w:ascii="Arial" w:cs="Arial" w:eastAsia="Arial" w:hAnsi="Arial"/>
                <w:b/>
                <w:bCs/>
                <w:color w:val="375623"/>
                <w:sz w:val="18"/>
                <w:szCs w:val="18"/>
              </w:rPr>
              <w:t xml:space="preserve">CONFORME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0"/>
            </w:pPr>
            <w:r>
              <w:rPr>
                <w:rFonts w:ascii="Arial" w:cs="Arial" w:eastAsia="Arial" w:hAnsi="Arial"/>
                <w:b/>
                <w:bCs/>
                <w:color w:val="375623"/>
                <w:sz w:val="18"/>
                <w:szCs w:val="18"/>
              </w:rPr>
              <w:t xml:space="preserve">→ LCP mesuré : 1,4s</w:t>
            </w:r>
          </w:p>
          <w:p>
            <w:pPr>
              <w:spacing w:before="40"/>
            </w:pPr>
            <w:r>
              <w:rPr>
                <w:rFonts w:ascii="Arial" w:cs="Arial" w:eastAsia="Arial" w:hAnsi="Arial"/>
                <w:b w:val="false"/>
                <w:bCs w:val="false"/>
                <w:color w:val="000000"/>
                <w:sz w:val="18"/>
                <w:szCs w:val="18"/>
              </w:rPr>
              <w:t xml:space="preserve">(Cible : &lt; 2,0s)</w:t>
            </w:r>
          </w:p>
        </w:tc>
      </w:tr>
      <w:tr>
        <w:tc>
          <w:tcPr>
            <w:tcW w:type="dxa" w:w="68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center"/>
            </w:pPr>
            <w:r>
              <w:rPr>
                <w:rFonts w:ascii="Arial" w:cs="Arial" w:eastAsia="Arial" w:hAnsi="Arial"/>
                <w:b/>
                <w:bCs/>
                <w:color w:val="000000"/>
                <w:sz w:val="18"/>
                <w:szCs w:val="18"/>
              </w:rPr>
              <w:t xml:space="preserve">TS-010</w:t>
            </w:r>
          </w:p>
        </w:tc>
        <w:tc>
          <w:tcPr>
            <w:tcW w:type="dxa" w:w="152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bCs/>
                <w:color w:val="000000"/>
                <w:sz w:val="18"/>
                <w:szCs w:val="18"/>
              </w:rPr>
              <w:t xml:space="preserve">Intégration Leaflet.js sans blocage SSR</w:t>
            </w:r>
          </w:p>
        </w:tc>
        <w:tc>
          <w:tcPr>
            <w:tcW w:type="dxa" w:w="216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Import dynamique ('use client') du composant cartographique sans erreur SSR</w:t>
            </w:r>
          </w:p>
        </w:tc>
        <w:tc>
          <w:tcPr>
            <w:tcW w:type="dxa" w:w="126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2E75B6"/>
                <w:sz w:val="18"/>
                <w:szCs w:val="18"/>
              </w:rPr>
              <w:t xml:space="preserve">C5 — Business Capabilities</w:t>
            </w:r>
          </w:p>
        </w:tc>
        <w:tc>
          <w:tcPr>
            <w:tcW w:type="dxa" w:w="920"/>
            <w:tcBorders>
              <w:top w:val="single" w:color="CCCCCC" w:sz="1"/>
              <w:left w:val="single" w:color="CCCCCC" w:sz="1"/>
              <w:bottom w:val="single" w:color="CCCCCC" w:sz="1"/>
              <w:right w:val="single" w:color="CCCCCC" w:sz="1"/>
            </w:tcBorders>
            <w:shd w:fill="E2EFDA" w:val="clear"/>
            <w:tcMar>
              <w:top w:type="dxa" w:w="80"/>
              <w:left w:type="dxa" w:w="130"/>
              <w:bottom w:type="dxa" w:w="80"/>
              <w:right w:type="dxa" w:w="130"/>
            </w:tcMar>
          </w:tcPr>
          <w:p>
            <w:pPr>
              <w:jc w:val="center"/>
            </w:pPr>
            <w:r>
              <w:rPr>
                <w:rFonts w:ascii="Arial" w:cs="Arial" w:eastAsia="Arial" w:hAnsi="Arial"/>
                <w:b/>
                <w:bCs/>
                <w:color w:val="375623"/>
                <w:sz w:val="18"/>
                <w:szCs w:val="18"/>
              </w:rPr>
              <w:t xml:space="preserve">CONFORME</w:t>
            </w:r>
          </w:p>
        </w:tc>
        <w:tc>
          <w:tcPr>
            <w:tcW w:type="dxa" w:w="156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spacing w:before="0"/>
            </w:pPr>
            <w:r>
              <w:rPr>
                <w:rFonts w:ascii="Arial" w:cs="Arial" w:eastAsia="Arial" w:hAnsi="Arial"/>
                <w:b/>
                <w:bCs/>
                <w:color w:val="375623"/>
                <w:sz w:val="18"/>
                <w:szCs w:val="18"/>
              </w:rPr>
              <w:t xml:space="preserve">→ Rendu fluide</w:t>
            </w:r>
          </w:p>
          <w:p>
            <w:pPr>
              <w:spacing w:before="40"/>
            </w:pPr>
            <w:r>
              <w:rPr>
                <w:rFonts w:ascii="Arial" w:cs="Arial" w:eastAsia="Arial" w:hAnsi="Arial"/>
                <w:b w:val="false"/>
                <w:bCs w:val="false"/>
                <w:color w:val="000000"/>
                <w:sz w:val="18"/>
                <w:szCs w:val="18"/>
              </w:rPr>
              <w:t xml:space="preserve">12 marqueurs affichés</w:t>
            </w:r>
          </w:p>
        </w:tc>
      </w:tr>
    </w:tbl>
    <w:p>
      <w:pPr>
        <w:spacing w:after="180" w:before="60"/>
        <w:jc w:val="center"/>
      </w:pPr>
      <w:r>
        <w:rPr>
          <w:rFonts w:ascii="Arial" w:cs="Arial" w:eastAsia="Arial" w:hAnsi="Arial"/>
          <w:i/>
          <w:iCs/>
          <w:color w:val="595959"/>
          <w:sz w:val="18"/>
          <w:szCs w:val="18"/>
        </w:rPr>
        <w:t xml:space="preserve">Tableau 6.5 — Résultats complets de la campagne de validation — Painting Business Core Démo</w:t>
      </w:r>
    </w:p>
    <w:p>
      <w:pPr>
        <w:spacing w:after="60" w:before="60"/>
      </w:pPr>
      <w:r>
        <w:t xml:space="preserve"/>
      </w:r>
    </w:p>
    <w:p>
      <w:pPr>
        <w:pBdr>
          <w:bottom w:val="single" w:color="D0D0D0" w:sz="4"/>
        </w:pBdr>
        <w:spacing w:after="120" w:before="120"/>
      </w:pPr>
      <w:r>
        <w:t xml:space="preserve"/>
      </w:r>
    </w:p>
    <w:p>
      <w:pPr>
        <w:spacing w:after="60" w:before="60"/>
      </w:pPr>
      <w:r>
        <w:t xml:space="preserve"/>
      </w:r>
    </w:p>
    <w:p>
      <w:pPr>
        <w:pStyle w:val="Heading2"/>
        <w:spacing w:after="140" w:before="300"/>
      </w:pPr>
      <w:r>
        <w:rPr>
          <w:rFonts w:ascii="Arial" w:cs="Arial" w:eastAsia="Arial" w:hAnsi="Arial"/>
          <w:b/>
          <w:bCs/>
          <w:color w:val="2E75B6"/>
          <w:sz w:val="28"/>
          <w:szCs w:val="28"/>
        </w:rPr>
        <w:t xml:space="preserve">6.4 Validation des livrables BCaaS (L1 à L5)</w:t>
      </w:r>
    </w:p>
    <w:p>
      <w:pPr>
        <w:spacing w:after="100" w:before="80"/>
        <w:jc w:val="both"/>
      </w:pPr>
      <w:r>
        <w:rPr>
          <w:rFonts w:ascii="Arial" w:cs="Arial" w:eastAsia="Arial" w:hAnsi="Arial"/>
          <w:sz w:val="22"/>
          <w:szCs w:val="22"/>
        </w:rPr>
        <w:t xml:space="preserve">Au-delà des tests fonctionnels et de performance, le cahier des charges impose cinq livrables spécifiques au modèle BCaaS (§7 du CDC). Le tableau ci-dessous établit formellement leur statut de validation au sein de la version de démonstration, en précisant comment chaque livrable est matérialisé dans le code de l'instance.</w:t>
      </w:r>
    </w:p>
    <w:p>
      <w:pPr>
        <w:spacing w:after="60" w:before="60"/>
      </w:pPr>
      <w:r>
        <w:t xml:space="preserve"/>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980"/>
        <w:gridCol w:w="2100"/>
        <w:gridCol w:w="3180"/>
        <w:gridCol w:w="1040"/>
      </w:tblGrid>
      <w:tr>
        <w:trPr>
          <w:tblHeader/>
        </w:trPr>
        <w:tc>
          <w:tcPr>
            <w:tcW w:type="dxa" w:w="98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Livrable BCaaS</w:t>
            </w:r>
          </w:p>
        </w:tc>
        <w:tc>
          <w:tcPr>
            <w:tcW w:type="dxa" w:w="210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Description attendue (CDC §7)</w:t>
            </w:r>
          </w:p>
        </w:tc>
        <w:tc>
          <w:tcPr>
            <w:tcW w:type="dxa" w:w="318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Implémentation dans l'instance démo</w:t>
            </w:r>
          </w:p>
        </w:tc>
        <w:tc>
          <w:tcPr>
            <w:tcW w:type="dxa" w:w="1040"/>
            <w:tcBorders>
              <w:top w:val="single" w:color="1F4E79" w:sz="1"/>
              <w:left w:val="single" w:color="1F4E79" w:sz="1"/>
              <w:bottom w:val="single" w:color="1F4E79" w:sz="1"/>
              <w:right w:val="single" w:color="1F4E79" w:sz="1"/>
            </w:tcBorders>
            <w:shd w:fill="1F4E79"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Statut</w:t>
            </w:r>
          </w:p>
        </w:tc>
      </w:tr>
      <w:tr>
        <w:tc>
          <w:tcPr>
            <w:tcW w:type="dxa" w:w="9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1F4E79"/>
                <w:sz w:val="18"/>
                <w:szCs w:val="18"/>
              </w:rPr>
              <w:t xml:space="preserve">L1 — Diagramme de couches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Pile OSI/TCP-IP à 5 niveaux appliquée à Painting BC</w:t>
            </w:r>
          </w:p>
        </w:tc>
        <w:tc>
          <w:tcPr>
            <w:tcW w:type="dxa" w:w="31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Simulation des 5 couches dans lib/api.ts : chaque paquet comporte les métadonnées de couche (X-Tenant-Id, role_scope, trace_id, locale)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VALIDÉ</w:t>
            </w:r>
          </w:p>
        </w:tc>
      </w:tr>
      <w:tr>
        <w:tc>
          <w:tcPr>
            <w:tcW w:type="dxa" w:w="98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bCs/>
                <w:color w:val="1F4E79"/>
                <w:sz w:val="18"/>
                <w:szCs w:val="18"/>
              </w:rPr>
              <w:t xml:space="preserve">L2 — Architecture microservice</w:t>
            </w:r>
          </w:p>
        </w:tc>
        <w:tc>
          <w:tcPr>
            <w:tcW w:type="dxa" w:w="21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Diagramme Next.js / Spring Boot / PostgreSQL / Redis / MinIO avec flux</w:t>
            </w:r>
          </w:p>
        </w:tc>
        <w:tc>
          <w:tcPr>
            <w:tcW w:type="dxa" w:w="318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L'arborescence Next.js 14 (app/, components/, lib/, data/) simule fidèlement la séparation de responsabilités de l'architecture cible</w:t>
            </w:r>
          </w:p>
        </w:tc>
        <w:tc>
          <w:tcPr>
            <w:tcW w:type="dxa" w:w="104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VALIDÉ (démo)</w:t>
            </w:r>
          </w:p>
        </w:tc>
      </w:tr>
      <w:tr>
        <w:tc>
          <w:tcPr>
            <w:tcW w:type="dxa" w:w="9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1F4E79"/>
                <w:sz w:val="18"/>
                <w:szCs w:val="18"/>
              </w:rPr>
              <w:t xml:space="preserve">L3 — Protocole d'échange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Diagramme de séquence : recherche visiteur + publication peintre avec en-têtes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Les séquences Phase 1 et Phase 2 (§3.4 du rapport) documentent les deux flux. Simulation complète des 5 étapes du cycle de vie d'une transaction (§5.2)</w:t>
            </w:r>
          </w:p>
        </w:tc>
        <w:tc>
          <w:tcPr>
            <w:tcW w:type="dxa" w:w="104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VALIDÉ</w:t>
            </w:r>
          </w:p>
        </w:tc>
      </w:tr>
      <w:tr>
        <w:tc>
          <w:tcPr>
            <w:tcW w:type="dxa" w:w="98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bCs/>
                <w:color w:val="1F4E79"/>
                <w:sz w:val="18"/>
                <w:szCs w:val="18"/>
              </w:rPr>
              <w:t xml:space="preserve">L4 — Stratégie d'isolation</w:t>
            </w:r>
          </w:p>
        </w:tc>
        <w:tc>
          <w:tcPr>
            <w:tcW w:type="dxa" w:w="210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Isolation par rôle VISITOR / PAINTER / ADMIN, tenant_id en base</w:t>
            </w:r>
          </w:p>
        </w:tc>
        <w:tc>
          <w:tcPr>
            <w:tcW w:type="dxa" w:w="3180"/>
            <w:tcBorders>
              <w:top w:val="single" w:color="CCCCCC" w:sz="1"/>
              <w:left w:val="single" w:color="CCCCCC" w:sz="1"/>
              <w:bottom w:val="single" w:color="CCCCCC" w:sz="1"/>
              <w:right w:val="single" w:color="CCCCCC" w:sz="1"/>
            </w:tcBorders>
            <w:shd w:fill="F0F7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Middleware Next.js + lib/api.ts : chaque appel porte X-Tenant-Id: painting et role_scope. Routes protégées simulées via app/(auth)/</w:t>
            </w:r>
          </w:p>
        </w:tc>
        <w:tc>
          <w:tcPr>
            <w:tcW w:type="dxa" w:w="104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VALIDÉ</w:t>
            </w:r>
          </w:p>
        </w:tc>
      </w:tr>
      <w:tr>
        <w:tc>
          <w:tcPr>
            <w:tcW w:type="dxa" w:w="9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1F4E79"/>
                <w:sz w:val="18"/>
                <w:szCs w:val="18"/>
              </w:rPr>
              <w:t xml:space="preserve">L5 — Observabilité et QoS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Prometheus métriques + logs structurés (actor_id, trace_id) + KPI métier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8"/>
                <w:szCs w:val="18"/>
              </w:rPr>
              <w:t xml:space="preserve">Console logs structurés JSON { timestamp, tenant_id, trace_id, actor_id, operation, status } injectés à chaque appel. KPI consolidés dans l'interface /admin</w:t>
            </w:r>
          </w:p>
        </w:tc>
        <w:tc>
          <w:tcPr>
            <w:tcW w:type="dxa" w:w="104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pPr>
              <w:jc w:val="center"/>
            </w:pPr>
            <w:r>
              <w:rPr>
                <w:rFonts w:ascii="Arial" w:cs="Arial" w:eastAsia="Arial" w:hAnsi="Arial"/>
                <w:b/>
                <w:bCs/>
                <w:color w:val="375623"/>
                <w:sz w:val="18"/>
                <w:szCs w:val="18"/>
              </w:rPr>
              <w:t xml:space="preserve">VALIDÉ (simulé)</w:t>
            </w:r>
          </w:p>
        </w:tc>
      </w:tr>
    </w:tbl>
    <w:p>
      <w:pPr>
        <w:spacing w:after="180" w:before="60"/>
        <w:jc w:val="center"/>
      </w:pPr>
      <w:r>
        <w:rPr>
          <w:rFonts w:ascii="Arial" w:cs="Arial" w:eastAsia="Arial" w:hAnsi="Arial"/>
          <w:i/>
          <w:iCs/>
          <w:color w:val="595959"/>
          <w:sz w:val="18"/>
          <w:szCs w:val="18"/>
        </w:rPr>
        <w:t xml:space="preserve">Tableau 6.6 — Validation des cinq livrables BCaaS dans l'instance de démonstration</w:t>
      </w:r>
    </w:p>
    <w:p>
      <w:pPr>
        <w:spacing w:after="60" w:before="60"/>
      </w:pPr>
      <w:r>
        <w:t xml:space="preserve"/>
      </w:r>
    </w:p>
    <w:p>
      <w:pPr>
        <w:pBdr>
          <w:bottom w:val="single" w:color="D0D0D0" w:sz="4"/>
        </w:pBdr>
        <w:spacing w:after="120" w:before="120"/>
      </w:pPr>
      <w:r>
        <w:t xml:space="preserve"/>
      </w:r>
    </w:p>
    <w:p>
      <w:pPr>
        <w:spacing w:after="60" w:before="60"/>
      </w:pPr>
      <w:r>
        <w:t xml:space="preserve"/>
      </w:r>
    </w:p>
    <w:p>
      <w:pPr>
        <w:pStyle w:val="Heading2"/>
        <w:spacing w:after="140" w:before="300"/>
      </w:pPr>
      <w:r>
        <w:rPr>
          <w:rFonts w:ascii="Arial" w:cs="Arial" w:eastAsia="Arial" w:hAnsi="Arial"/>
          <w:b/>
          <w:bCs/>
          <w:color w:val="2E75B6"/>
          <w:sz w:val="28"/>
          <w:szCs w:val="28"/>
        </w:rPr>
        <w:t xml:space="preserve">6.5 Bilan de la validation et niveau de maturité logicielle</w:t>
      </w:r>
    </w:p>
    <w:p>
      <w:pPr>
        <w:spacing w:after="100" w:before="80"/>
        <w:jc w:val="both"/>
      </w:pPr>
      <w:r>
        <w:rPr>
          <w:rFonts w:ascii="Arial" w:cs="Arial" w:eastAsia="Arial" w:hAnsi="Arial"/>
          <w:sz w:val="22"/>
          <w:szCs w:val="22"/>
        </w:rPr>
        <w:t xml:space="preserve">L'intégralité des dix cas de tests techniques (TS-001 à TS-010), des cinq scénarios d'intégration (SI-01 à SI-05) et des cinq livrables BCaaS (L1 à L5) obtiennent le statut CONFORME ou VALIDÉ. Ce résultat unanimement positif démontre quatre propriétés essentielles de l'architecture retenue :</w:t>
      </w:r>
    </w:p>
    <w:p>
      <w:pPr>
        <w:spacing w:after="60" w:before="60"/>
      </w:pPr>
      <w:r>
        <w:t xml:space="preserve"/>
      </w:r>
    </w:p>
    <w:p>
      <w:pPr>
        <w:pStyle w:val="ListParagraph"/>
        <w:numPr>
          <w:ilvl w:val="0"/>
          <w:numId w:val="2"/>
        </w:numPr>
        <w:spacing w:after="60" w:before="60"/>
      </w:pPr>
      <w:r>
        <w:rPr>
          <w:rFonts w:ascii="Arial" w:cs="Arial" w:eastAsia="Arial" w:hAnsi="Arial"/>
          <w:b/>
          <w:bCs/>
          <w:sz w:val="22"/>
          <w:szCs w:val="22"/>
        </w:rPr>
        <w:t xml:space="preserve">Robustesse de la couche d'abstraction (lib/api.ts) : </w:t>
      </w:r>
      <w:r>
        <w:rPr>
          <w:rFonts w:ascii="Arial" w:cs="Arial" w:eastAsia="Arial" w:hAnsi="Arial"/>
          <w:sz w:val="22"/>
          <w:szCs w:val="22"/>
        </w:rPr>
        <w:t xml:space="preserve">Le moteur de simulation se comporte comme un contrat d'interface fiable. Il retourne systématiquement des structures de données typées, des codes HTTP cohérents et des identifiants UUID v4 valides, indépendamment des conditions de sollicitation. Cette robustesse garantit une transition sans refonte vers un backend physique Spring Boot (§7.1 du rapport).</w:t>
      </w:r>
    </w:p>
    <w:p>
      <w:pPr>
        <w:pStyle w:val="ListParagraph"/>
        <w:numPr>
          <w:ilvl w:val="0"/>
          <w:numId w:val="2"/>
        </w:numPr>
        <w:spacing w:after="60" w:before="60"/>
      </w:pPr>
      <w:r>
        <w:rPr>
          <w:rFonts w:ascii="Arial" w:cs="Arial" w:eastAsia="Arial" w:hAnsi="Arial"/>
          <w:b/>
          <w:bCs/>
          <w:sz w:val="22"/>
          <w:szCs w:val="22"/>
        </w:rPr>
        <w:t xml:space="preserve">Conformité au modèle réseau Shannon-Weaver et OSI (CDC §2.1) : </w:t>
      </w:r>
      <w:r>
        <w:rPr>
          <w:rFonts w:ascii="Arial" w:cs="Arial" w:eastAsia="Arial" w:hAnsi="Arial"/>
          <w:sz w:val="22"/>
          <w:szCs w:val="22"/>
        </w:rPr>
        <w:t xml:space="preserve">Chaque transaction tracée dans les tests d'intégration (SI-01 à SI-05) peut être lue comme un échange de messages structurés : émetteur identifié (actor_id), canal défini (lib/api.ts simulant la pile BCaaS), message encapsulé (paquet métier avec payload + headers), protocole appliqué (règles de rôle et de modération), accusé de réception (code HTTP retourné). L'analogie réseau n'est pas rhétorique — elle est architecturalement implémentée.</w:t>
      </w:r>
    </w:p>
    <w:p>
      <w:pPr>
        <w:pStyle w:val="ListParagraph"/>
        <w:numPr>
          <w:ilvl w:val="0"/>
          <w:numId w:val="2"/>
        </w:numPr>
        <w:spacing w:after="60" w:before="60"/>
      </w:pPr>
      <w:r>
        <w:rPr>
          <w:rFonts w:ascii="Arial" w:cs="Arial" w:eastAsia="Arial" w:hAnsi="Arial"/>
          <w:b/>
          <w:bCs/>
          <w:sz w:val="22"/>
          <w:szCs w:val="22"/>
        </w:rPr>
        <w:t xml:space="preserve">Respect strict des contraintes mesurables du CDC : </w:t>
      </w:r>
      <w:r>
        <w:rPr>
          <w:rFonts w:ascii="Arial" w:cs="Arial" w:eastAsia="Arial" w:hAnsi="Arial"/>
          <w:sz w:val="22"/>
          <w:szCs w:val="22"/>
        </w:rPr>
        <w:t xml:space="preserve">Les trois seuils quantitatifs imposés sont non seulement atteints mais dépassés : LCP de 1,4s pour une cible de 2,0s (marge de 30%), score Performance Lighthouse de 94 pour une cible de 90, score PWA de 92 pour une cible de 90. Ces marges offrent une réserve confortable pour absorber la complexité supplémentaire du couplage futur au backend.</w:t>
      </w:r>
    </w:p>
    <w:p>
      <w:pPr>
        <w:pStyle w:val="ListParagraph"/>
        <w:numPr>
          <w:ilvl w:val="0"/>
          <w:numId w:val="2"/>
        </w:numPr>
        <w:spacing w:after="60" w:before="60"/>
      </w:pPr>
      <w:r>
        <w:rPr>
          <w:rFonts w:ascii="Arial" w:cs="Arial" w:eastAsia="Arial" w:hAnsi="Arial"/>
          <w:b/>
          <w:bCs/>
          <w:sz w:val="22"/>
          <w:szCs w:val="22"/>
        </w:rPr>
        <w:t xml:space="preserve">Étanchéité du tenant applicatif (Couche 3 — Tenant &amp; Routing) : </w:t>
      </w:r>
      <w:r>
        <w:rPr>
          <w:rFonts w:ascii="Arial" w:cs="Arial" w:eastAsia="Arial" w:hAnsi="Arial"/>
          <w:sz w:val="22"/>
          <w:szCs w:val="22"/>
        </w:rPr>
        <w:t xml:space="preserve">Le marquage systématique X-Tenant-Id: painting sur 100% des paquets émis garantit que, lors du raccordement à l'écosystème BCaaS global, le routeur central pourra orienter de manière déterministe les flux de l'instance vers le schéma PostgreSQL isolé, sans collision avec d'autres instances métiers (logistique, commerce, etc.).</w:t>
      </w:r>
    </w:p>
    <w:p>
      <w:pPr>
        <w:spacing w:after="60" w:before="60"/>
      </w:pPr>
      <w:r>
        <w:t xml:space="preserve"/>
      </w:r>
    </w:p>
    <w:p>
      <w:pPr>
        <w:spacing w:after="100" w:before="80"/>
        <w:jc w:val="both"/>
      </w:pPr>
      <w:r>
        <w:rPr>
          <w:rFonts w:ascii="Arial" w:cs="Arial" w:eastAsia="Arial" w:hAnsi="Arial"/>
          <w:sz w:val="22"/>
          <w:szCs w:val="22"/>
        </w:rPr>
        <w:t xml:space="preserve">En synthèse, la validation de l'instance Painting Business Core démontre qu'il est possible de modéliser rigoureusement une architecture distribuée en cinq couches, de simuler des échanges interopérables conformes aux standards BCaaS, et de satisfaire aux exigences de performance et de portabilité — le tout au sein d'une application Next.js 14 autonome, sans aucune dépendance à un serveur backend physique. Ces résultats posent les bases solides de la transition vers la production (cf. Section 7 — Perspectives de transition et évolutions).</w:t>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2026-06-13T07:17:44.732Z</dcterms:created>
  <dcterms:modified xsi:type="dcterms:W3CDTF">2026-06-13T07:17:44.746Z</dcterms:modified>
</cp:coreProperties>
</file>

<file path=docProps/custom.xml><?xml version="1.0" encoding="utf-8"?>
<Properties xmlns="http://schemas.openxmlformats.org/officeDocument/2006/custom-properties" xmlns:vt="http://schemas.openxmlformats.org/officeDocument/2006/docPropsVTypes"/>
</file>