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B" w:rsidRPr="005D6D5B" w:rsidRDefault="005D6D5B" w:rsidP="005D6D5B">
      <w:pPr>
        <w:jc w:val="center"/>
        <w:rPr>
          <w:rFonts w:ascii="Berlin Sans FB" w:hAnsi="Berlin Sans FB"/>
          <w:sz w:val="44"/>
          <w:szCs w:val="44"/>
          <w:lang w:val="es-CO"/>
        </w:rPr>
      </w:pPr>
      <w:r w:rsidRPr="005D6D5B">
        <w:rPr>
          <w:rFonts w:ascii="Berlin Sans FB" w:hAnsi="Berlin Sans FB"/>
          <w:sz w:val="44"/>
          <w:szCs w:val="44"/>
          <w:lang w:val="es-CO"/>
        </w:rPr>
        <w:t>La estructura de la página sigue un diseño modular y centrado en la usabilidad.</w:t>
      </w:r>
      <w:bookmarkStart w:id="0" w:name="_GoBack"/>
      <w:bookmarkEnd w:id="0"/>
    </w:p>
    <w:p w:rsidR="005D6D5B" w:rsidRPr="005D6D5B" w:rsidRDefault="005D6D5B" w:rsidP="005D6D5B">
      <w:pPr>
        <w:jc w:val="center"/>
        <w:rPr>
          <w:lang w:val="es-CO"/>
        </w:rPr>
      </w:pPr>
    </w:p>
    <w:p w:rsidR="005D6D5B" w:rsidRPr="005D6D5B" w:rsidRDefault="005D6D5B" w:rsidP="005D6D5B">
      <w:pPr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218C" wp14:editId="6FDBA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940" b="241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5B" w:rsidRPr="005D6D5B" w:rsidRDefault="005D6D5B" w:rsidP="005D6D5B">
                            <w:pPr>
                              <w:pStyle w:val="Citadestacada"/>
                              <w:rPr>
                                <w:rFonts w:ascii="Segoe UI Symbol" w:hAnsi="Segoe UI Symbol" w:cs="Segoe UI Symbo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D5B">
                              <w:rPr>
                                <w:rFonts w:ascii="Segoe UI Symbol" w:hAnsi="Segoe UI Symbol" w:cs="Segoe UI Symbo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🎨</w:t>
                            </w:r>
                            <w:r w:rsidRPr="005D6D5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Paleta de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821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" fillcolor="white [3201]" strokecolor="#4472c4 [3208]" strokeweight="1pt">
                <v:textbox style="mso-fit-shape-to-text:t">
                  <w:txbxContent>
                    <w:p w:rsidR="005D6D5B" w:rsidRPr="005D6D5B" w:rsidRDefault="005D6D5B" w:rsidP="005D6D5B">
                      <w:pPr>
                        <w:pStyle w:val="Citadestacada"/>
                        <w:rPr>
                          <w:rFonts w:ascii="Segoe UI Symbol" w:hAnsi="Segoe UI Symbol" w:cs="Segoe UI Symbo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6D5B">
                        <w:rPr>
                          <w:rFonts w:ascii="Segoe UI Symbol" w:hAnsi="Segoe UI Symbol" w:cs="Segoe UI Symbo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🎨</w:t>
                      </w:r>
                      <w:r w:rsidRPr="005D6D5B">
                        <w:rPr>
                          <w:b/>
                          <w:color w:val="000000" w:themeColor="text1"/>
                          <w:sz w:val="72"/>
                          <w:szCs w:val="72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Paleta de colores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Morado (</w:t>
      </w:r>
      <w:proofErr w:type="spellStart"/>
      <w:r w:rsidRPr="005D6D5B">
        <w:rPr>
          <w:rFonts w:ascii="Berlin Sans FB" w:hAnsi="Berlin Sans FB"/>
          <w:lang w:val="es-CO"/>
        </w:rPr>
        <w:t>header</w:t>
      </w:r>
      <w:proofErr w:type="spellEnd"/>
      <w:r w:rsidRPr="005D6D5B">
        <w:rPr>
          <w:rFonts w:ascii="Berlin Sans FB" w:hAnsi="Berlin Sans FB"/>
          <w:lang w:val="es-CO"/>
        </w:rPr>
        <w:t xml:space="preserve"> y botones) </w:t>
      </w:r>
      <w:r w:rsidRPr="005D6D5B">
        <w:rPr>
          <w:rFonts w:ascii="Arial" w:hAnsi="Arial" w:cs="Arial"/>
          <w:lang w:val="es-CO"/>
        </w:rPr>
        <w:t>→</w:t>
      </w:r>
      <w:r w:rsidRPr="005D6D5B">
        <w:rPr>
          <w:rFonts w:ascii="Berlin Sans FB" w:hAnsi="Berlin Sans FB"/>
          <w:lang w:val="es-CO"/>
        </w:rPr>
        <w:t xml:space="preserve"> transmite innovaci</w:t>
      </w:r>
      <w:r w:rsidRPr="005D6D5B">
        <w:rPr>
          <w:rFonts w:ascii="Berlin Sans FB" w:hAnsi="Berlin Sans FB" w:cs="Berlin Sans FB"/>
          <w:lang w:val="es-CO"/>
        </w:rPr>
        <w:t>ó</w:t>
      </w:r>
      <w:r w:rsidRPr="005D6D5B">
        <w:rPr>
          <w:rFonts w:ascii="Berlin Sans FB" w:hAnsi="Berlin Sans FB"/>
          <w:lang w:val="es-CO"/>
        </w:rPr>
        <w:t>n, creatividad y un enfoque tecnol</w:t>
      </w:r>
      <w:r w:rsidRPr="005D6D5B">
        <w:rPr>
          <w:rFonts w:ascii="Berlin Sans FB" w:hAnsi="Berlin Sans FB" w:cs="Berlin Sans FB"/>
          <w:lang w:val="es-CO"/>
        </w:rPr>
        <w:t>ó</w:t>
      </w:r>
      <w:r w:rsidRPr="005D6D5B">
        <w:rPr>
          <w:rFonts w:ascii="Berlin Sans FB" w:hAnsi="Berlin Sans FB"/>
          <w:lang w:val="es-CO"/>
        </w:rPr>
        <w:t>gico, asociado a servicios digitales.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 xml:space="preserve">Beige/gris claro (fondos de secciones y formularios) </w:t>
      </w:r>
      <w:r w:rsidRPr="005D6D5B">
        <w:rPr>
          <w:rFonts w:ascii="Arial" w:hAnsi="Arial" w:cs="Arial"/>
          <w:lang w:val="es-CO"/>
        </w:rPr>
        <w:t>→</w:t>
      </w:r>
      <w:r w:rsidRPr="005D6D5B">
        <w:rPr>
          <w:rFonts w:ascii="Berlin Sans FB" w:hAnsi="Berlin Sans FB"/>
          <w:lang w:val="es-CO"/>
        </w:rPr>
        <w:t xml:space="preserve"> aporta neutralidad, mejora la legibilidad y hace que el contenido no sea pesado a la vista.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 xml:space="preserve">Contraste controlado </w:t>
      </w:r>
      <w:r w:rsidRPr="005D6D5B">
        <w:rPr>
          <w:rFonts w:ascii="Arial" w:hAnsi="Arial" w:cs="Arial"/>
          <w:lang w:val="es-CO"/>
        </w:rPr>
        <w:t>→</w:t>
      </w:r>
      <w:r w:rsidRPr="005D6D5B">
        <w:rPr>
          <w:rFonts w:ascii="Berlin Sans FB" w:hAnsi="Berlin Sans FB"/>
          <w:lang w:val="es-CO"/>
        </w:rPr>
        <w:t xml:space="preserve"> evita distracciones, manteniendo al usuario enfocado en la informaci</w:t>
      </w:r>
      <w:r w:rsidRPr="005D6D5B">
        <w:rPr>
          <w:rFonts w:ascii="Berlin Sans FB" w:hAnsi="Berlin Sans FB" w:cs="Berlin Sans FB"/>
          <w:lang w:val="es-CO"/>
        </w:rPr>
        <w:t>ó</w:t>
      </w:r>
      <w:r w:rsidRPr="005D6D5B">
        <w:rPr>
          <w:rFonts w:ascii="Berlin Sans FB" w:hAnsi="Berlin Sans FB"/>
          <w:lang w:val="es-CO"/>
        </w:rPr>
        <w:t>n y las acciones principales.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  <w:r w:rsidRPr="005D6D5B">
        <w:rPr>
          <w:rFonts w:ascii="Segoe UI Symbol" w:hAnsi="Segoe UI Symbol" w:cs="Segoe UI Symbol"/>
          <w:sz w:val="72"/>
          <w:szCs w:val="72"/>
        </w:rPr>
        <w:t>📐</w:t>
      </w:r>
      <w:r w:rsidRPr="005D6D5B">
        <w:rPr>
          <w:rFonts w:ascii="Berlin Sans FB" w:hAnsi="Berlin Sans FB"/>
          <w:sz w:val="72"/>
          <w:szCs w:val="72"/>
          <w:lang w:val="es-CO"/>
        </w:rPr>
        <w:t xml:space="preserve"> Diseño y distribución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proofErr w:type="spellStart"/>
      <w:r w:rsidRPr="005D6D5B">
        <w:rPr>
          <w:rFonts w:ascii="Berlin Sans FB" w:hAnsi="Berlin Sans FB"/>
          <w:lang w:val="es-CO"/>
        </w:rPr>
        <w:t>Header</w:t>
      </w:r>
      <w:proofErr w:type="spellEnd"/>
      <w:r w:rsidRPr="005D6D5B">
        <w:rPr>
          <w:rFonts w:ascii="Berlin Sans FB" w:hAnsi="Berlin Sans FB"/>
          <w:lang w:val="es-CO"/>
        </w:rPr>
        <w:t xml:space="preserve"> fijo con navegación: permite moverse entre secciones principales sin perder el contexto.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Botón de ticket de atención: ubicado en la parte superior izquierda, actúa como CTA (</w:t>
      </w:r>
      <w:proofErr w:type="spellStart"/>
      <w:r w:rsidRPr="005D6D5B">
        <w:rPr>
          <w:rFonts w:ascii="Berlin Sans FB" w:hAnsi="Berlin Sans FB"/>
          <w:lang w:val="es-CO"/>
        </w:rPr>
        <w:t>Call</w:t>
      </w:r>
      <w:proofErr w:type="spellEnd"/>
      <w:r w:rsidRPr="005D6D5B">
        <w:rPr>
          <w:rFonts w:ascii="Berlin Sans FB" w:hAnsi="Berlin Sans FB"/>
          <w:lang w:val="es-CO"/>
        </w:rPr>
        <w:t xml:space="preserve"> To </w:t>
      </w:r>
      <w:proofErr w:type="spellStart"/>
      <w:r w:rsidRPr="005D6D5B">
        <w:rPr>
          <w:rFonts w:ascii="Berlin Sans FB" w:hAnsi="Berlin Sans FB"/>
          <w:lang w:val="es-CO"/>
        </w:rPr>
        <w:t>Action</w:t>
      </w:r>
      <w:proofErr w:type="spellEnd"/>
      <w:r w:rsidRPr="005D6D5B">
        <w:rPr>
          <w:rFonts w:ascii="Berlin Sans FB" w:hAnsi="Berlin Sans FB"/>
          <w:lang w:val="es-CO"/>
        </w:rPr>
        <w:t>), ideal para soporte al cliente.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 xml:space="preserve">Secciones con tarjetas: cada bloque de contenido (Desarrollo web, Precios, Contacto) está enmarcado en un </w:t>
      </w:r>
      <w:proofErr w:type="spellStart"/>
      <w:r w:rsidRPr="005D6D5B">
        <w:rPr>
          <w:rFonts w:ascii="Berlin Sans FB" w:hAnsi="Berlin Sans FB"/>
          <w:lang w:val="es-CO"/>
        </w:rPr>
        <w:t>container</w:t>
      </w:r>
      <w:proofErr w:type="spellEnd"/>
      <w:r w:rsidRPr="005D6D5B">
        <w:rPr>
          <w:rFonts w:ascii="Berlin Sans FB" w:hAnsi="Berlin Sans FB"/>
          <w:lang w:val="es-CO"/>
        </w:rPr>
        <w:t xml:space="preserve"> con esquinas redondeadas, lo que da un estilo moderno y accesible.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Formulario lateral: posicionado en la parte derecha, independiente del flujo de contenido, optimiza el acceso de usuarios registrados o en proceso de registro.</w:t>
      </w: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  <w:r w:rsidRPr="005D6D5B">
        <w:rPr>
          <w:rFonts w:ascii="Segoe UI Symbol" w:hAnsi="Segoe UI Symbol" w:cs="Segoe UI Symbol"/>
          <w:sz w:val="72"/>
          <w:szCs w:val="72"/>
          <w:lang w:val="es-CO"/>
        </w:rPr>
        <w:t>⚙</w:t>
      </w:r>
      <w:r w:rsidRPr="005D6D5B">
        <w:rPr>
          <w:rFonts w:ascii="Berlin Sans FB" w:hAnsi="Berlin Sans FB"/>
          <w:sz w:val="72"/>
          <w:szCs w:val="72"/>
        </w:rPr>
        <w:t>️</w:t>
      </w:r>
      <w:r w:rsidRPr="005D6D5B">
        <w:rPr>
          <w:rFonts w:ascii="Berlin Sans FB" w:hAnsi="Berlin Sans FB"/>
          <w:sz w:val="72"/>
          <w:szCs w:val="72"/>
          <w:lang w:val="es-CO"/>
        </w:rPr>
        <w:t xml:space="preserve"> Funcionalidad principal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Informativa: presenta servicios y precios con jerarquía tipográfica clara.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Interactiva: mediante el formulario (usuario, contraseña, registro y recuperación de clave).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Operativa: con la opción de generar tickets de atención, reforzando el enfoque en atención al cliente.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6365C7" w:rsidRPr="005D6D5B" w:rsidRDefault="005D6D5B" w:rsidP="005D6D5B">
      <w:pPr>
        <w:jc w:val="center"/>
        <w:rPr>
          <w:rFonts w:ascii="Berlin Sans FB" w:hAnsi="Berlin Sans FB"/>
        </w:rPr>
      </w:pPr>
      <w:r w:rsidRPr="005D6D5B">
        <w:rPr>
          <w:rFonts w:ascii="Berlin Sans FB" w:hAnsi="Berlin Sans FB"/>
          <w:lang w:val="es-CO"/>
        </w:rPr>
        <w:t xml:space="preserve">Este diseño puede escalar fácilmente a un entorno dinámico con PHP, Python o Node.js en el </w:t>
      </w:r>
      <w:proofErr w:type="spellStart"/>
      <w:r w:rsidRPr="005D6D5B">
        <w:rPr>
          <w:rFonts w:ascii="Berlin Sans FB" w:hAnsi="Berlin Sans FB"/>
          <w:lang w:val="es-CO"/>
        </w:rPr>
        <w:t>backend</w:t>
      </w:r>
      <w:proofErr w:type="spellEnd"/>
      <w:r w:rsidRPr="005D6D5B">
        <w:rPr>
          <w:rFonts w:ascii="Berlin Sans FB" w:hAnsi="Berlin Sans FB"/>
          <w:lang w:val="es-CO"/>
        </w:rPr>
        <w:t xml:space="preserve">, y una base de datos (ej. </w:t>
      </w:r>
      <w:r w:rsidRPr="005D6D5B">
        <w:rPr>
          <w:rFonts w:ascii="Berlin Sans FB" w:hAnsi="Berlin Sans FB"/>
        </w:rPr>
        <w:t xml:space="preserve">MySQL/SQLite) para </w:t>
      </w:r>
      <w:r w:rsidRPr="005D6D5B">
        <w:rPr>
          <w:rFonts w:ascii="Berlin Sans FB" w:hAnsi="Berlin Sans FB"/>
        </w:rPr>
        <w:t>mane jar</w:t>
      </w:r>
      <w:r w:rsidRPr="005D6D5B">
        <w:rPr>
          <w:rFonts w:ascii="Berlin Sans FB" w:hAnsi="Berlin Sans FB"/>
        </w:rPr>
        <w:t xml:space="preserve"> </w:t>
      </w:r>
      <w:r w:rsidRPr="005D6D5B">
        <w:rPr>
          <w:rFonts w:ascii="Berlin Sans FB" w:hAnsi="Berlin Sans FB"/>
        </w:rPr>
        <w:t>usurious</w:t>
      </w:r>
      <w:r w:rsidRPr="005D6D5B">
        <w:rPr>
          <w:rFonts w:ascii="Berlin Sans FB" w:hAnsi="Berlin Sans FB"/>
        </w:rPr>
        <w:t xml:space="preserve"> y tickets de </w:t>
      </w:r>
      <w:proofErr w:type="spellStart"/>
      <w:r>
        <w:rPr>
          <w:rFonts w:ascii="Berlin Sans FB" w:hAnsi="Berlin Sans FB"/>
        </w:rPr>
        <w:t>soporte</w:t>
      </w:r>
      <w:proofErr w:type="spellEnd"/>
    </w:p>
    <w:sectPr w:rsidR="006365C7" w:rsidRPr="005D6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E7"/>
    <w:rsid w:val="002064E7"/>
    <w:rsid w:val="005D6D5B"/>
    <w:rsid w:val="007A6177"/>
    <w:rsid w:val="0081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9F2B"/>
  <w15:chartTrackingRefBased/>
  <w15:docId w15:val="{FABDFCD8-9D37-4B24-9BE1-E39F7EAD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D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D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2025-08-21T13:14:00Z</dcterms:created>
  <dcterms:modified xsi:type="dcterms:W3CDTF">2025-08-21T17:20:00Z</dcterms:modified>
</cp:coreProperties>
</file>