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Arial Narrow" w:hAnsi="Arial Narrow"/>
          <w:b/>
          <w:sz w:val="32"/>
        </w:rPr>
        <w:t>ACTA 031</w:t>
      </w:r>
    </w:p>
    <w:p>
      <w:pPr>
        <w:jc w:val="both"/>
      </w:pPr>
    </w:p>
    <w:p>
      <w:r>
        <w:rPr>
          <w:rFonts w:ascii="Arial Narrow" w:hAnsi="Arial Narrow"/>
          <w:b/>
        </w:rPr>
        <w:t>Acta de Reunión: Observatorio de Datos e Innovación Clínica - 09 de septiembre de 2026</w:t>
      </w:r>
    </w:p>
    <w:p>
      <w:pPr>
        <w:jc w:val="both"/>
      </w:pPr>
      <w:r>
        <w:rPr>
          <w:rFonts w:ascii="Arial Narrow" w:hAnsi="Arial Narrow"/>
          <w:b/>
        </w:rPr>
        <w:t>1. Información General y Contexto Institucional</w:t>
      </w:r>
    </w:p>
    <w:p>
      <w:pPr>
        <w:jc w:val="both"/>
      </w:pPr>
      <w:r>
        <w:rPr>
          <w:rFonts w:ascii="Arial Narrow" w:hAnsi="Arial Narrow"/>
        </w:rPr>
        <w:t>La sesión del Observatorio se constituyó como un espacio de alineación entre las dimensiones técnica y clínica. Se priorizó la transición de procesos manuales hacia arquitecturas automatizadas, garantizando la pertinencia médica del desarrollo de software y una infraestructura de seguridad robusta.</w:t>
      </w:r>
    </w:p>
    <w:p>
      <w:pPr>
        <w:jc w:val="both"/>
      </w:pPr>
      <w:r>
        <w:rPr>
          <w:rFonts w:ascii="Arial Narrow" w:hAnsi="Arial Narrow"/>
          <w:b/>
        </w:rPr>
        <w:t>Detalles de la sesión:</w:t>
      </w:r>
    </w:p>
    <w:p>
      <w:pPr>
        <w:numPr>
          <w:ilvl w:val="0"/>
          <w:numId w:val="1"/>
        </w:numPr>
        <w:jc w:val="both"/>
      </w:pPr>
      <w:r>
        <w:rPr>
          <w:rFonts w:ascii="Arial Narrow" w:hAnsi="Arial Narrow"/>
          <w:b/>
        </w:rPr>
        <w:t>Fecha:</w:t>
      </w:r>
      <w:r>
        <w:rPr>
          <w:rFonts w:ascii="Arial Narrow" w:hAnsi="Arial Narrow"/>
        </w:rPr>
        <w:t xml:space="preserve"> 09 de septiembre de 2026.</w:t>
      </w:r>
    </w:p>
    <w:p>
      <w:pPr>
        <w:numPr>
          <w:ilvl w:val="0"/>
          <w:numId w:val="1"/>
        </w:numPr>
        <w:jc w:val="both"/>
      </w:pPr>
      <w:r>
        <w:rPr>
          <w:rFonts w:ascii="Arial Narrow" w:hAnsi="Arial Narrow"/>
          <w:b/>
        </w:rPr>
        <w:t>Hora:</w:t>
      </w:r>
      <w:r>
        <w:rPr>
          <w:rFonts w:ascii="Arial Narrow" w:hAnsi="Arial Narrow"/>
        </w:rPr>
        <w:t xml:space="preserve"> 9:00 a. m.</w:t>
      </w:r>
    </w:p>
    <w:p>
      <w:pPr>
        <w:numPr>
          <w:ilvl w:val="0"/>
          <w:numId w:val="1"/>
        </w:numPr>
        <w:jc w:val="both"/>
      </w:pPr>
      <w:r>
        <w:rPr>
          <w:rFonts w:ascii="Arial Narrow" w:hAnsi="Arial Narrow"/>
          <w:b/>
        </w:rPr>
        <w:t>Objetivo de la sesión:</w:t>
      </w:r>
      <w:r>
        <w:rPr>
          <w:rFonts w:ascii="Arial Narrow" w:hAnsi="Arial Narrow"/>
        </w:rPr>
        <w:t xml:space="preserve"> Seguimiento de proyectos, arquitectura de despliegue y automatización del laboratorio.</w:t>
      </w:r>
    </w:p>
    <w:p>
      <w:pPr>
        <w:numPr>
          <w:ilvl w:val="0"/>
          <w:numId w:val="1"/>
        </w:numPr>
        <w:jc w:val="both"/>
      </w:pPr>
      <w:r>
        <w:rPr>
          <w:rFonts w:ascii="Arial Narrow" w:hAnsi="Arial Narrow"/>
          <w:b/>
        </w:rPr>
        <w:t>Participantes:</w:t>
      </w:r>
      <w:r>
        <w:rPr>
          <w:rFonts w:ascii="Arial Narrow" w:hAnsi="Arial Narrow"/>
        </w:rPr>
        <w:t xml:space="preserve"> Ing. Rafael Ortiz, Dra. Leslie Vargas, Pablo Ramírez, Olga Lucía Ramírez, Ximena Landinez.</w:t>
      </w:r>
    </w:p>
    <w:p>
      <w:pPr>
        <w:jc w:val="both"/>
      </w:pPr>
      <w:r>
        <w:rPr>
          <w:rFonts w:ascii="Arial Narrow" w:hAnsi="Arial Narrow"/>
        </w:rPr>
        <w:t>La apertura estuvo marcada por la urgencia de los compromisos inmediatos del equipo, que exigen una validación final de los materiales.</w:t>
      </w:r>
    </w:p>
    <w:p>
      <w:pPr>
        <w:jc w:val="both"/>
      </w:pPr>
      <w:r>
        <w:rPr>
          <w:rFonts w:ascii="Arial Narrow" w:hAnsi="Arial Narrow"/>
          <w:b/>
        </w:rPr>
        <w:t>2. Arquitectura, Seguridad y Despliegue de la Aplicación de Ergoespirometría</w:t>
      </w:r>
    </w:p>
    <w:p>
      <w:pPr>
        <w:jc w:val="both"/>
      </w:pPr>
      <w:r>
        <w:rPr>
          <w:rFonts w:ascii="Arial Narrow" w:hAnsi="Arial Narrow"/>
        </w:rPr>
        <w:t>La transición del proceso de generación de informes, hoy ejecutado con plantillas manuales de Word, hacia un sistema automatizado exige definir una arquitectura de despliegue segura que permita el acceso externo sin exponer la red institucional.</w:t>
      </w:r>
    </w:p>
    <w:tbl>
      <w:tblPr>
        <w:tblW w:w="0" w:type="auto"/>
        <w:tblCellMar>
          <w:top w:w="15" w:type="dxa"/>
          <w:left w:w="15" w:type="dxa"/>
          <w:bottom w:w="15" w:type="dxa"/>
          <w:right w:w="15" w:type="dxa"/>
        </w:tblCellMar>
        <w:tblLook w:val="04A0" w:firstRow="1" w:lastRow="0" w:firstColumn="1" w:lastColumn="0" w:noHBand="0" w:noVBand="1"/>
      </w:tblPr>
      <w:tblGrid>
        <w:gridCol w:w="2217"/>
        <w:gridCol w:w="6621"/>
      </w:tblGrid>
      <w:tr>
        <w:tc>
          <w:tcPr>
            <w:tcW w:w="0" w:type="auto"/>
          </w:tcPr>
          <w:p>
            <w:r>
              <w:rPr>
                <w:rFonts w:ascii="Arial Narrow" w:hAnsi="Arial Narrow"/>
                <w:b/>
              </w:rPr>
              <w:t>Componente</w:t>
            </w:r>
          </w:p>
        </w:tc>
        <w:tc>
          <w:tcPr>
            <w:tcW w:w="0" w:type="auto"/>
          </w:tcPr>
          <w:p>
            <w:r>
              <w:rPr>
                <w:rFonts w:ascii="Arial Narrow" w:hAnsi="Arial Narrow"/>
                <w:b/>
              </w:rPr>
              <w:t>Decisión Técnica / Acción</w:t>
            </w:r>
          </w:p>
        </w:tc>
      </w:tr>
      <w:tr>
        <w:tc>
          <w:tcPr>
            <w:tcW w:w="0" w:type="auto"/>
          </w:tcPr>
          <w:p>
            <w:r>
              <w:rPr>
                <w:rFonts w:ascii="Arial Narrow" w:hAnsi="Arial Narrow"/>
                <w:b/>
              </w:rPr>
              <w:t>Infraestructura</w:t>
            </w:r>
          </w:p>
        </w:tc>
        <w:tc>
          <w:tcPr>
            <w:tcW w:w="0" w:type="auto"/>
          </w:tcPr>
          <w:p>
            <w:r>
              <w:rPr>
                <w:rFonts w:ascii="Arial Narrow" w:hAnsi="Arial Narrow"/>
              </w:rPr>
              <w:t>Uso de un Servidor Privado Virtual (VPS) externo para alojar la aplicación.</w:t>
            </w:r>
          </w:p>
        </w:tc>
      </w:tr>
      <w:tr>
        <w:tc>
          <w:tcPr>
            <w:tcW w:w="0" w:type="auto"/>
          </w:tcPr>
          <w:p>
            <w:r>
              <w:rPr>
                <w:rFonts w:ascii="Arial Narrow" w:hAnsi="Arial Narrow"/>
                <w:b/>
              </w:rPr>
              <w:t>Seguridad/Arquitectura</w:t>
            </w:r>
          </w:p>
        </w:tc>
        <w:tc>
          <w:tcPr>
            <w:tcW w:w="0" w:type="auto"/>
          </w:tcPr>
          <w:p>
            <w:r>
              <w:rPr>
                <w:rFonts w:ascii="Arial Narrow" w:hAnsi="Arial Narrow"/>
              </w:rPr>
              <w:t>Implementación de Nginx como servidor web y Docker para el aislamiento de contenedores.</w:t>
            </w:r>
          </w:p>
        </w:tc>
      </w:tr>
      <w:tr>
        <w:tc>
          <w:tcPr>
            <w:tcW w:w="0" w:type="auto"/>
          </w:tcPr>
          <w:p>
            <w:r>
              <w:rPr>
                <w:rFonts w:ascii="Arial Narrow" w:hAnsi="Arial Narrow"/>
                <w:b/>
              </w:rPr>
              <w:t>Integración</w:t>
            </w:r>
          </w:p>
        </w:tc>
        <w:tc>
          <w:tcPr>
            <w:tcW w:w="0" w:type="auto"/>
          </w:tcPr>
          <w:p>
            <w:r>
              <w:rPr>
                <w:rFonts w:ascii="Arial Narrow" w:hAnsi="Arial Narrow"/>
              </w:rPr>
              <w:t>Comunicación mediante puerto específico y cifrado hacia el servidor institucional.</w:t>
            </w:r>
          </w:p>
        </w:tc>
      </w:tr>
    </w:tbl>
    <w:p>
      <w:pPr>
        <w:jc w:val="both"/>
      </w:pPr>
    </w:p>
    <w:p>
      <w:pPr>
        <w:jc w:val="both"/>
      </w:pPr>
      <w:r>
        <w:rPr>
          <w:rFonts w:ascii="Arial Narrow" w:hAnsi="Arial Narrow"/>
        </w:rPr>
        <w:t>Esta arquitectura de capas servirá como el estándar de seguridad para futuros despliegues del Observatorio.</w:t>
      </w:r>
    </w:p>
    <w:p>
      <w:pPr>
        <w:jc w:val="both"/>
      </w:pPr>
      <w:r>
        <w:rPr>
          <w:rFonts w:ascii="Arial Narrow" w:hAnsi="Arial Narrow"/>
          <w:b/>
        </w:rPr>
        <w:t>3. Gestión de Datos de Sueño</w:t>
      </w:r>
    </w:p>
    <w:p>
      <w:pPr>
        <w:jc w:val="both"/>
      </w:pPr>
      <w:r>
        <w:rPr>
          <w:rFonts w:ascii="Arial Narrow" w:hAnsi="Arial Narrow"/>
          <w:b/>
        </w:rPr>
        <w:t>Estado de Situación:</w:t>
      </w:r>
    </w:p>
    <w:p>
      <w:pPr>
        <w:numPr>
          <w:ilvl w:val="0"/>
          <w:numId w:val="1"/>
        </w:numPr>
        <w:jc w:val="both"/>
      </w:pPr>
      <w:r>
        <w:rPr>
          <w:rFonts w:ascii="Arial Narrow" w:hAnsi="Arial Narrow"/>
          <w:b/>
        </w:rPr>
        <w:t>Polisomnografía:</w:t>
      </w:r>
      <w:r>
        <w:rPr>
          <w:rFonts w:ascii="Arial Narrow" w:hAnsi="Arial Narrow"/>
        </w:rPr>
        <w:t xml:space="preserve"> Base de datos actualizada con éxito a fecha de cada lunes.</w:t>
      </w:r>
    </w:p>
    <w:p>
      <w:pPr>
        <w:numPr>
          <w:ilvl w:val="0"/>
          <w:numId w:val="1"/>
        </w:numPr>
        <w:jc w:val="both"/>
      </w:pPr>
      <w:r>
        <w:rPr>
          <w:rFonts w:ascii="Arial Narrow" w:hAnsi="Arial Narrow"/>
          <w:b/>
        </w:rPr>
        <w:t>CPAP y BPAP:</w:t>
      </w:r>
      <w:r>
        <w:rPr>
          <w:rFonts w:ascii="Arial Narrow" w:hAnsi="Arial Narrow"/>
        </w:rPr>
        <w:t xml:space="preserve"> Extracción pendiente de ejecución coordinada.</w:t>
      </w:r>
    </w:p>
    <w:p>
      <w:pPr>
        <w:numPr>
          <w:ilvl w:val="0"/>
          <w:numId w:val="1"/>
        </w:numPr>
        <w:jc w:val="both"/>
      </w:pPr>
      <w:r>
        <w:rPr>
          <w:rFonts w:ascii="Arial Narrow" w:hAnsi="Arial Narrow"/>
        </w:rPr>
        <w:t>Se requiere una jornada de diseño para la automatización total.</w:t>
      </w:r>
    </w:p>
    <w:p>
      <w:r>
        <w:rPr>
          <w:rFonts w:ascii="Arial Narrow" w:hAnsi="Arial Narrow"/>
          <w:b/>
        </w:rPr>
        <w:t>4. Tabla de Compromisos y Tareas Pendientes</w:t>
      </w:r>
    </w:p>
    <w:tbl>
      <w:tblPr>
        <w:tblW w:w="0" w:type="auto"/>
        <w:tblCellMar>
          <w:top w:w="15" w:type="dxa"/>
          <w:left w:w="15" w:type="dxa"/>
          <w:bottom w:w="15" w:type="dxa"/>
          <w:right w:w="15" w:type="dxa"/>
        </w:tblCellMar>
        <w:tblLook w:val="04A0" w:firstRow="1" w:lastRow="0" w:firstColumn="1" w:lastColumn="0" w:noHBand="0" w:noVBand="1"/>
      </w:tblPr>
      <w:tblGrid>
        <w:gridCol w:w="1918"/>
        <w:gridCol w:w="5916"/>
        <w:gridCol w:w="1004"/>
      </w:tblGrid>
      <w:tr>
        <w:tc>
          <w:tcPr>
            <w:tcW w:w="0" w:type="auto"/>
          </w:tcPr>
          <w:p>
            <w:r>
              <w:rPr>
                <w:rFonts w:ascii="Arial Narrow" w:hAnsi="Arial Narrow"/>
                <w:b/>
              </w:rPr>
              <w:t>Responsable</w:t>
            </w:r>
          </w:p>
        </w:tc>
        <w:tc>
          <w:tcPr>
            <w:tcW w:w="0" w:type="auto"/>
          </w:tcPr>
          <w:p>
            <w:r>
              <w:rPr>
                <w:rFonts w:ascii="Arial Narrow" w:hAnsi="Arial Narrow"/>
                <w:b/>
              </w:rPr>
              <w:t>Compromiso / Tarea</w:t>
            </w:r>
          </w:p>
        </w:tc>
        <w:tc>
          <w:tcPr>
            <w:tcW w:w="0" w:type="auto"/>
          </w:tcPr>
          <w:p>
            <w:r>
              <w:rPr>
                <w:rFonts w:ascii="Arial Narrow" w:hAnsi="Arial Narrow"/>
                <w:b/>
              </w:rPr>
              <w:t>Prioridad</w:t>
            </w:r>
          </w:p>
        </w:tc>
      </w:tr>
      <w:tr>
        <w:tc>
          <w:tcPr>
            <w:tcW w:w="0" w:type="auto"/>
          </w:tcPr>
          <w:p>
            <w:r>
              <w:rPr>
                <w:rFonts w:ascii="Arial Narrow" w:hAnsi="Arial Narrow"/>
                <w:b/>
              </w:rPr>
              <w:t>Dra. Leslie</w:t>
            </w:r>
          </w:p>
        </w:tc>
        <w:tc>
          <w:tcPr>
            <w:tcW w:w="0" w:type="auto"/>
          </w:tcPr>
          <w:p>
            <w:r>
              <w:rPr>
                <w:rFonts w:ascii="Arial Narrow" w:hAnsi="Arial Narrow"/>
              </w:rPr>
              <w:t>Ejecutar jornada de transferencia de conocimiento clínico.</w:t>
            </w:r>
          </w:p>
        </w:tc>
        <w:tc>
          <w:tcPr>
            <w:tcW w:w="0" w:type="auto"/>
          </w:tcPr>
          <w:p>
            <w:r>
              <w:rPr>
                <w:rFonts w:ascii="Arial Narrow" w:hAnsi="Arial Narrow"/>
              </w:rPr>
              <w:t>Alta</w:t>
            </w:r>
          </w:p>
        </w:tc>
      </w:tr>
      <w:tr>
        <w:tc>
          <w:tcPr>
            <w:tcW w:w="0" w:type="auto"/>
          </w:tcPr>
          <w:p>
            <w:r>
              <w:rPr>
                <w:rFonts w:ascii="Arial Narrow" w:hAnsi="Arial Narrow"/>
                <w:b/>
              </w:rPr>
              <w:t>Pablo / Olga L.</w:t>
            </w:r>
          </w:p>
        </w:tc>
        <w:tc>
          <w:tcPr>
            <w:tcW w:w="0" w:type="auto"/>
          </w:tcPr>
          <w:p>
            <w:r>
              <w:rPr>
                <w:rFonts w:ascii="Arial Narrow" w:hAnsi="Arial Narrow"/>
              </w:rPr>
              <w:t>Validar diariamente el monitor de extracciones.</w:t>
            </w:r>
          </w:p>
        </w:tc>
        <w:tc>
          <w:tcPr>
            <w:tcW w:w="0" w:type="auto"/>
          </w:tcPr>
          <w:p>
            <w:r>
              <w:rPr>
                <w:rFonts w:ascii="Arial Narrow" w:hAnsi="Arial Narrow"/>
              </w:rPr>
              <w:t>Recurrente</w:t>
            </w:r>
          </w:p>
        </w:tc>
      </w:tr>
    </w:tbl>
    <w:p>
      <w:pPr>
        <w:jc w:val="both"/>
      </w:pPr>
    </w:p>
    <w:sectPr w:rsidR="00CB3FB4" w:rsidRPr="003F5B84">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5A039" w14:textId="77777777" w:rsidR="0092682C" w:rsidRDefault="0092682C" w:rsidP="003F5B84">
      <w:pPr>
        <w:spacing w:after="0" w:line="240" w:lineRule="auto"/>
      </w:pPr>
      <w:r>
        <w:separator/>
      </w:r>
    </w:p>
  </w:endnote>
  <w:endnote w:type="continuationSeparator" w:id="0">
    <w:p w14:paraId="2F2EE8F0" w14:textId="77777777" w:rsidR="0092682C" w:rsidRDefault="0092682C" w:rsidP="003F5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C698" w14:textId="77777777" w:rsidR="003F5B84" w:rsidRDefault="003F5B8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45B41" w14:textId="77777777" w:rsidR="003F5B84" w:rsidRDefault="003F5B8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FA0BC" w14:textId="77777777" w:rsidR="003F5B84" w:rsidRDefault="003F5B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CA6CB" w14:textId="77777777" w:rsidR="0092682C" w:rsidRDefault="0092682C" w:rsidP="003F5B84">
      <w:pPr>
        <w:spacing w:after="0" w:line="240" w:lineRule="auto"/>
      </w:pPr>
      <w:r>
        <w:separator/>
      </w:r>
    </w:p>
  </w:footnote>
  <w:footnote w:type="continuationSeparator" w:id="0">
    <w:p w14:paraId="7887FBB2" w14:textId="77777777" w:rsidR="0092682C" w:rsidRDefault="0092682C" w:rsidP="003F5B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9952" w14:textId="77777777" w:rsidR="003F5B84" w:rsidRDefault="003F5B8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E2C82" w14:textId="77777777" w:rsidR="003F5B84" w:rsidRDefault="003F5B8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7EB6" w14:textId="77777777" w:rsidR="003F5B84" w:rsidRDefault="003F5B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BC6"/>
    <w:multiLevelType w:val="multilevel"/>
    <w:tmpl w:val="9B08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C7018"/>
    <w:multiLevelType w:val="multilevel"/>
    <w:tmpl w:val="12BC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077E9"/>
    <w:multiLevelType w:val="multilevel"/>
    <w:tmpl w:val="D454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A7902"/>
    <w:multiLevelType w:val="multilevel"/>
    <w:tmpl w:val="4CDA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006A7B"/>
    <w:multiLevelType w:val="multilevel"/>
    <w:tmpl w:val="79CAB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C36E68"/>
    <w:multiLevelType w:val="multilevel"/>
    <w:tmpl w:val="973C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E47062"/>
    <w:multiLevelType w:val="multilevel"/>
    <w:tmpl w:val="7F44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156483">
    <w:abstractNumId w:val="6"/>
  </w:num>
  <w:num w:numId="2" w16cid:durableId="1985498695">
    <w:abstractNumId w:val="3"/>
  </w:num>
  <w:num w:numId="3" w16cid:durableId="1334526424">
    <w:abstractNumId w:val="1"/>
  </w:num>
  <w:num w:numId="4" w16cid:durableId="1584681677">
    <w:abstractNumId w:val="2"/>
  </w:num>
  <w:num w:numId="5" w16cid:durableId="1932548878">
    <w:abstractNumId w:val="4"/>
  </w:num>
  <w:num w:numId="6" w16cid:durableId="1004547574">
    <w:abstractNumId w:val="0"/>
  </w:num>
  <w:num w:numId="7" w16cid:durableId="12705066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FB4"/>
    <w:rsid w:val="0029030E"/>
    <w:rsid w:val="00337EC3"/>
    <w:rsid w:val="003F5B84"/>
    <w:rsid w:val="0092682C"/>
    <w:rsid w:val="00996A70"/>
    <w:rsid w:val="00BE5F10"/>
    <w:rsid w:val="00CB3F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A6C9D"/>
  <w15:chartTrackingRefBased/>
  <w15:docId w15:val="{8969C9F5-F8E5-42FA-89A3-1DCF6A650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FB4"/>
  </w:style>
  <w:style w:type="paragraph" w:styleId="Ttulo1">
    <w:name w:val="heading 1"/>
    <w:basedOn w:val="Normal"/>
    <w:next w:val="Normal"/>
    <w:link w:val="Ttulo1Car"/>
    <w:uiPriority w:val="9"/>
    <w:qFormat/>
    <w:rsid w:val="00CB3F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B3F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B3F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B3F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B3F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B3F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3F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3F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3F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3FB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B3FB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B3FB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B3FB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B3FB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B3F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3F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3F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3FB4"/>
    <w:rPr>
      <w:rFonts w:eastAsiaTheme="majorEastAsia" w:cstheme="majorBidi"/>
      <w:color w:val="272727" w:themeColor="text1" w:themeTint="D8"/>
    </w:rPr>
  </w:style>
  <w:style w:type="paragraph" w:styleId="Ttulo">
    <w:name w:val="Title"/>
    <w:basedOn w:val="Normal"/>
    <w:next w:val="Normal"/>
    <w:link w:val="TtuloCar"/>
    <w:uiPriority w:val="10"/>
    <w:qFormat/>
    <w:rsid w:val="00CB3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3F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3F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3F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3FB4"/>
    <w:pPr>
      <w:spacing w:before="160"/>
      <w:jc w:val="center"/>
    </w:pPr>
    <w:rPr>
      <w:i/>
      <w:iCs/>
      <w:color w:val="404040" w:themeColor="text1" w:themeTint="BF"/>
    </w:rPr>
  </w:style>
  <w:style w:type="character" w:customStyle="1" w:styleId="CitaCar">
    <w:name w:val="Cita Car"/>
    <w:basedOn w:val="Fuentedeprrafopredeter"/>
    <w:link w:val="Cita"/>
    <w:uiPriority w:val="29"/>
    <w:rsid w:val="00CB3FB4"/>
    <w:rPr>
      <w:i/>
      <w:iCs/>
      <w:color w:val="404040" w:themeColor="text1" w:themeTint="BF"/>
    </w:rPr>
  </w:style>
  <w:style w:type="paragraph" w:styleId="Prrafodelista">
    <w:name w:val="List Paragraph"/>
    <w:basedOn w:val="Normal"/>
    <w:uiPriority w:val="34"/>
    <w:qFormat/>
    <w:rsid w:val="00CB3FB4"/>
    <w:pPr>
      <w:ind w:left="720"/>
      <w:contextualSpacing/>
    </w:pPr>
  </w:style>
  <w:style w:type="character" w:styleId="nfasisintenso">
    <w:name w:val="Intense Emphasis"/>
    <w:basedOn w:val="Fuentedeprrafopredeter"/>
    <w:uiPriority w:val="21"/>
    <w:qFormat/>
    <w:rsid w:val="00CB3FB4"/>
    <w:rPr>
      <w:i/>
      <w:iCs/>
      <w:color w:val="2F5496" w:themeColor="accent1" w:themeShade="BF"/>
    </w:rPr>
  </w:style>
  <w:style w:type="paragraph" w:styleId="Citadestacada">
    <w:name w:val="Intense Quote"/>
    <w:basedOn w:val="Normal"/>
    <w:next w:val="Normal"/>
    <w:link w:val="CitadestacadaCar"/>
    <w:uiPriority w:val="30"/>
    <w:qFormat/>
    <w:rsid w:val="00CB3F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B3FB4"/>
    <w:rPr>
      <w:i/>
      <w:iCs/>
      <w:color w:val="2F5496" w:themeColor="accent1" w:themeShade="BF"/>
    </w:rPr>
  </w:style>
  <w:style w:type="character" w:styleId="Referenciaintensa">
    <w:name w:val="Intense Reference"/>
    <w:basedOn w:val="Fuentedeprrafopredeter"/>
    <w:uiPriority w:val="32"/>
    <w:qFormat/>
    <w:rsid w:val="00CB3FB4"/>
    <w:rPr>
      <w:b/>
      <w:bCs/>
      <w:smallCaps/>
      <w:color w:val="2F5496" w:themeColor="accent1" w:themeShade="BF"/>
      <w:spacing w:val="5"/>
    </w:rPr>
  </w:style>
  <w:style w:type="paragraph" w:styleId="Encabezado">
    <w:name w:val="header"/>
    <w:basedOn w:val="Normal"/>
    <w:link w:val="EncabezadoCar"/>
    <w:uiPriority w:val="99"/>
    <w:unhideWhenUsed/>
    <w:rsid w:val="003F5B8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5B84"/>
  </w:style>
  <w:style w:type="paragraph" w:styleId="Piedepgina">
    <w:name w:val="footer"/>
    <w:basedOn w:val="Normal"/>
    <w:link w:val="PiedepginaCar"/>
    <w:uiPriority w:val="99"/>
    <w:unhideWhenUsed/>
    <w:rsid w:val="003F5B8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5B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2234B2-04CA-41E5-883C-3C0AC33F5E65}">
  <we:reference id="wa200010453" version="1.0.0.1" store="es-ES" storeType="OMEX"/>
  <we:alternateReferences>
    <we:reference id="wa200010453" version="1.0.0.1" store="wa200010453" storeType="OMEX"/>
  </we:alternateReferences>
  <we:properties>
    <we:property name="claude.fileId" value="&quot;7a572006-69d7-4df1-ab56-fba6d23bfd1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39</TotalTime>
  <Pages>5</Pages>
  <Words>1433</Words>
  <Characters>7884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Liliana SLCM. Corzo Moncada</dc:creator>
  <cp:keywords/>
  <dc:description/>
  <cp:lastModifiedBy>Diego Andrey DALD. Lozano Duarte</cp:lastModifiedBy>
  <cp:revision>2</cp:revision>
  <dcterms:created xsi:type="dcterms:W3CDTF">2026-09-15T20:56:00Z</dcterms:created>
  <dcterms:modified xsi:type="dcterms:W3CDTF">2026-09-16T14:11:00Z</dcterms:modified>
</cp:coreProperties>
</file>