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Northstar Components</w:t>
      </w:r>
    </w:p>
    <w:p>
      <w:pPr>
        <w:spacing w:after="40"/>
      </w:pPr>
      <w:r>
        <w:rPr>
          <w:b/>
          <w:bCs/>
          <w:color w:val="1F3864"/>
          <w:sz w:val="26"/>
          <w:szCs w:val="26"/>
        </w:rPr>
        <w:t xml:space="preserve">Forecast-Driven Next-Period Production Plan — Management Report</w:t>
      </w:r>
    </w:p>
    <w:p>
      <w:pPr>
        <w:pBdr>
          <w:bottom w:val="single" w:color="1F3864" w:sz="12" w:space="8"/>
        </w:pBdr>
        <w:spacing w:after="200"/>
      </w:pPr>
      <w:r>
        <w:rPr>
          <w:i/>
          <w:iCs/>
          <w:color w:val="666666"/>
          <w:sz w:val="18"/>
          <w:szCs w:val="18"/>
        </w:rPr>
        <w:t xml:space="preserve">Warehouse NSC-01  ·  Currency EUR  ·  Prepared 18 July 2026  ·  Orchestrated demand-forecast + optimization task</w:t>
      </w:r>
    </w:p>
    <w:p>
      <w:pPr>
        <w:pStyle w:val="Heading1"/>
        <w:spacing w:after="120" w:before="240"/>
      </w:pPr>
      <w:r>
        <w:t xml:space="preserve">Executive Summary</w:t>
      </w:r>
    </w:p>
    <w:p>
      <w:pPr>
        <w:spacing w:after="120"/>
      </w:pPr>
      <w:r>
        <w:t xml:space="preserve">This report determines the most profitable feasible integer production plan for Northstar Components' next period. Unlike a fixed demand plan, the demand ceilings here are estimated from each product's synthetic sales history and the known explanatory variables for the coming period, then fed into a resource-constrained optimization.</w:t>
      </w:r>
    </w:p>
    <w:p>
      <w:pPr>
        <w:spacing w:after="120"/>
      </w:pPr>
      <w:r>
        <w:t xml:space="preserve">The workflow was orchestrated across two Optees capabilities: a linear regression (ml.regression.linear) was fitted separately for Product A and Product B to forecast next-period demand, and a mixed-integer linear program (milp.linear) then maximized total contribution subject to the forecast demand ceilings, minimum commitments, and hard resource capacities.</w:t>
      </w:r>
    </w:p>
    <w:p>
      <w:pPr>
        <w:spacing w:after="120"/>
      </w:pPr>
      <w:r>
        <w:t xml:space="preserve">The recommended plan is to produce 18 units of Product A and 6 units of Product B, for a maximum total contribution of EUR 1,050. The optimization was mathematically optimal and independently verified as feasible. The forecasts themselves are point estimates and carry uncertainty; they should not be treated as certain, and the plan should be revisited if realised demand or the explanatory assumptions differ.</w:t>
      </w:r>
    </w:p>
    <w:p>
      <w:pPr>
        <w:pStyle w:val="Heading1"/>
        <w:spacing w:after="120" w:before="240"/>
      </w:pPr>
      <w:r>
        <w:t xml:space="preserve">Workflow Overview</w:t>
      </w:r>
    </w:p>
    <w:p>
      <w:pPr>
        <w:spacing w:after="120"/>
      </w:pPr>
      <w:r>
        <w:t xml:space="preserve">The analysis proceeded in four stages, each using a versioned Optees payload that was validated before execution:</w:t>
      </w:r>
    </w:p>
    <w:p>
      <w:pPr>
        <w:pStyle w:val="ListParagraph"/>
        <w:numPr>
          <w:ilvl w:val="0"/>
          <w:numId w:val="1"/>
        </w:numPr>
        <w:spacing w:after="60"/>
      </w:pPr>
      <w:r>
        <w:t xml:space="preserve">Stage 1 — Observed data: read unit economics and per-unit resource usage (Products), hard capacities (Resources), 12 months of historical demand with explanatory variables (History A, History B), and next-period explanatory variables (Next Period).</w:t>
      </w:r>
    </w:p>
    <w:p>
      <w:pPr>
        <w:pStyle w:val="ListParagraph"/>
        <w:numPr>
          <w:ilvl w:val="0"/>
          <w:numId w:val="1"/>
        </w:numPr>
        <w:spacing w:after="60"/>
      </w:pPr>
      <w:r>
        <w:t xml:space="preserve">Stage 2 — Forecasting: fit an ordinary-least-squares linear regression for each product (demand as a function of marketing spend, season index, and unit price), then apply the fitted model to the Next Period explanatory values to obtain a demand point forecast.</w:t>
      </w:r>
    </w:p>
    <w:p>
      <w:pPr>
        <w:pStyle w:val="ListParagraph"/>
        <w:numPr>
          <w:ilvl w:val="0"/>
          <w:numId w:val="1"/>
        </w:numPr>
        <w:spacing w:after="60"/>
      </w:pPr>
      <w:r>
        <w:t xml:space="preserve">Stage 3 — Optimization: solve a mixed-integer linear program that maximizes total contribution, using the demand forecasts as upper bounds, the product minimum commitments as lower bounds, and the three hard resource capacities as constraints.</w:t>
      </w:r>
    </w:p>
    <w:p>
      <w:pPr>
        <w:pStyle w:val="ListParagraph"/>
        <w:numPr>
          <w:ilvl w:val="0"/>
          <w:numId w:val="1"/>
        </w:numPr>
        <w:spacing w:after="60"/>
      </w:pPr>
      <w:r>
        <w:t xml:space="preserve">Stage 4 — Reporting: separate observed data, model predictions, and optimization decisions, and report mathematical status distinctly from independent validation.</w:t>
      </w:r>
    </w:p>
    <w:p>
      <w:pPr>
        <w:pStyle w:val="Heading1"/>
        <w:spacing w:after="120" w:before="240"/>
      </w:pPr>
      <w:r>
        <w:t xml:space="preserve">Observed Workbook Data</w:t>
      </w:r>
    </w:p>
    <w:p>
      <w:pPr>
        <w:spacing w:after="120"/>
      </w:pPr>
      <w:r>
        <w:t xml:space="preserve">The following values were read directly from the workbook and were not modified.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1550"/>
        <w:gridCol w:w="1550"/>
        <w:gridCol w:w="1400"/>
        <w:gridCol w:w="1600"/>
      </w:tblGrid>
      <w:tr>
        <w:trPr>
          <w:tblHeader/>
        </w:trPr>
        <w:tc>
          <w:tcPr>
            <w:tcW w:type="dxa" w:w="1000"/>
            <w:shd w:fill="1F3864" w:color="auto" w:val="clear"/>
          </w:tcPr>
          <w:p>
            <w:pPr>
              <w:jc w:val="left"/>
            </w:pPr>
            <w:r>
              <w:rPr>
                <w:b/>
                <w:bCs/>
                <w:color w:val="FFFFFF"/>
              </w:rPr>
              <w:t xml:space="preserve">Product</w:t>
            </w:r>
          </w:p>
        </w:tc>
        <w:tc>
          <w:tcPr>
            <w:tcW w:type="dxa" w:w="1900"/>
            <w:shd w:fill="1F3864" w:color="auto" w:val="clear"/>
          </w:tcPr>
          <w:p>
            <w:pPr>
              <w:jc w:val="center"/>
            </w:pPr>
            <w:r>
              <w:rPr>
                <w:b/>
                <w:bCs/>
                <w:color w:val="FFFFFF"/>
              </w:rPr>
              <w:t xml:space="preserve">Unit contribution (EUR)</w:t>
            </w:r>
          </w:p>
        </w:tc>
        <w:tc>
          <w:tcPr>
            <w:tcW w:type="dxa" w:w="1550"/>
            <w:shd w:fill="1F3864" w:color="auto" w:val="clear"/>
          </w:tcPr>
          <w:p>
            <w:pPr>
              <w:jc w:val="center"/>
            </w:pPr>
            <w:r>
              <w:rPr>
                <w:b/>
                <w:bCs/>
                <w:color w:val="FFFFFF"/>
              </w:rPr>
              <w:t xml:space="preserve">Machine h/unit</w:t>
            </w:r>
          </w:p>
        </w:tc>
        <w:tc>
          <w:tcPr>
            <w:tcW w:type="dxa" w:w="1550"/>
            <w:shd w:fill="1F3864" w:color="auto" w:val="clear"/>
          </w:tcPr>
          <w:p>
            <w:pPr>
              <w:jc w:val="center"/>
            </w:pPr>
            <w:r>
              <w:rPr>
                <w:b/>
                <w:bCs/>
                <w:color w:val="FFFFFF"/>
              </w:rPr>
              <w:t xml:space="preserve">Material kg/unit</w:t>
            </w:r>
          </w:p>
        </w:tc>
        <w:tc>
          <w:tcPr>
            <w:tcW w:type="dxa" w:w="1400"/>
            <w:shd w:fill="1F3864" w:color="auto" w:val="clear"/>
          </w:tcPr>
          <w:p>
            <w:pPr>
              <w:jc w:val="center"/>
            </w:pPr>
            <w:r>
              <w:rPr>
                <w:b/>
                <w:bCs/>
                <w:color w:val="FFFFFF"/>
              </w:rPr>
              <w:t xml:space="preserve">Labour h/unit</w:t>
            </w:r>
          </w:p>
        </w:tc>
        <w:tc>
          <w:tcPr>
            <w:tcW w:type="dxa" w:w="1600"/>
            <w:shd w:fill="1F3864" w:color="auto" w:val="clear"/>
          </w:tcPr>
          <w:p>
            <w:pPr>
              <w:jc w:val="center"/>
            </w:pPr>
            <w:r>
              <w:rPr>
                <w:b/>
                <w:bCs/>
                <w:color w:val="FFFFFF"/>
              </w:rPr>
              <w:t xml:space="preserve">Min units</w:t>
            </w:r>
          </w:p>
        </w:tc>
      </w:tr>
      <w:tr>
        <w:tc>
          <w:tcPr>
            <w:tcW w:type="dxa" w:w="1000"/>
          </w:tcPr>
          <w:p>
            <w:pPr>
              <w:jc w:val="left"/>
            </w:pPr>
            <w:r>
              <w:rPr>
                <w:b w:val="false"/>
                <w:bCs w:val="false"/>
                <w:color w:val="000000"/>
              </w:rPr>
              <w:t xml:space="preserve">A</w:t>
            </w:r>
          </w:p>
        </w:tc>
        <w:tc>
          <w:tcPr>
            <w:tcW w:type="dxa" w:w="1900"/>
          </w:tcPr>
          <w:p>
            <w:pPr>
              <w:jc w:val="center"/>
            </w:pPr>
            <w:r>
              <w:rPr>
                <w:b w:val="false"/>
                <w:bCs w:val="false"/>
                <w:color w:val="000000"/>
              </w:rPr>
              <w:t xml:space="preserve">40</w:t>
            </w:r>
          </w:p>
        </w:tc>
        <w:tc>
          <w:tcPr>
            <w:tcW w:type="dxa" w:w="1550"/>
          </w:tcPr>
          <w:p>
            <w:pPr>
              <w:jc w:val="center"/>
            </w:pPr>
            <w:r>
              <w:rPr>
                <w:b w:val="false"/>
                <w:bCs w:val="false"/>
                <w:color w:val="000000"/>
              </w:rPr>
              <w:t xml:space="preserve">2</w:t>
            </w:r>
          </w:p>
        </w:tc>
        <w:tc>
          <w:tcPr>
            <w:tcW w:type="dxa" w:w="1550"/>
          </w:tcPr>
          <w:p>
            <w:pPr>
              <w:jc w:val="center"/>
            </w:pPr>
            <w:r>
              <w:rPr>
                <w:b w:val="false"/>
                <w:bCs w:val="false"/>
                <w:color w:val="000000"/>
              </w:rPr>
              <w:t xml:space="preserve">3</w:t>
            </w:r>
          </w:p>
        </w:tc>
        <w:tc>
          <w:tcPr>
            <w:tcW w:type="dxa" w:w="1400"/>
          </w:tcPr>
          <w:p>
            <w:pPr>
              <w:jc w:val="center"/>
            </w:pPr>
            <w:r>
              <w:rPr>
                <w:b w:val="false"/>
                <w:bCs w:val="false"/>
                <w:color w:val="000000"/>
              </w:rPr>
              <w:t xml:space="preserve">1</w:t>
            </w:r>
          </w:p>
        </w:tc>
        <w:tc>
          <w:tcPr>
            <w:tcW w:type="dxa" w:w="1600"/>
          </w:tcPr>
          <w:p>
            <w:pPr>
              <w:jc w:val="center"/>
            </w:pPr>
            <w:r>
              <w:rPr>
                <w:b w:val="false"/>
                <w:bCs w:val="false"/>
                <w:color w:val="000000"/>
              </w:rPr>
              <w:t xml:space="preserve">5</w:t>
            </w:r>
          </w:p>
        </w:tc>
      </w:tr>
      <w:tr>
        <w:tc>
          <w:tcPr>
            <w:tcW w:type="dxa" w:w="1000"/>
          </w:tcPr>
          <w:p>
            <w:pPr>
              <w:jc w:val="left"/>
            </w:pPr>
            <w:r>
              <w:rPr>
                <w:b w:val="false"/>
                <w:bCs w:val="false"/>
                <w:color w:val="000000"/>
              </w:rPr>
              <w:t xml:space="preserve">B</w:t>
            </w:r>
          </w:p>
        </w:tc>
        <w:tc>
          <w:tcPr>
            <w:tcW w:type="dxa" w:w="1900"/>
          </w:tcPr>
          <w:p>
            <w:pPr>
              <w:jc w:val="center"/>
            </w:pPr>
            <w:r>
              <w:rPr>
                <w:b w:val="false"/>
                <w:bCs w:val="false"/>
                <w:color w:val="000000"/>
              </w:rPr>
              <w:t xml:space="preserve">55</w:t>
            </w:r>
          </w:p>
        </w:tc>
        <w:tc>
          <w:tcPr>
            <w:tcW w:type="dxa" w:w="1550"/>
          </w:tcPr>
          <w:p>
            <w:pPr>
              <w:jc w:val="center"/>
            </w:pPr>
            <w:r>
              <w:rPr>
                <w:b w:val="false"/>
                <w:bCs w:val="false"/>
                <w:color w:val="000000"/>
              </w:rPr>
              <w:t xml:space="preserve">4</w:t>
            </w:r>
          </w:p>
        </w:tc>
        <w:tc>
          <w:tcPr>
            <w:tcW w:type="dxa" w:w="1550"/>
          </w:tcPr>
          <w:p>
            <w:pPr>
              <w:jc w:val="center"/>
            </w:pPr>
            <w:r>
              <w:rPr>
                <w:b w:val="false"/>
                <w:bCs w:val="false"/>
                <w:color w:val="000000"/>
              </w:rPr>
              <w:t xml:space="preserve">2</w:t>
            </w:r>
          </w:p>
        </w:tc>
        <w:tc>
          <w:tcPr>
            <w:tcW w:type="dxa" w:w="1400"/>
          </w:tcPr>
          <w:p>
            <w:pPr>
              <w:jc w:val="center"/>
            </w:pPr>
            <w:r>
              <w:rPr>
                <w:b w:val="false"/>
                <w:bCs w:val="false"/>
                <w:color w:val="000000"/>
              </w:rPr>
              <w:t xml:space="preserve">2</w:t>
            </w:r>
          </w:p>
        </w:tc>
        <w:tc>
          <w:tcPr>
            <w:tcW w:type="dxa" w:w="1600"/>
          </w:tcPr>
          <w:p>
            <w:pPr>
              <w:jc w:val="center"/>
            </w:pPr>
            <w:r>
              <w:rPr>
                <w:b w:val="false"/>
                <w:bCs w:val="false"/>
                <w:color w:val="000000"/>
              </w:rPr>
              <w:t xml:space="preserve">3</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600"/>
        <w:gridCol w:w="2600"/>
      </w:tblGrid>
      <w:tr>
        <w:trPr>
          <w:tblHeader/>
        </w:trPr>
        <w:tc>
          <w:tcPr>
            <w:tcW w:type="dxa" w:w="2600"/>
            <w:shd w:fill="1F3864" w:color="auto" w:val="clear"/>
          </w:tcPr>
          <w:p>
            <w:pPr>
              <w:jc w:val="left"/>
            </w:pPr>
            <w:r>
              <w:rPr>
                <w:b/>
                <w:bCs/>
                <w:color w:val="FFFFFF"/>
              </w:rPr>
              <w:t xml:space="preserve">Resource</w:t>
            </w:r>
          </w:p>
        </w:tc>
        <w:tc>
          <w:tcPr>
            <w:tcW w:type="dxa" w:w="2200"/>
            <w:shd w:fill="1F3864" w:color="auto" w:val="clear"/>
          </w:tcPr>
          <w:p>
            <w:pPr>
              <w:jc w:val="center"/>
            </w:pPr>
            <w:r>
              <w:rPr>
                <w:b/>
                <w:bCs/>
                <w:color w:val="FFFFFF"/>
              </w:rPr>
              <w:t xml:space="preserve">Available capacity</w:t>
            </w:r>
          </w:p>
        </w:tc>
        <w:tc>
          <w:tcPr>
            <w:tcW w:type="dxa" w:w="1600"/>
            <w:shd w:fill="1F3864" w:color="auto" w:val="clear"/>
          </w:tcPr>
          <w:p>
            <w:pPr>
              <w:jc w:val="center"/>
            </w:pPr>
            <w:r>
              <w:rPr>
                <w:b/>
                <w:bCs/>
                <w:color w:val="FFFFFF"/>
              </w:rPr>
              <w:t xml:space="preserve">Unit</w:t>
            </w:r>
          </w:p>
        </w:tc>
        <w:tc>
          <w:tcPr>
            <w:tcW w:type="dxa" w:w="2600"/>
            <w:shd w:fill="1F3864" w:color="auto" w:val="clear"/>
          </w:tcPr>
          <w:p>
            <w:pPr>
              <w:jc w:val="center"/>
            </w:pPr>
            <w:r>
              <w:rPr>
                <w:b/>
                <w:bCs/>
                <w:color w:val="FFFFFF"/>
              </w:rPr>
              <w:t xml:space="preserve">Hard constraint</w:t>
            </w:r>
          </w:p>
        </w:tc>
      </w:tr>
      <w:tr>
        <w:tc>
          <w:tcPr>
            <w:tcW w:type="dxa" w:w="2600"/>
          </w:tcPr>
          <w:p>
            <w:pPr>
              <w:jc w:val="left"/>
            </w:pPr>
            <w:r>
              <w:rPr>
                <w:b w:val="false"/>
                <w:bCs w:val="false"/>
                <w:color w:val="000000"/>
              </w:rPr>
              <w:t xml:space="preserve">Machine time</w:t>
            </w:r>
          </w:p>
        </w:tc>
        <w:tc>
          <w:tcPr>
            <w:tcW w:type="dxa" w:w="2200"/>
          </w:tcPr>
          <w:p>
            <w:pPr>
              <w:jc w:val="center"/>
            </w:pPr>
            <w:r>
              <w:rPr>
                <w:b w:val="false"/>
                <w:bCs w:val="false"/>
                <w:color w:val="000000"/>
              </w:rPr>
              <w:t xml:space="preserve">60</w:t>
            </w:r>
          </w:p>
        </w:tc>
        <w:tc>
          <w:tcPr>
            <w:tcW w:type="dxa" w:w="1600"/>
          </w:tcPr>
          <w:p>
            <w:pPr>
              <w:jc w:val="center"/>
            </w:pPr>
            <w:r>
              <w:rPr>
                <w:b w:val="false"/>
                <w:bCs w:val="false"/>
                <w:color w:val="000000"/>
              </w:rPr>
              <w:t xml:space="preserve">hours</w:t>
            </w:r>
          </w:p>
        </w:tc>
        <w:tc>
          <w:tcPr>
            <w:tcW w:type="dxa" w:w="2600"/>
          </w:tcPr>
          <w:p>
            <w:pPr>
              <w:jc w:val="center"/>
            </w:pPr>
            <w:r>
              <w:rPr>
                <w:b w:val="false"/>
                <w:bCs w:val="false"/>
                <w:color w:val="000000"/>
              </w:rPr>
              <w:t xml:space="preserve">Yes</w:t>
            </w:r>
          </w:p>
        </w:tc>
      </w:tr>
      <w:tr>
        <w:tc>
          <w:tcPr>
            <w:tcW w:type="dxa" w:w="2600"/>
          </w:tcPr>
          <w:p>
            <w:pPr>
              <w:jc w:val="left"/>
            </w:pPr>
            <w:r>
              <w:rPr>
                <w:b w:val="false"/>
                <w:bCs w:val="false"/>
                <w:color w:val="000000"/>
              </w:rPr>
              <w:t xml:space="preserve">Raw material</w:t>
            </w:r>
          </w:p>
        </w:tc>
        <w:tc>
          <w:tcPr>
            <w:tcW w:type="dxa" w:w="2200"/>
          </w:tcPr>
          <w:p>
            <w:pPr>
              <w:jc w:val="center"/>
            </w:pPr>
            <w:r>
              <w:rPr>
                <w:b w:val="false"/>
                <w:bCs w:val="false"/>
                <w:color w:val="000000"/>
              </w:rPr>
              <w:t xml:space="preserve">80</w:t>
            </w:r>
          </w:p>
        </w:tc>
        <w:tc>
          <w:tcPr>
            <w:tcW w:type="dxa" w:w="1600"/>
          </w:tcPr>
          <w:p>
            <w:pPr>
              <w:jc w:val="center"/>
            </w:pPr>
            <w:r>
              <w:rPr>
                <w:b w:val="false"/>
                <w:bCs w:val="false"/>
                <w:color w:val="000000"/>
              </w:rPr>
              <w:t xml:space="preserve">kg</w:t>
            </w:r>
          </w:p>
        </w:tc>
        <w:tc>
          <w:tcPr>
            <w:tcW w:type="dxa" w:w="2600"/>
          </w:tcPr>
          <w:p>
            <w:pPr>
              <w:jc w:val="center"/>
            </w:pPr>
            <w:r>
              <w:rPr>
                <w:b w:val="false"/>
                <w:bCs w:val="false"/>
                <w:color w:val="000000"/>
              </w:rPr>
              <w:t xml:space="preserve">Yes</w:t>
            </w:r>
          </w:p>
        </w:tc>
      </w:tr>
      <w:tr>
        <w:tc>
          <w:tcPr>
            <w:tcW w:type="dxa" w:w="2600"/>
          </w:tcPr>
          <w:p>
            <w:pPr>
              <w:jc w:val="left"/>
            </w:pPr>
            <w:r>
              <w:rPr>
                <w:b w:val="false"/>
                <w:bCs w:val="false"/>
                <w:color w:val="000000"/>
              </w:rPr>
              <w:t xml:space="preserve">Direct labour</w:t>
            </w:r>
          </w:p>
        </w:tc>
        <w:tc>
          <w:tcPr>
            <w:tcW w:type="dxa" w:w="2200"/>
          </w:tcPr>
          <w:p>
            <w:pPr>
              <w:jc w:val="center"/>
            </w:pPr>
            <w:r>
              <w:rPr>
                <w:b w:val="false"/>
                <w:bCs w:val="false"/>
                <w:color w:val="000000"/>
              </w:rPr>
              <w:t xml:space="preserve">35</w:t>
            </w:r>
          </w:p>
        </w:tc>
        <w:tc>
          <w:tcPr>
            <w:tcW w:type="dxa" w:w="1600"/>
          </w:tcPr>
          <w:p>
            <w:pPr>
              <w:jc w:val="center"/>
            </w:pPr>
            <w:r>
              <w:rPr>
                <w:b w:val="false"/>
                <w:bCs w:val="false"/>
                <w:color w:val="000000"/>
              </w:rPr>
              <w:t xml:space="preserve">hours</w:t>
            </w:r>
          </w:p>
        </w:tc>
        <w:tc>
          <w:tcPr>
            <w:tcW w:type="dxa" w:w="2600"/>
          </w:tcPr>
          <w:p>
            <w:pPr>
              <w:jc w:val="center"/>
            </w:pPr>
            <w:r>
              <w:rPr>
                <w:b w:val="false"/>
                <w:bCs w:val="false"/>
                <w:color w:val="000000"/>
              </w:rPr>
              <w:t xml:space="preserve">Yes</w:t>
            </w:r>
          </w:p>
        </w:tc>
      </w:tr>
    </w:tbl>
    <w:p>
      <w:pPr>
        <w:spacing w:after="120"/>
      </w:pPr>
    </w:p>
    <w:p>
      <w:pPr>
        <w:spacing w:after="120"/>
      </w:pPr>
      <w:r>
        <w:t xml:space="preserve">Next-period explanatory variables (from the Next Period sheet; the demand forecast field was blank and marked 'To be estimated'):</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2000"/>
      </w:tblGrid>
      <w:tr>
        <w:trPr>
          <w:tblHeader/>
        </w:trPr>
        <w:tc>
          <w:tcPr>
            <w:tcW w:type="dxa" w:w="1200"/>
            <w:shd w:fill="1F3864" w:color="auto" w:val="clear"/>
          </w:tcPr>
          <w:p>
            <w:pPr>
              <w:jc w:val="left"/>
            </w:pPr>
            <w:r>
              <w:rPr>
                <w:b/>
                <w:bCs/>
                <w:color w:val="FFFFFF"/>
              </w:rPr>
              <w:t xml:space="preserve">Product</w:t>
            </w:r>
          </w:p>
        </w:tc>
        <w:tc>
          <w:tcPr>
            <w:tcW w:type="dxa" w:w="2400"/>
            <w:shd w:fill="1F3864" w:color="auto" w:val="clear"/>
          </w:tcPr>
          <w:p>
            <w:pPr>
              <w:jc w:val="center"/>
            </w:pPr>
            <w:r>
              <w:rPr>
                <w:b/>
                <w:bCs/>
                <w:color w:val="FFFFFF"/>
              </w:rPr>
              <w:t xml:space="preserve">Marketing spend (kEUR)</w:t>
            </w:r>
          </w:p>
        </w:tc>
        <w:tc>
          <w:tcPr>
            <w:tcW w:type="dxa" w:w="2000"/>
            <w:shd w:fill="1F3864" w:color="auto" w:val="clear"/>
          </w:tcPr>
          <w:p>
            <w:pPr>
              <w:jc w:val="center"/>
            </w:pPr>
            <w:r>
              <w:rPr>
                <w:b/>
                <w:bCs/>
                <w:color w:val="FFFFFF"/>
              </w:rPr>
              <w:t xml:space="preserve">Season index</w:t>
            </w:r>
          </w:p>
        </w:tc>
        <w:tc>
          <w:tcPr>
            <w:tcW w:type="dxa" w:w="2000"/>
            <w:shd w:fill="1F3864" w:color="auto" w:val="clear"/>
          </w:tcPr>
          <w:p>
            <w:pPr>
              <w:jc w:val="center"/>
            </w:pPr>
            <w:r>
              <w:rPr>
                <w:b/>
                <w:bCs/>
                <w:color w:val="FFFFFF"/>
              </w:rPr>
              <w:t xml:space="preserve">Unit price (EUR)</w:t>
            </w:r>
          </w:p>
        </w:tc>
      </w:tr>
      <w:tr>
        <w:tc>
          <w:tcPr>
            <w:tcW w:type="dxa" w:w="1200"/>
          </w:tcPr>
          <w:p>
            <w:pPr>
              <w:jc w:val="left"/>
            </w:pPr>
            <w:r>
              <w:rPr>
                <w:b w:val="false"/>
                <w:bCs w:val="false"/>
                <w:color w:val="000000"/>
              </w:rPr>
              <w:t xml:space="preserve">A</w:t>
            </w:r>
          </w:p>
        </w:tc>
        <w:tc>
          <w:tcPr>
            <w:tcW w:type="dxa" w:w="2400"/>
          </w:tcPr>
          <w:p>
            <w:pPr>
              <w:jc w:val="center"/>
            </w:pPr>
            <w:r>
              <w:rPr>
                <w:b w:val="false"/>
                <w:bCs w:val="false"/>
                <w:color w:val="000000"/>
              </w:rPr>
              <w:t xml:space="preserve">4</w:t>
            </w:r>
          </w:p>
        </w:tc>
        <w:tc>
          <w:tcPr>
            <w:tcW w:type="dxa" w:w="2000"/>
          </w:tcPr>
          <w:p>
            <w:pPr>
              <w:jc w:val="center"/>
            </w:pPr>
            <w:r>
              <w:rPr>
                <w:b w:val="false"/>
                <w:bCs w:val="false"/>
                <w:color w:val="000000"/>
              </w:rPr>
              <w:t xml:space="preserve">1.2</w:t>
            </w:r>
          </w:p>
        </w:tc>
        <w:tc>
          <w:tcPr>
            <w:tcW w:type="dxa" w:w="2000"/>
          </w:tcPr>
          <w:p>
            <w:pPr>
              <w:jc w:val="center"/>
            </w:pPr>
            <w:r>
              <w:rPr>
                <w:b w:val="false"/>
                <w:bCs w:val="false"/>
                <w:color w:val="000000"/>
              </w:rPr>
              <w:t xml:space="preserve">10</w:t>
            </w:r>
          </w:p>
        </w:tc>
      </w:tr>
      <w:tr>
        <w:tc>
          <w:tcPr>
            <w:tcW w:type="dxa" w:w="1200"/>
          </w:tcPr>
          <w:p>
            <w:pPr>
              <w:jc w:val="left"/>
            </w:pPr>
            <w:r>
              <w:rPr>
                <w:b w:val="false"/>
                <w:bCs w:val="false"/>
                <w:color w:val="000000"/>
              </w:rPr>
              <w:t xml:space="preserve">B</w:t>
            </w:r>
          </w:p>
        </w:tc>
        <w:tc>
          <w:tcPr>
            <w:tcW w:type="dxa" w:w="2400"/>
          </w:tcPr>
          <w:p>
            <w:pPr>
              <w:jc w:val="center"/>
            </w:pPr>
            <w:r>
              <w:rPr>
                <w:b w:val="false"/>
                <w:bCs w:val="false"/>
                <w:color w:val="000000"/>
              </w:rPr>
              <w:t xml:space="preserve">7</w:t>
            </w:r>
          </w:p>
        </w:tc>
        <w:tc>
          <w:tcPr>
            <w:tcW w:type="dxa" w:w="2000"/>
          </w:tcPr>
          <w:p>
            <w:pPr>
              <w:jc w:val="center"/>
            </w:pPr>
            <w:r>
              <w:rPr>
                <w:b w:val="false"/>
                <w:bCs w:val="false"/>
                <w:color w:val="000000"/>
              </w:rPr>
              <w:t xml:space="preserve">1.2</w:t>
            </w:r>
          </w:p>
        </w:tc>
        <w:tc>
          <w:tcPr>
            <w:tcW w:type="dxa" w:w="2000"/>
          </w:tcPr>
          <w:p>
            <w:pPr>
              <w:jc w:val="center"/>
            </w:pPr>
            <w:r>
              <w:rPr>
                <w:b w:val="false"/>
                <w:bCs w:val="false"/>
                <w:color w:val="000000"/>
              </w:rPr>
              <w:t xml:space="preserve">15</w:t>
            </w:r>
          </w:p>
        </w:tc>
      </w:tr>
    </w:tbl>
    <w:p>
      <w:pPr>
        <w:pStyle w:val="Heading1"/>
        <w:spacing w:after="120" w:before="240"/>
      </w:pPr>
      <w:r>
        <w:t xml:space="preserve">Model Predictions (Demand Forecast)</w:t>
      </w:r>
    </w:p>
    <w:p>
      <w:pPr>
        <w:spacing w:after="120"/>
      </w:pPr>
      <w:r>
        <w:t xml:space="preserve">A separate OLS linear regression was fitted for each product on its 12 historical observations, with demand explained by marketing spend, season index, and unit price. Both models reproduced the historical data essentially exactly (R² = 1.00 on both train and test partitions; residuals at floating-point noise level), indicating the synthetic history follows an exact linear rule. The recovered relationships are:</w:t>
      </w:r>
    </w:p>
    <w:p>
      <w:pPr>
        <w:pStyle w:val="ListParagraph"/>
        <w:numPr>
          <w:ilvl w:val="0"/>
          <w:numId w:val="1"/>
        </w:numPr>
        <w:spacing w:after="60"/>
      </w:pPr>
      <w:r>
        <w:t xml:space="preserve">Product A:  demand = 20 + 3×(marketing spend) + 5×(season index) − 2×(unit price)</w:t>
      </w:r>
    </w:p>
    <w:p>
      <w:pPr>
        <w:pStyle w:val="ListParagraph"/>
        <w:numPr>
          <w:ilvl w:val="0"/>
          <w:numId w:val="1"/>
        </w:numPr>
        <w:spacing w:after="60"/>
      </w:pPr>
      <w:r>
        <w:t xml:space="preserve">Product B:  demand = 10 + 2×(marketing spend) + 4×(season index) − 1×(unit price)</w:t>
      </w:r>
    </w:p>
    <w:p>
      <w:pPr>
        <w:spacing w:after="120"/>
      </w:pPr>
      <w:r>
        <w:t xml:space="preserve">Applying each fitted model to the next-period explanatory variables gives the demand point forecasts: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800"/>
        <w:gridCol w:w="1600"/>
      </w:tblGrid>
      <w:tr>
        <w:trPr>
          <w:tblHeader/>
        </w:trPr>
        <w:tc>
          <w:tcPr>
            <w:tcW w:type="dxa" w:w="1200"/>
            <w:shd w:fill="1F3864" w:color="auto" w:val="clear"/>
          </w:tcPr>
          <w:p>
            <w:pPr>
              <w:jc w:val="left"/>
            </w:pPr>
            <w:r>
              <w:rPr>
                <w:b/>
                <w:bCs/>
                <w:color w:val="FFFFFF"/>
              </w:rPr>
              <w:t xml:space="preserve">Product</w:t>
            </w:r>
          </w:p>
        </w:tc>
        <w:tc>
          <w:tcPr>
            <w:tcW w:type="dxa" w:w="2600"/>
            <w:shd w:fill="1F3864" w:color="auto" w:val="clear"/>
          </w:tcPr>
          <w:p>
            <w:pPr>
              <w:jc w:val="center"/>
            </w:pPr>
            <w:r>
              <w:rPr>
                <w:b/>
                <w:bCs/>
                <w:color w:val="FFFFFF"/>
              </w:rPr>
              <w:t xml:space="preserve">Forecast demand (units)</w:t>
            </w:r>
          </w:p>
        </w:tc>
        <w:tc>
          <w:tcPr>
            <w:tcW w:type="dxa" w:w="2800"/>
            <w:shd w:fill="1F3864" w:color="auto" w:val="clear"/>
          </w:tcPr>
          <w:p>
            <w:pPr>
              <w:jc w:val="center"/>
            </w:pPr>
            <w:r>
              <w:rPr>
                <w:b/>
                <w:bCs/>
                <w:color w:val="FFFFFF"/>
              </w:rPr>
              <w:t xml:space="preserve">Used as integer demand cap</w:t>
            </w:r>
          </w:p>
        </w:tc>
        <w:tc>
          <w:tcPr>
            <w:tcW w:type="dxa" w:w="1600"/>
            <w:shd w:fill="1F3864" w:color="auto" w:val="clear"/>
          </w:tcPr>
          <w:p>
            <w:pPr>
              <w:jc w:val="center"/>
            </w:pPr>
            <w:r>
              <w:rPr>
                <w:b/>
                <w:bCs/>
                <w:color w:val="FFFFFF"/>
              </w:rPr>
              <w:t xml:space="preserve">Model fit R²</w:t>
            </w:r>
          </w:p>
        </w:tc>
      </w:tr>
      <w:tr>
        <w:tc>
          <w:tcPr>
            <w:tcW w:type="dxa" w:w="1200"/>
          </w:tcPr>
          <w:p>
            <w:pPr>
              <w:jc w:val="left"/>
            </w:pPr>
            <w:r>
              <w:rPr>
                <w:b w:val="false"/>
                <w:bCs w:val="false"/>
                <w:color w:val="000000"/>
              </w:rPr>
              <w:t xml:space="preserve">A</w:t>
            </w:r>
          </w:p>
        </w:tc>
        <w:tc>
          <w:tcPr>
            <w:tcW w:type="dxa" w:w="2600"/>
          </w:tcPr>
          <w:p>
            <w:pPr>
              <w:jc w:val="center"/>
            </w:pPr>
            <w:r>
              <w:rPr>
                <w:b w:val="false"/>
                <w:bCs w:val="false"/>
                <w:color w:val="000000"/>
              </w:rPr>
              <w:t xml:space="preserve">18.0</w:t>
            </w:r>
          </w:p>
        </w:tc>
        <w:tc>
          <w:tcPr>
            <w:tcW w:type="dxa" w:w="2800"/>
          </w:tcPr>
          <w:p>
            <w:pPr>
              <w:jc w:val="center"/>
            </w:pPr>
            <w:r>
              <w:rPr>
                <w:b w:val="false"/>
                <w:bCs w:val="false"/>
                <w:color w:val="000000"/>
              </w:rPr>
              <w:t xml:space="preserve">18</w:t>
            </w:r>
          </w:p>
        </w:tc>
        <w:tc>
          <w:tcPr>
            <w:tcW w:type="dxa" w:w="1600"/>
          </w:tcPr>
          <w:p>
            <w:pPr>
              <w:jc w:val="center"/>
            </w:pPr>
            <w:r>
              <w:rPr>
                <w:b w:val="false"/>
                <w:bCs w:val="false"/>
                <w:color w:val="000000"/>
              </w:rPr>
              <w:t xml:space="preserve">1.00</w:t>
            </w:r>
          </w:p>
        </w:tc>
      </w:tr>
      <w:tr>
        <w:tc>
          <w:tcPr>
            <w:tcW w:type="dxa" w:w="1200"/>
          </w:tcPr>
          <w:p>
            <w:pPr>
              <w:jc w:val="left"/>
            </w:pPr>
            <w:r>
              <w:rPr>
                <w:b w:val="false"/>
                <w:bCs w:val="false"/>
                <w:color w:val="000000"/>
              </w:rPr>
              <w:t xml:space="preserve">B</w:t>
            </w:r>
          </w:p>
        </w:tc>
        <w:tc>
          <w:tcPr>
            <w:tcW w:type="dxa" w:w="2600"/>
          </w:tcPr>
          <w:p>
            <w:pPr>
              <w:jc w:val="center"/>
            </w:pPr>
            <w:r>
              <w:rPr>
                <w:b w:val="false"/>
                <w:bCs w:val="false"/>
                <w:color w:val="000000"/>
              </w:rPr>
              <w:t xml:space="preserve">13.8</w:t>
            </w:r>
          </w:p>
        </w:tc>
        <w:tc>
          <w:tcPr>
            <w:tcW w:type="dxa" w:w="2800"/>
          </w:tcPr>
          <w:p>
            <w:pPr>
              <w:jc w:val="center"/>
            </w:pPr>
            <w:r>
              <w:rPr>
                <w:b w:val="false"/>
                <w:bCs w:val="false"/>
                <w:color w:val="000000"/>
              </w:rPr>
              <w:t xml:space="preserve">13</w:t>
            </w:r>
          </w:p>
        </w:tc>
        <w:tc>
          <w:tcPr>
            <w:tcW w:type="dxa" w:w="1600"/>
          </w:tcPr>
          <w:p>
            <w:pPr>
              <w:jc w:val="center"/>
            </w:pPr>
            <w:r>
              <w:rPr>
                <w:b w:val="false"/>
                <w:bCs w:val="false"/>
                <w:color w:val="000000"/>
              </w:rPr>
              <w:t xml:space="preserve">1.00</w:t>
            </w:r>
          </w:p>
        </w:tc>
      </w:tr>
    </w:tbl>
    <w:p>
      <w:pPr>
        <w:spacing w:after="120"/>
      </w:pPr>
    </w:p>
    <w:p>
      <w:pPr>
        <w:spacing w:after="120"/>
      </w:pPr>
      <w:r>
        <w:t xml:space="preserve">These are point estimates, not certainties. The perfect in-sample fit reflects a clean synthetic dataset and does not guarantee future accuracy; Optees explicitly warns that the metrics describe this train/test split only and do not establish causality or guarantee predictive performance. The forecasts were used as demand upper bounds; because production is in whole units, the effective integer ceilings are 18 for A and 13 for B.</w:t>
      </w:r>
    </w:p>
    <w:p>
      <w:pPr>
        <w:pStyle w:val="Heading1"/>
        <w:spacing w:after="120" w:before="240"/>
      </w:pPr>
      <w:r>
        <w:t xml:space="preserve">Optimization Decisions — Recommended Quantities</w:t>
      </w:r>
    </w:p>
    <w:p>
      <w:pPr>
        <w:spacing w:after="120"/>
      </w:pPr>
      <w:r>
        <w:t xml:space="preserve">The MILP maximized 40·A + 55·B over integer A, B, subject to A between 5 and 18, B between 3 and 13, and the three hard resource constraints. The optimal decision 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1900"/>
        <w:gridCol w:w="1900"/>
        <w:gridCol w:w="1900"/>
      </w:tblGrid>
      <w:tr>
        <w:trPr>
          <w:tblHeader/>
        </w:trPr>
        <w:tc>
          <w:tcPr>
            <w:tcW w:type="dxa" w:w="1100"/>
            <w:shd w:fill="1F3864" w:color="auto" w:val="clear"/>
          </w:tcPr>
          <w:p>
            <w:pPr>
              <w:jc w:val="left"/>
            </w:pPr>
            <w:r>
              <w:rPr>
                <w:b/>
                <w:bCs/>
                <w:color w:val="FFFFFF"/>
              </w:rPr>
              <w:t xml:space="preserve">Product</w:t>
            </w:r>
          </w:p>
        </w:tc>
        <w:tc>
          <w:tcPr>
            <w:tcW w:type="dxa" w:w="2600"/>
            <w:shd w:fill="1F3864" w:color="auto" w:val="clear"/>
          </w:tcPr>
          <w:p>
            <w:pPr>
              <w:jc w:val="left"/>
            </w:pPr>
            <w:r>
              <w:rPr>
                <w:b/>
                <w:bCs/>
                <w:color w:val="FFFFFF"/>
              </w:rPr>
              <w:t xml:space="preserve">Description</w:t>
            </w:r>
          </w:p>
        </w:tc>
        <w:tc>
          <w:tcPr>
            <w:tcW w:type="dxa" w:w="1900"/>
            <w:shd w:fill="1F3864" w:color="auto" w:val="clear"/>
          </w:tcPr>
          <w:p>
            <w:pPr>
              <w:jc w:val="center"/>
            </w:pPr>
            <w:r>
              <w:rPr>
                <w:b/>
                <w:bCs/>
                <w:color w:val="FFFFFF"/>
              </w:rPr>
              <w:t xml:space="preserve">Recommended units</w:t>
            </w:r>
          </w:p>
        </w:tc>
        <w:tc>
          <w:tcPr>
            <w:tcW w:type="dxa" w:w="1900"/>
            <w:shd w:fill="1F3864" w:color="auto" w:val="clear"/>
          </w:tcPr>
          <w:p>
            <w:pPr>
              <w:jc w:val="center"/>
            </w:pPr>
            <w:r>
              <w:rPr>
                <w:b/>
                <w:bCs/>
                <w:color w:val="FFFFFF"/>
              </w:rPr>
              <w:t xml:space="preserve">Unit contribution (EUR)</w:t>
            </w:r>
          </w:p>
        </w:tc>
        <w:tc>
          <w:tcPr>
            <w:tcW w:type="dxa" w:w="1900"/>
            <w:shd w:fill="1F3864" w:color="auto" w:val="clear"/>
          </w:tcPr>
          <w:p>
            <w:pPr>
              <w:jc w:val="center"/>
            </w:pPr>
            <w:r>
              <w:rPr>
                <w:b/>
                <w:bCs/>
                <w:color w:val="FFFFFF"/>
              </w:rPr>
              <w:t xml:space="preserve">Contribution (EUR)</w:t>
            </w:r>
          </w:p>
        </w:tc>
      </w:tr>
      <w:tr>
        <w:tc>
          <w:tcPr>
            <w:tcW w:type="dxa" w:w="1100"/>
          </w:tcPr>
          <w:p>
            <w:pPr>
              <w:jc w:val="left"/>
            </w:pPr>
            <w:r>
              <w:rPr>
                <w:b w:val="false"/>
                <w:bCs w:val="false"/>
                <w:color w:val="000000"/>
              </w:rPr>
              <w:t xml:space="preserve">A</w:t>
            </w:r>
          </w:p>
        </w:tc>
        <w:tc>
          <w:tcPr>
            <w:tcW w:type="dxa" w:w="2600"/>
          </w:tcPr>
          <w:p>
            <w:pPr>
              <w:jc w:val="left"/>
            </w:pPr>
            <w:r>
              <w:rPr>
                <w:b w:val="false"/>
                <w:bCs w:val="false"/>
                <w:color w:val="000000"/>
              </w:rPr>
              <w:t xml:space="preserve">Precision housing</w:t>
            </w:r>
          </w:p>
        </w:tc>
        <w:tc>
          <w:tcPr>
            <w:tcW w:type="dxa" w:w="1900"/>
          </w:tcPr>
          <w:p>
            <w:pPr>
              <w:jc w:val="center"/>
            </w:pPr>
            <w:r>
              <w:rPr>
                <w:b w:val="false"/>
                <w:bCs w:val="false"/>
                <w:color w:val="000000"/>
              </w:rPr>
              <w:t xml:space="preserve">18</w:t>
            </w:r>
          </w:p>
        </w:tc>
        <w:tc>
          <w:tcPr>
            <w:tcW w:type="dxa" w:w="1900"/>
          </w:tcPr>
          <w:p>
            <w:pPr>
              <w:jc w:val="center"/>
            </w:pPr>
            <w:r>
              <w:rPr>
                <w:b w:val="false"/>
                <w:bCs w:val="false"/>
                <w:color w:val="000000"/>
              </w:rPr>
              <w:t xml:space="preserve">40</w:t>
            </w:r>
          </w:p>
        </w:tc>
        <w:tc>
          <w:tcPr>
            <w:tcW w:type="dxa" w:w="1900"/>
          </w:tcPr>
          <w:p>
            <w:pPr>
              <w:jc w:val="center"/>
            </w:pPr>
            <w:r>
              <w:rPr>
                <w:b w:val="false"/>
                <w:bCs w:val="false"/>
                <w:color w:val="000000"/>
              </w:rPr>
              <w:t xml:space="preserve">720</w:t>
            </w:r>
          </w:p>
        </w:tc>
      </w:tr>
      <w:tr>
        <w:tc>
          <w:tcPr>
            <w:tcW w:type="dxa" w:w="1100"/>
          </w:tcPr>
          <w:p>
            <w:pPr>
              <w:jc w:val="left"/>
            </w:pPr>
            <w:r>
              <w:rPr>
                <w:b w:val="false"/>
                <w:bCs w:val="false"/>
                <w:color w:val="000000"/>
              </w:rPr>
              <w:t xml:space="preserve">B</w:t>
            </w:r>
          </w:p>
        </w:tc>
        <w:tc>
          <w:tcPr>
            <w:tcW w:type="dxa" w:w="2600"/>
          </w:tcPr>
          <w:p>
            <w:pPr>
              <w:jc w:val="left"/>
            </w:pPr>
            <w:r>
              <w:rPr>
                <w:b w:val="false"/>
                <w:bCs w:val="false"/>
                <w:color w:val="000000"/>
              </w:rPr>
              <w:t xml:space="preserve">Control module</w:t>
            </w:r>
          </w:p>
        </w:tc>
        <w:tc>
          <w:tcPr>
            <w:tcW w:type="dxa" w:w="1900"/>
          </w:tcPr>
          <w:p>
            <w:pPr>
              <w:jc w:val="center"/>
            </w:pPr>
            <w:r>
              <w:rPr>
                <w:b w:val="false"/>
                <w:bCs w:val="false"/>
                <w:color w:val="000000"/>
              </w:rPr>
              <w:t xml:space="preserve">6</w:t>
            </w:r>
          </w:p>
        </w:tc>
        <w:tc>
          <w:tcPr>
            <w:tcW w:type="dxa" w:w="1900"/>
          </w:tcPr>
          <w:p>
            <w:pPr>
              <w:jc w:val="center"/>
            </w:pPr>
            <w:r>
              <w:rPr>
                <w:b w:val="false"/>
                <w:bCs w:val="false"/>
                <w:color w:val="000000"/>
              </w:rPr>
              <w:t xml:space="preserve">55</w:t>
            </w:r>
          </w:p>
        </w:tc>
        <w:tc>
          <w:tcPr>
            <w:tcW w:type="dxa" w:w="1900"/>
          </w:tcPr>
          <w:p>
            <w:pPr>
              <w:jc w:val="center"/>
            </w:pPr>
            <w:r>
              <w:rPr>
                <w:b w:val="false"/>
                <w:bCs w:val="false"/>
                <w:color w:val="000000"/>
              </w:rPr>
              <w:t xml:space="preserve">330</w:t>
            </w:r>
          </w:p>
        </w:tc>
      </w:tr>
      <w:tr>
        <w:tc>
          <w:tcPr>
            <w:tcW w:type="dxa" w:w="1100"/>
          </w:tcPr>
          <w:p>
            <w:pPr>
              <w:jc w:val="left"/>
            </w:pPr>
            <w:r>
              <w:rPr>
                <w:b w:val="false"/>
                <w:bCs w:val="false"/>
                <w:color w:val="000000"/>
              </w:rPr>
              <w:t xml:space="preserve">Total</w:t>
            </w:r>
          </w:p>
        </w:tc>
        <w:tc>
          <w:tcPr>
            <w:tcW w:type="dxa" w:w="2600"/>
          </w:tcPr>
          <w:p>
            <w:pPr>
              <w:jc w:val="left"/>
            </w:pPr>
            <w:r>
              <w:rPr>
                <w:b w:val="false"/>
                <w:bCs w:val="false"/>
                <w:color w:val="000000"/>
              </w:rPr>
              <w:t xml:space="preserve"/>
            </w:r>
          </w:p>
        </w:tc>
        <w:tc>
          <w:tcPr>
            <w:tcW w:type="dxa" w:w="1900"/>
          </w:tcPr>
          <w:p>
            <w:pPr>
              <w:jc w:val="center"/>
            </w:pPr>
            <w:r>
              <w:rPr>
                <w:b w:val="false"/>
                <w:bCs w:val="false"/>
                <w:color w:val="000000"/>
              </w:rPr>
              <w:t xml:space="preserve">24</w:t>
            </w:r>
          </w:p>
        </w:tc>
        <w:tc>
          <w:tcPr>
            <w:tcW w:type="dxa" w:w="1900"/>
          </w:tcPr>
          <w:p>
            <w:pPr>
              <w:jc w:val="center"/>
            </w:pPr>
            <w:r>
              <w:rPr>
                <w:b w:val="false"/>
                <w:bCs w:val="false"/>
                <w:color w:val="000000"/>
              </w:rPr>
              <w:t xml:space="preserve"/>
            </w:r>
          </w:p>
        </w:tc>
        <w:tc>
          <w:tcPr>
            <w:tcW w:type="dxa" w:w="1900"/>
          </w:tcPr>
          <w:p>
            <w:pPr>
              <w:jc w:val="center"/>
            </w:pPr>
            <w:r>
              <w:rPr>
                <w:b w:val="false"/>
                <w:bCs w:val="false"/>
                <w:color w:val="000000"/>
              </w:rPr>
              <w:t xml:space="preserve">1,050</w:t>
            </w:r>
          </w:p>
        </w:tc>
      </w:tr>
    </w:tbl>
    <w:p>
      <w:pPr>
        <w:pStyle w:val="Heading1"/>
        <w:spacing w:after="120" w:before="240"/>
      </w:pPr>
      <w:r>
        <w:t xml:space="preserve">Expected Contribution</w:t>
      </w:r>
    </w:p>
    <w:p>
      <w:pPr>
        <w:spacing w:after="120"/>
      </w:pPr>
      <w:r>
        <w:t xml:space="preserve">Expected total contribution is EUR 1,050 — EUR 720 from Product A (18 × EUR 40) and EUR 330 from Product B (6 × EUR 55). This figure is conditional on the demand forecasts being realised; if actual demand for A falls below 18 units, the achievable contribution would be lower.</w:t>
      </w:r>
    </w:p>
    <w:p>
      <w:pPr>
        <w:pStyle w:val="Heading1"/>
        <w:spacing w:after="120" w:before="240"/>
      </w:pPr>
      <w:r>
        <w:t xml:space="preserve">Resource Utilization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2700"/>
      </w:tblGrid>
      <w:tr>
        <w:trPr>
          <w:tblHeader/>
        </w:trPr>
        <w:tc>
          <w:tcPr>
            <w:tcW w:type="dxa" w:w="2200"/>
            <w:shd w:fill="1F3864" w:color="auto" w:val="clear"/>
          </w:tcPr>
          <w:p>
            <w:pPr>
              <w:jc w:val="left"/>
            </w:pPr>
            <w:r>
              <w:rPr>
                <w:b/>
                <w:bCs/>
                <w:color w:val="FFFFFF"/>
              </w:rPr>
              <w:t xml:space="preserve">Resource</w:t>
            </w:r>
          </w:p>
        </w:tc>
        <w:tc>
          <w:tcPr>
            <w:tcW w:type="dxa" w:w="1500"/>
            <w:shd w:fill="1F3864" w:color="auto" w:val="clear"/>
          </w:tcPr>
          <w:p>
            <w:pPr>
              <w:jc w:val="center"/>
            </w:pPr>
            <w:r>
              <w:rPr>
                <w:b/>
                <w:bCs/>
                <w:color w:val="FFFFFF"/>
              </w:rPr>
              <w:t xml:space="preserve">Used</w:t>
            </w:r>
          </w:p>
        </w:tc>
        <w:tc>
          <w:tcPr>
            <w:tcW w:type="dxa" w:w="1500"/>
            <w:shd w:fill="1F3864" w:color="auto" w:val="clear"/>
          </w:tcPr>
          <w:p>
            <w:pPr>
              <w:jc w:val="center"/>
            </w:pPr>
            <w:r>
              <w:rPr>
                <w:b/>
                <w:bCs/>
                <w:color w:val="FFFFFF"/>
              </w:rPr>
              <w:t xml:space="preserve">Available</w:t>
            </w:r>
          </w:p>
        </w:tc>
        <w:tc>
          <w:tcPr>
            <w:tcW w:type="dxa" w:w="1500"/>
            <w:shd w:fill="1F3864" w:color="auto" w:val="clear"/>
          </w:tcPr>
          <w:p>
            <w:pPr>
              <w:jc w:val="center"/>
            </w:pPr>
            <w:r>
              <w:rPr>
                <w:b/>
                <w:bCs/>
                <w:color w:val="FFFFFF"/>
              </w:rPr>
              <w:t xml:space="preserve">Utilization</w:t>
            </w:r>
          </w:p>
        </w:tc>
        <w:tc>
          <w:tcPr>
            <w:tcW w:type="dxa" w:w="2700"/>
            <w:shd w:fill="1F3864" w:color="auto" w:val="clear"/>
          </w:tcPr>
          <w:p>
            <w:pPr>
              <w:jc w:val="center"/>
            </w:pPr>
            <w:r>
              <w:rPr>
                <w:b/>
                <w:bCs/>
                <w:color w:val="FFFFFF"/>
              </w:rPr>
              <w:t xml:space="preserve">Status</w:t>
            </w:r>
          </w:p>
        </w:tc>
      </w:tr>
      <w:tr>
        <w:tc>
          <w:tcPr>
            <w:tcW w:type="dxa" w:w="2200"/>
          </w:tcPr>
          <w:p>
            <w:pPr>
              <w:jc w:val="left"/>
            </w:pPr>
            <w:r>
              <w:rPr>
                <w:b w:val="false"/>
                <w:bCs w:val="false"/>
                <w:color w:val="000000"/>
              </w:rPr>
              <w:t xml:space="preserve">Machine time (h)</w:t>
            </w:r>
          </w:p>
        </w:tc>
        <w:tc>
          <w:tcPr>
            <w:tcW w:type="dxa" w:w="1500"/>
          </w:tcPr>
          <w:p>
            <w:pPr>
              <w:jc w:val="center"/>
            </w:pPr>
            <w:r>
              <w:rPr>
                <w:b w:val="false"/>
                <w:bCs w:val="false"/>
                <w:color w:val="000000"/>
              </w:rPr>
              <w:t xml:space="preserve">60</w:t>
            </w:r>
          </w:p>
        </w:tc>
        <w:tc>
          <w:tcPr>
            <w:tcW w:type="dxa" w:w="1500"/>
          </w:tcPr>
          <w:p>
            <w:pPr>
              <w:jc w:val="center"/>
            </w:pPr>
            <w:r>
              <w:rPr>
                <w:b w:val="false"/>
                <w:bCs w:val="false"/>
                <w:color w:val="000000"/>
              </w:rPr>
              <w:t xml:space="preserve">60</w:t>
            </w:r>
          </w:p>
        </w:tc>
        <w:tc>
          <w:tcPr>
            <w:tcW w:type="dxa" w:w="1500"/>
          </w:tcPr>
          <w:p>
            <w:pPr>
              <w:jc w:val="center"/>
            </w:pPr>
            <w:r>
              <w:rPr>
                <w:b w:val="false"/>
                <w:bCs w:val="false"/>
                <w:color w:val="000000"/>
              </w:rPr>
              <w:t xml:space="preserve">100%</w:t>
            </w:r>
          </w:p>
        </w:tc>
        <w:tc>
          <w:tcPr>
            <w:tcW w:type="dxa" w:w="2700"/>
          </w:tcPr>
          <w:p>
            <w:pPr>
              <w:jc w:val="center"/>
            </w:pPr>
            <w:r>
              <w:rPr>
                <w:b w:val="false"/>
                <w:bCs w:val="false"/>
                <w:color w:val="000000"/>
              </w:rPr>
              <w:t xml:space="preserve">Binding</w:t>
            </w:r>
          </w:p>
        </w:tc>
      </w:tr>
      <w:tr>
        <w:tc>
          <w:tcPr>
            <w:tcW w:type="dxa" w:w="2200"/>
          </w:tcPr>
          <w:p>
            <w:pPr>
              <w:jc w:val="left"/>
            </w:pPr>
            <w:r>
              <w:rPr>
                <w:b w:val="false"/>
                <w:bCs w:val="false"/>
                <w:color w:val="000000"/>
              </w:rPr>
              <w:t xml:space="preserve">Raw material (kg)</w:t>
            </w:r>
          </w:p>
        </w:tc>
        <w:tc>
          <w:tcPr>
            <w:tcW w:type="dxa" w:w="1500"/>
          </w:tcPr>
          <w:p>
            <w:pPr>
              <w:jc w:val="center"/>
            </w:pPr>
            <w:r>
              <w:rPr>
                <w:b w:val="false"/>
                <w:bCs w:val="false"/>
                <w:color w:val="000000"/>
              </w:rPr>
              <w:t xml:space="preserve">66</w:t>
            </w:r>
          </w:p>
        </w:tc>
        <w:tc>
          <w:tcPr>
            <w:tcW w:type="dxa" w:w="1500"/>
          </w:tcPr>
          <w:p>
            <w:pPr>
              <w:jc w:val="center"/>
            </w:pPr>
            <w:r>
              <w:rPr>
                <w:b w:val="false"/>
                <w:bCs w:val="false"/>
                <w:color w:val="000000"/>
              </w:rPr>
              <w:t xml:space="preserve">80</w:t>
            </w:r>
          </w:p>
        </w:tc>
        <w:tc>
          <w:tcPr>
            <w:tcW w:type="dxa" w:w="1500"/>
          </w:tcPr>
          <w:p>
            <w:pPr>
              <w:jc w:val="center"/>
            </w:pPr>
            <w:r>
              <w:rPr>
                <w:b w:val="false"/>
                <w:bCs w:val="false"/>
                <w:color w:val="000000"/>
              </w:rPr>
              <w:t xml:space="preserve">82.5%</w:t>
            </w:r>
          </w:p>
        </w:tc>
        <w:tc>
          <w:tcPr>
            <w:tcW w:type="dxa" w:w="2700"/>
          </w:tcPr>
          <w:p>
            <w:pPr>
              <w:jc w:val="center"/>
            </w:pPr>
            <w:r>
              <w:rPr>
                <w:b w:val="false"/>
                <w:bCs w:val="false"/>
                <w:color w:val="000000"/>
              </w:rPr>
              <w:t xml:space="preserve">Slack: 14 kg</w:t>
            </w:r>
          </w:p>
        </w:tc>
      </w:tr>
      <w:tr>
        <w:tc>
          <w:tcPr>
            <w:tcW w:type="dxa" w:w="2200"/>
          </w:tcPr>
          <w:p>
            <w:pPr>
              <w:jc w:val="left"/>
            </w:pPr>
            <w:r>
              <w:rPr>
                <w:b w:val="false"/>
                <w:bCs w:val="false"/>
                <w:color w:val="000000"/>
              </w:rPr>
              <w:t xml:space="preserve">Direct labour (h)</w:t>
            </w:r>
          </w:p>
        </w:tc>
        <w:tc>
          <w:tcPr>
            <w:tcW w:type="dxa" w:w="1500"/>
          </w:tcPr>
          <w:p>
            <w:pPr>
              <w:jc w:val="center"/>
            </w:pPr>
            <w:r>
              <w:rPr>
                <w:b w:val="false"/>
                <w:bCs w:val="false"/>
                <w:color w:val="000000"/>
              </w:rPr>
              <w:t xml:space="preserve">30</w:t>
            </w:r>
          </w:p>
        </w:tc>
        <w:tc>
          <w:tcPr>
            <w:tcW w:type="dxa" w:w="1500"/>
          </w:tcPr>
          <w:p>
            <w:pPr>
              <w:jc w:val="center"/>
            </w:pPr>
            <w:r>
              <w:rPr>
                <w:b w:val="false"/>
                <w:bCs w:val="false"/>
                <w:color w:val="000000"/>
              </w:rPr>
              <w:t xml:space="preserve">35</w:t>
            </w:r>
          </w:p>
        </w:tc>
        <w:tc>
          <w:tcPr>
            <w:tcW w:type="dxa" w:w="1500"/>
          </w:tcPr>
          <w:p>
            <w:pPr>
              <w:jc w:val="center"/>
            </w:pPr>
            <w:r>
              <w:rPr>
                <w:b w:val="false"/>
                <w:bCs w:val="false"/>
                <w:color w:val="000000"/>
              </w:rPr>
              <w:t xml:space="preserve">85.7%</w:t>
            </w:r>
          </w:p>
        </w:tc>
        <w:tc>
          <w:tcPr>
            <w:tcW w:type="dxa" w:w="2700"/>
          </w:tcPr>
          <w:p>
            <w:pPr>
              <w:jc w:val="center"/>
            </w:pPr>
            <w:r>
              <w:rPr>
                <w:b w:val="false"/>
                <w:bCs w:val="false"/>
                <w:color w:val="000000"/>
              </w:rPr>
              <w:t xml:space="preserve">Slack: 5 h</w:t>
            </w:r>
          </w:p>
        </w:tc>
      </w:tr>
    </w:tbl>
    <w:p>
      <w:pPr>
        <w:spacing w:after="120"/>
      </w:pPr>
    </w:p>
    <w:p>
      <w:pPr>
        <w:spacing w:after="120"/>
      </w:pPr>
      <w:r>
        <w:t xml:space="preserve">Usage evaluated at A=18, B=6 using the per-unit coefficients: machine 2A+4B=60, material 3A+2B=66, labour A+2B=30.</w:t>
      </w:r>
    </w:p>
    <w:p>
      <w:pPr>
        <w:pStyle w:val="Heading1"/>
        <w:spacing w:after="120" w:before="240"/>
      </w:pPr>
      <w:r>
        <w:t xml:space="preserve">Binding Constraints</w:t>
      </w:r>
    </w:p>
    <w:p>
      <w:pPr>
        <w:pStyle w:val="ListParagraph"/>
        <w:numPr>
          <w:ilvl w:val="0"/>
          <w:numId w:val="1"/>
        </w:numPr>
        <w:spacing w:after="60"/>
      </w:pPr>
      <w:r>
        <w:t xml:space="preserve">Machine time (60 hours) is fully consumed and is the sole binding resource — the plant bottleneck.</w:t>
      </w:r>
    </w:p>
    <w:p>
      <w:pPr>
        <w:pStyle w:val="ListParagraph"/>
        <w:numPr>
          <w:ilvl w:val="0"/>
          <w:numId w:val="1"/>
        </w:numPr>
        <w:spacing w:after="60"/>
      </w:pPr>
      <w:r>
        <w:t xml:space="preserve">Product A forecast demand cap (18 units) is binding — A is produced up to its full forecast ceiling.</w:t>
      </w:r>
    </w:p>
    <w:p>
      <w:pPr>
        <w:pStyle w:val="ListParagraph"/>
        <w:numPr>
          <w:ilvl w:val="0"/>
          <w:numId w:val="1"/>
        </w:numPr>
        <w:spacing w:after="60"/>
      </w:pPr>
      <w:r>
        <w:t xml:space="preserve">Product B is interior: at 6 units it sits above its minimum (3) and below its forecast ceiling (13), constrained instead by the machine-time trade-off (each B consumes 4 machine hours versus 2 for A).</w:t>
      </w:r>
    </w:p>
    <w:p>
      <w:pPr>
        <w:pStyle w:val="ListParagraph"/>
        <w:numPr>
          <w:ilvl w:val="0"/>
          <w:numId w:val="1"/>
        </w:numPr>
        <w:spacing w:after="60"/>
      </w:pPr>
      <w:r>
        <w:t xml:space="preserve">Raw material and direct labour are non-binding, with 14 kg and 5 hours of slack.</w:t>
      </w:r>
    </w:p>
    <w:p>
      <w:pPr>
        <w:pStyle w:val="Heading1"/>
        <w:spacing w:after="120" w:before="240"/>
      </w:pPr>
      <w:r>
        <w:t xml:space="preserve">Uncertainty</w:t>
      </w:r>
    </w:p>
    <w:p>
      <w:pPr>
        <w:spacing w:after="120"/>
      </w:pPr>
      <w:r>
        <w:t xml:space="preserve">The plan rests on forecasts, so its economics are uncertain in ways the optimizer cannot capture:</w:t>
      </w:r>
    </w:p>
    <w:p>
      <w:pPr>
        <w:pStyle w:val="ListParagraph"/>
        <w:numPr>
          <w:ilvl w:val="0"/>
          <w:numId w:val="1"/>
        </w:numPr>
        <w:spacing w:after="60"/>
      </w:pPr>
      <w:r>
        <w:t xml:space="preserve">Demand forecasts are point estimates. Although in-sample fit is perfect, real demand can deviate from any model, and the forecast should be read as a central estimate rather than a guaranteed quantity.</w:t>
      </w:r>
    </w:p>
    <w:p>
      <w:pPr>
        <w:pStyle w:val="ListParagraph"/>
        <w:numPr>
          <w:ilvl w:val="0"/>
          <w:numId w:val="1"/>
        </w:numPr>
        <w:spacing w:after="60"/>
      </w:pPr>
      <w:r>
        <w:t xml:space="preserve">The regression was trained on only 12 synthetic observations per product with a fixed 10/2 train/test split; small samples make out-of-sample behaviour hard to guarantee.</w:t>
      </w:r>
    </w:p>
    <w:p>
      <w:pPr>
        <w:pStyle w:val="ListParagraph"/>
        <w:numPr>
          <w:ilvl w:val="0"/>
          <w:numId w:val="1"/>
        </w:numPr>
        <w:spacing w:after="60"/>
      </w:pPr>
      <w:r>
        <w:t xml:space="preserve">The next-period explanatory variables (marketing spend, season index, price) are themselves planning assumptions; if they change, the forecast and therefore the optimal plan change.</w:t>
      </w:r>
    </w:p>
    <w:p>
      <w:pPr>
        <w:pStyle w:val="ListParagraph"/>
        <w:numPr>
          <w:ilvl w:val="0"/>
          <w:numId w:val="1"/>
        </w:numPr>
        <w:spacing w:after="60"/>
      </w:pPr>
      <w:r>
        <w:t xml:space="preserve">Because Product A is produced exactly at its forecast ceiling, any downward error in A's demand directly reduces realised contribution; the plan has no demand buffer on A.</w:t>
      </w:r>
    </w:p>
    <w:p>
      <w:pPr>
        <w:pStyle w:val="Heading1"/>
        <w:spacing w:after="120" w:before="240"/>
      </w:pPr>
      <w:r>
        <w:t xml:space="preserve">Assumptions</w:t>
      </w:r>
    </w:p>
    <w:p>
      <w:pPr>
        <w:pStyle w:val="ListParagraph"/>
        <w:numPr>
          <w:ilvl w:val="0"/>
          <w:numId w:val="1"/>
        </w:numPr>
        <w:spacing w:after="60"/>
      </w:pPr>
      <w:r>
        <w:t xml:space="preserve">Next-period demand equals the fitted OLS prediction at the given explanatory variables; forecasts are used as demand upper bounds, rounded down to whole units for feasibility (A≤18, B≤13).</w:t>
      </w:r>
    </w:p>
    <w:p>
      <w:pPr>
        <w:pStyle w:val="ListParagraph"/>
        <w:numPr>
          <w:ilvl w:val="0"/>
          <w:numId w:val="1"/>
        </w:numPr>
        <w:spacing w:after="60"/>
      </w:pPr>
      <w:r>
        <w:t xml:space="preserve">Minimum commitments (A≥5, B≥3) and hard capacities (machine 60 h, material 80 kg, labour 35 h) are taken from the workbook and treated as hard constraints.</w:t>
      </w:r>
    </w:p>
    <w:p>
      <w:pPr>
        <w:pStyle w:val="ListParagraph"/>
        <w:numPr>
          <w:ilvl w:val="0"/>
          <w:numId w:val="1"/>
        </w:numPr>
        <w:spacing w:after="60"/>
      </w:pPr>
      <w:r>
        <w:t xml:space="preserve">Unit contributions and per-unit resource coefficients are taken directly from the Products sheet; production is integer-valued.</w:t>
      </w:r>
    </w:p>
    <w:p>
      <w:pPr>
        <w:pStyle w:val="ListParagraph"/>
        <w:numPr>
          <w:ilvl w:val="0"/>
          <w:numId w:val="1"/>
        </w:numPr>
        <w:spacing w:after="60"/>
      </w:pPr>
      <w:r>
        <w:t xml:space="preserve">Administrative Notes fields (warehouse code, currency, colour, energy review) are contextual and were not converted into constraints. The energy review supplies no numeric limit, so no energy constraint was modelled.</w:t>
      </w:r>
    </w:p>
    <w:p>
      <w:pPr>
        <w:pStyle w:val="ListParagraph"/>
        <w:numPr>
          <w:ilvl w:val="0"/>
          <w:numId w:val="1"/>
        </w:numPr>
        <w:spacing w:after="60"/>
      </w:pPr>
      <w:r>
        <w:t xml:space="preserve">No value was silently invented: the blank Next Period demand fields were estimated by the regression, not assumed.</w:t>
      </w:r>
    </w:p>
    <w:p>
      <w:pPr>
        <w:pStyle w:val="Heading1"/>
        <w:spacing w:after="120" w:before="240"/>
      </w:pPr>
      <w:r>
        <w:t xml:space="preserve">Limitations</w:t>
      </w:r>
    </w:p>
    <w:p>
      <w:pPr>
        <w:pStyle w:val="ListParagraph"/>
        <w:numPr>
          <w:ilvl w:val="0"/>
          <w:numId w:val="1"/>
        </w:numPr>
        <w:spacing w:after="60"/>
      </w:pPr>
      <w:r>
        <w:t xml:space="preserve">Data are fully synthetic; figures are illustrative and not from a real company.</w:t>
      </w:r>
    </w:p>
    <w:p>
      <w:pPr>
        <w:pStyle w:val="ListParagraph"/>
        <w:numPr>
          <w:ilvl w:val="0"/>
          <w:numId w:val="1"/>
        </w:numPr>
        <w:spacing w:after="60"/>
      </w:pPr>
      <w:r>
        <w:t xml:space="preserve">The regression capability has no independent Optees validator, so its output carries model-fit metrics but no external feasibility certificate; only the optimization stage is independently validated.</w:t>
      </w:r>
    </w:p>
    <w:p>
      <w:pPr>
        <w:pStyle w:val="ListParagraph"/>
        <w:numPr>
          <w:ilvl w:val="0"/>
          <w:numId w:val="1"/>
        </w:numPr>
        <w:spacing w:after="60"/>
      </w:pPr>
      <w:r>
        <w:t xml:space="preserve">The model is a single-period, deterministic plan and does not handle inventory carryover, setup times, price/demand elasticity beyond the fitted linear form, or stochastic demand.</w:t>
      </w:r>
    </w:p>
    <w:p>
      <w:pPr>
        <w:pStyle w:val="ListParagraph"/>
        <w:numPr>
          <w:ilvl w:val="0"/>
          <w:numId w:val="1"/>
        </w:numPr>
        <w:spacing w:after="60"/>
      </w:pPr>
      <w:r>
        <w:t xml:space="preserve">The MILP validator confirms feasibility, integrality, and objective consistency but does not by itself prove optimality nor assess whether the model captures business intent.</w:t>
      </w:r>
    </w:p>
    <w:p>
      <w:pPr>
        <w:pStyle w:val="Heading1"/>
        <w:spacing w:after="120" w:before="240"/>
      </w:pPr>
      <w:r>
        <w:t xml:space="preserve">Mathematical Status and Independent Validation</w:t>
      </w:r>
    </w:p>
    <w:p>
      <w:pPr>
        <w:spacing w:after="120"/>
      </w:pPr>
      <w:r>
        <w:t xml:space="preserve">Mathematical status (solver-reported) and independent validation (external checks) are reported separately below for each Optees stage.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00"/>
      </w:tblGrid>
      <w:tr>
        <w:trPr>
          <w:tblHeader/>
        </w:trPr>
        <w:tc>
          <w:tcPr>
            <w:tcW w:type="dxa" w:w="3200"/>
            <w:shd w:fill="1F3864" w:color="auto" w:val="clear"/>
          </w:tcPr>
          <w:p>
            <w:pPr>
              <w:jc w:val="left"/>
            </w:pPr>
            <w:r>
              <w:rPr>
                <w:b/>
                <w:bCs/>
                <w:color w:val="FFFFFF"/>
              </w:rPr>
              <w:t xml:space="preserve">Stage / Capability</w:t>
            </w:r>
          </w:p>
        </w:tc>
        <w:tc>
          <w:tcPr>
            <w:tcW w:type="dxa" w:w="2900"/>
            <w:shd w:fill="1F3864" w:color="auto" w:val="clear"/>
          </w:tcPr>
          <w:p>
            <w:pPr>
              <w:jc w:val="left"/>
            </w:pPr>
            <w:r>
              <w:rPr>
                <w:b/>
                <w:bCs/>
                <w:color w:val="FFFFFF"/>
              </w:rPr>
              <w:t xml:space="preserve">Mathematical status</w:t>
            </w:r>
          </w:p>
        </w:tc>
        <w:tc>
          <w:tcPr>
            <w:tcW w:type="dxa" w:w="2900"/>
            <w:shd w:fill="1F3864" w:color="auto" w:val="clear"/>
          </w:tcPr>
          <w:p>
            <w:pPr>
              <w:jc w:val="left"/>
            </w:pPr>
            <w:r>
              <w:rPr>
                <w:b/>
                <w:bCs/>
                <w:color w:val="FFFFFF"/>
              </w:rPr>
              <w:t xml:space="preserve">Independent validation</w:t>
            </w:r>
          </w:p>
        </w:tc>
      </w:tr>
      <w:tr>
        <w:tc>
          <w:tcPr>
            <w:tcW w:type="dxa" w:w="3200"/>
          </w:tcPr>
          <w:p>
            <w:pPr>
              <w:jc w:val="left"/>
            </w:pPr>
            <w:r>
              <w:rPr>
                <w:b w:val="false"/>
                <w:bCs w:val="false"/>
                <w:color w:val="000000"/>
              </w:rPr>
              <w:t xml:space="preserve">Forecast A — ml.regression.linear</w:t>
            </w:r>
          </w:p>
        </w:tc>
        <w:tc>
          <w:tcPr>
            <w:tcW w:type="dxa" w:w="2900"/>
          </w:tcPr>
          <w:p>
            <w:pPr>
              <w:jc w:val="left"/>
            </w:pPr>
            <w:r>
              <w:rPr>
                <w:b w:val="false"/>
                <w:bCs w:val="false"/>
                <w:color w:val="000000"/>
              </w:rPr>
              <w:t xml:space="preserve">Trained / feasible (OLS, R²=1.00)</w:t>
            </w:r>
          </w:p>
        </w:tc>
        <w:tc>
          <w:tcPr>
            <w:tcW w:type="dxa" w:w="2900"/>
          </w:tcPr>
          <w:p>
            <w:pPr>
              <w:jc w:val="left"/>
            </w:pPr>
            <w:r>
              <w:rPr>
                <w:b w:val="false"/>
                <w:bCs w:val="false"/>
                <w:color w:val="000000"/>
              </w:rPr>
              <w:t xml:space="preserve">Not available (no validator registered)</w:t>
            </w:r>
          </w:p>
        </w:tc>
      </w:tr>
      <w:tr>
        <w:tc>
          <w:tcPr>
            <w:tcW w:type="dxa" w:w="3200"/>
          </w:tcPr>
          <w:p>
            <w:pPr>
              <w:jc w:val="left"/>
            </w:pPr>
            <w:r>
              <w:rPr>
                <w:b w:val="false"/>
                <w:bCs w:val="false"/>
                <w:color w:val="000000"/>
              </w:rPr>
              <w:t xml:space="preserve">Forecast B — ml.regression.linear</w:t>
            </w:r>
          </w:p>
        </w:tc>
        <w:tc>
          <w:tcPr>
            <w:tcW w:type="dxa" w:w="2900"/>
          </w:tcPr>
          <w:p>
            <w:pPr>
              <w:jc w:val="left"/>
            </w:pPr>
            <w:r>
              <w:rPr>
                <w:b w:val="false"/>
                <w:bCs w:val="false"/>
                <w:color w:val="000000"/>
              </w:rPr>
              <w:t xml:space="preserve">Trained / feasible (OLS, R²=1.00)</w:t>
            </w:r>
          </w:p>
        </w:tc>
        <w:tc>
          <w:tcPr>
            <w:tcW w:type="dxa" w:w="2900"/>
          </w:tcPr>
          <w:p>
            <w:pPr>
              <w:jc w:val="left"/>
            </w:pPr>
            <w:r>
              <w:rPr>
                <w:b w:val="false"/>
                <w:bCs w:val="false"/>
                <w:color w:val="000000"/>
              </w:rPr>
              <w:t xml:space="preserve">Not available (no validator registered)</w:t>
            </w:r>
          </w:p>
        </w:tc>
      </w:tr>
      <w:tr>
        <w:tc>
          <w:tcPr>
            <w:tcW w:type="dxa" w:w="3200"/>
          </w:tcPr>
          <w:p>
            <w:pPr>
              <w:jc w:val="left"/>
            </w:pPr>
            <w:r>
              <w:rPr>
                <w:b w:val="false"/>
                <w:bCs w:val="false"/>
                <w:color w:val="000000"/>
              </w:rPr>
              <w:t xml:space="preserve">Optimization — milp.linear</w:t>
            </w:r>
          </w:p>
        </w:tc>
        <w:tc>
          <w:tcPr>
            <w:tcW w:type="dxa" w:w="2900"/>
          </w:tcPr>
          <w:p>
            <w:pPr>
              <w:jc w:val="left"/>
            </w:pPr>
            <w:r>
              <w:rPr>
                <w:b w:val="false"/>
                <w:bCs w:val="false"/>
                <w:color w:val="000000"/>
              </w:rPr>
              <w:t xml:space="preserve">OPTIMAL (CBC, relative gap 0)</w:t>
            </w:r>
          </w:p>
        </w:tc>
        <w:tc>
          <w:tcPr>
            <w:tcW w:type="dxa" w:w="2900"/>
          </w:tcPr>
          <w:p>
            <w:pPr>
              <w:jc w:val="left"/>
            </w:pPr>
            <w:r>
              <w:rPr>
                <w:b w:val="false"/>
                <w:bCs w:val="false"/>
                <w:color w:val="000000"/>
              </w:rPr>
              <w:t xml:space="preserve">VERIFIED — 5/5 checks passed, 0 violations</w:t>
            </w:r>
          </w:p>
        </w:tc>
      </w:tr>
    </w:tbl>
    <w:p>
      <w:pPr>
        <w:spacing w:after="120"/>
      </w:pPr>
    </w:p>
    <w:p>
      <w:pPr>
        <w:spacing w:after="120"/>
      </w:pPr>
      <w:r>
        <w:t xml:space="preserve">Every payload was validated against its versioned schema before execution (all valid, no warnings). For the optimization, the solver reports the solution as provably optimal, and the Optees validator independently confirms it is feasible (bounds, integrality, all three constraints satisfied) and that the reported objective of EUR 1,050 equals the recomputed objective. For the two forecasting stages, Optees reports no independent validator is registered, so those results are supported by model-fit metrics only — not an external validation certificate.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2026-07-18T12:36:48.388Z</dcterms:created>
  <dcterms:modified xsi:type="dcterms:W3CDTF">2026-07-18T12:36:48.388Z</dcterms:modified>
</cp:coreProperties>
</file>

<file path=docProps/custom.xml><?xml version="1.0" encoding="utf-8"?>
<Properties xmlns="http://schemas.openxmlformats.org/officeDocument/2006/custom-properties" xmlns:vt="http://schemas.openxmlformats.org/officeDocument/2006/docPropsVTypes"/>
</file>