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773" w:rsidRPr="00FF0ECE" w:rsidRDefault="00DA1773" w:rsidP="00FF0ECE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es-AR"/>
        </w:rPr>
      </w:pPr>
      <w:r w:rsidRPr="00DA1773">
        <w:rPr>
          <w:rFonts w:ascii="Arial" w:eastAsia="Times New Roman" w:hAnsi="Arial" w:cs="Arial"/>
          <w:b/>
          <w:bCs/>
          <w:kern w:val="36"/>
          <w:sz w:val="48"/>
          <w:szCs w:val="48"/>
          <w:lang w:eastAsia="es-AR"/>
        </w:rPr>
        <w:t>INFORME EJECUTIVO</w:t>
      </w:r>
    </w:p>
    <w:p w:rsidR="00FF0ECE" w:rsidRPr="00FF0ECE" w:rsidRDefault="00FF0ECE" w:rsidP="00FF0ECE">
      <w:pPr>
        <w:pStyle w:val="Subttulo"/>
        <w:spacing w:before="0"/>
        <w:ind w:firstLine="0"/>
        <w:rPr>
          <w:rFonts w:ascii="Arial" w:hAnsi="Arial" w:cs="Arial"/>
        </w:rPr>
      </w:pPr>
      <w:r w:rsidRPr="00FF0ECE">
        <w:rPr>
          <w:rFonts w:ascii="Arial" w:hAnsi="Arial" w:cs="Arial"/>
        </w:rPr>
        <w:t>PROYECTO</w:t>
      </w:r>
      <w:r w:rsidRPr="00DA1773">
        <w:rPr>
          <w:rFonts w:ascii="Arial" w:hAnsi="Arial" w:cs="Arial"/>
        </w:rPr>
        <w:t>: Consultoría Estratégica para Entidad Financiera</w:t>
      </w:r>
    </w:p>
    <w:p w:rsidR="00FF0ECE" w:rsidRPr="00FF0ECE" w:rsidRDefault="00FF0ECE" w:rsidP="00FF0ECE">
      <w:pPr>
        <w:spacing w:line="240" w:lineRule="auto"/>
        <w:rPr>
          <w:rFonts w:ascii="Arial" w:eastAsia="Times New Roman" w:hAnsi="Arial" w:cs="Arial"/>
          <w:b/>
          <w:bCs/>
        </w:rPr>
      </w:pPr>
    </w:p>
    <w:p w:rsidR="00FF0ECE" w:rsidRPr="00FF0ECE" w:rsidRDefault="00FF0ECE" w:rsidP="00FF0ECE">
      <w:pPr>
        <w:spacing w:line="240" w:lineRule="auto"/>
        <w:rPr>
          <w:rFonts w:ascii="Arial" w:eastAsia="Times New Roman" w:hAnsi="Arial" w:cs="Arial"/>
        </w:rPr>
      </w:pPr>
      <w:r w:rsidRPr="00FF0ECE">
        <w:rPr>
          <w:rFonts w:ascii="Arial" w:eastAsia="Times New Roman" w:hAnsi="Arial" w:cs="Arial"/>
          <w:b/>
          <w:bCs/>
        </w:rPr>
        <w:t>Institución:</w:t>
      </w:r>
      <w:r w:rsidRPr="00FF0ECE">
        <w:rPr>
          <w:rFonts w:ascii="Arial" w:eastAsia="Times New Roman" w:hAnsi="Arial" w:cs="Arial"/>
        </w:rPr>
        <w:t xml:space="preserve"> ISPC</w:t>
      </w:r>
    </w:p>
    <w:p w:rsidR="00FF0ECE" w:rsidRPr="00FF0ECE" w:rsidRDefault="00FF0ECE" w:rsidP="00FF0ECE">
      <w:pPr>
        <w:spacing w:line="240" w:lineRule="auto"/>
        <w:rPr>
          <w:rFonts w:ascii="Arial" w:eastAsia="Times New Roman" w:hAnsi="Arial" w:cs="Arial"/>
        </w:rPr>
      </w:pPr>
      <w:r w:rsidRPr="00FF0ECE">
        <w:rPr>
          <w:rFonts w:ascii="Arial" w:eastAsia="Times New Roman" w:hAnsi="Arial" w:cs="Arial"/>
        </w:rPr>
        <w:t>Tecnicatura Superior: Ciencia de datos e Inteligencia Artificial</w:t>
      </w:r>
    </w:p>
    <w:p w:rsidR="00FF0ECE" w:rsidRPr="00FF0ECE" w:rsidRDefault="00FF0ECE" w:rsidP="00FF0ECE">
      <w:pPr>
        <w:spacing w:line="240" w:lineRule="auto"/>
        <w:rPr>
          <w:rFonts w:ascii="Arial" w:eastAsia="Times New Roman" w:hAnsi="Arial" w:cs="Arial"/>
        </w:rPr>
      </w:pPr>
      <w:r w:rsidRPr="00FF0ECE">
        <w:rPr>
          <w:rFonts w:ascii="Arial" w:eastAsia="Times New Roman" w:hAnsi="Arial" w:cs="Arial"/>
          <w:b/>
          <w:bCs/>
        </w:rPr>
        <w:t>Espacio Curricular:</w:t>
      </w:r>
      <w:r w:rsidRPr="00FF0ECE">
        <w:rPr>
          <w:rFonts w:ascii="Arial" w:eastAsia="Times New Roman" w:hAnsi="Arial" w:cs="Arial"/>
        </w:rPr>
        <w:t xml:space="preserve"> </w:t>
      </w:r>
      <w:r w:rsidRPr="00FF0ECE">
        <w:rPr>
          <w:rFonts w:ascii="Arial" w:eastAsia="Times New Roman" w:hAnsi="Arial" w:cs="Arial"/>
        </w:rPr>
        <w:t>INNOVACION DE DATOS</w:t>
      </w:r>
    </w:p>
    <w:p w:rsidR="00FF0ECE" w:rsidRPr="00FF0ECE" w:rsidRDefault="00FF0ECE" w:rsidP="00FF0ECE">
      <w:pPr>
        <w:spacing w:line="240" w:lineRule="auto"/>
        <w:rPr>
          <w:rFonts w:ascii="Arial" w:eastAsia="Times New Roman" w:hAnsi="Arial" w:cs="Arial"/>
        </w:rPr>
      </w:pPr>
      <w:r w:rsidRPr="00FF0ECE">
        <w:rPr>
          <w:rFonts w:ascii="Arial" w:eastAsia="Times New Roman" w:hAnsi="Arial" w:cs="Arial"/>
          <w:b/>
          <w:bCs/>
        </w:rPr>
        <w:t>Docente/s:</w:t>
      </w:r>
    </w:p>
    <w:p w:rsidR="00FF0ECE" w:rsidRPr="00FF0ECE" w:rsidRDefault="00FF0ECE" w:rsidP="00FF0ECE">
      <w:pPr>
        <w:spacing w:line="240" w:lineRule="auto"/>
        <w:rPr>
          <w:rFonts w:ascii="Arial" w:eastAsia="Times New Roman" w:hAnsi="Arial" w:cs="Arial"/>
        </w:rPr>
      </w:pPr>
      <w:r w:rsidRPr="00FF0ECE">
        <w:rPr>
          <w:rFonts w:ascii="Arial" w:eastAsia="Times New Roman" w:hAnsi="Arial" w:cs="Arial"/>
          <w:b/>
          <w:bCs/>
        </w:rPr>
        <w:t>Integrantes:</w:t>
      </w:r>
    </w:p>
    <w:p w:rsidR="00FF0ECE" w:rsidRPr="00FF0ECE" w:rsidRDefault="00FF0ECE" w:rsidP="00FF0ECE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</w:rPr>
      </w:pPr>
      <w:r w:rsidRPr="00FF0ECE">
        <w:rPr>
          <w:rFonts w:ascii="Arial" w:eastAsia="Times New Roman" w:hAnsi="Arial" w:cs="Arial"/>
        </w:rPr>
        <w:t>Paola Garcia (29463402).</w:t>
      </w:r>
    </w:p>
    <w:p w:rsidR="00FF0ECE" w:rsidRPr="00FF0ECE" w:rsidRDefault="00FF0ECE" w:rsidP="00FF0ECE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</w:rPr>
      </w:pPr>
      <w:r w:rsidRPr="00FF0ECE">
        <w:rPr>
          <w:rFonts w:ascii="Arial" w:eastAsia="Times New Roman" w:hAnsi="Arial" w:cs="Arial"/>
        </w:rPr>
        <w:t xml:space="preserve">Pablo </w:t>
      </w:r>
      <w:proofErr w:type="spellStart"/>
      <w:r w:rsidRPr="00FF0ECE">
        <w:rPr>
          <w:rFonts w:ascii="Arial" w:eastAsia="Times New Roman" w:hAnsi="Arial" w:cs="Arial"/>
        </w:rPr>
        <w:t>Taborda</w:t>
      </w:r>
      <w:proofErr w:type="spellEnd"/>
      <w:r w:rsidRPr="00FF0ECE">
        <w:rPr>
          <w:rFonts w:ascii="Arial" w:eastAsia="Times New Roman" w:hAnsi="Arial" w:cs="Arial"/>
        </w:rPr>
        <w:t xml:space="preserve"> (28270596).</w:t>
      </w:r>
    </w:p>
    <w:p w:rsidR="00FF0ECE" w:rsidRPr="00FF0ECE" w:rsidRDefault="00FF0ECE" w:rsidP="00FF0ECE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</w:rPr>
      </w:pPr>
      <w:r w:rsidRPr="00FF0ECE">
        <w:rPr>
          <w:rFonts w:ascii="Arial" w:eastAsia="Times New Roman" w:hAnsi="Arial" w:cs="Arial"/>
        </w:rPr>
        <w:t xml:space="preserve">Julio </w:t>
      </w:r>
      <w:proofErr w:type="spellStart"/>
      <w:r w:rsidRPr="00FF0ECE">
        <w:rPr>
          <w:rFonts w:ascii="Arial" w:eastAsia="Times New Roman" w:hAnsi="Arial" w:cs="Arial"/>
        </w:rPr>
        <w:t>Orjindo</w:t>
      </w:r>
      <w:proofErr w:type="spellEnd"/>
      <w:r w:rsidRPr="00FF0ECE">
        <w:rPr>
          <w:rFonts w:ascii="Arial" w:eastAsia="Times New Roman" w:hAnsi="Arial" w:cs="Arial"/>
        </w:rPr>
        <w:t xml:space="preserve"> (26482639).</w:t>
      </w:r>
    </w:p>
    <w:p w:rsidR="00FF0ECE" w:rsidRPr="00FF0ECE" w:rsidRDefault="00FF0ECE" w:rsidP="00FF0ECE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</w:rPr>
      </w:pPr>
      <w:proofErr w:type="spellStart"/>
      <w:r w:rsidRPr="00FF0ECE">
        <w:rPr>
          <w:rFonts w:ascii="Arial" w:eastAsia="Times New Roman" w:hAnsi="Arial" w:cs="Arial"/>
        </w:rPr>
        <w:t>Elias</w:t>
      </w:r>
      <w:proofErr w:type="spellEnd"/>
      <w:r w:rsidRPr="00FF0ECE">
        <w:rPr>
          <w:rFonts w:ascii="Arial" w:eastAsia="Times New Roman" w:hAnsi="Arial" w:cs="Arial"/>
        </w:rPr>
        <w:t xml:space="preserve"> Gabriel Rodenas (36356976)</w:t>
      </w:r>
    </w:p>
    <w:p w:rsidR="00FF0ECE" w:rsidRPr="00FF0ECE" w:rsidRDefault="00FF0ECE" w:rsidP="00FF0ECE">
      <w:pPr>
        <w:spacing w:line="240" w:lineRule="auto"/>
        <w:rPr>
          <w:rFonts w:ascii="Arial" w:eastAsia="Times New Roman" w:hAnsi="Arial" w:cs="Arial"/>
        </w:rPr>
      </w:pPr>
      <w:r w:rsidRPr="00FF0ECE">
        <w:rPr>
          <w:rFonts w:ascii="Arial" w:eastAsia="Times New Roman" w:hAnsi="Arial" w:cs="Arial"/>
          <w:b/>
          <w:bCs/>
        </w:rPr>
        <w:t>Ciclo Lectivo:</w:t>
      </w:r>
      <w:r w:rsidRPr="00FF0ECE">
        <w:rPr>
          <w:rFonts w:ascii="Arial" w:eastAsia="Times New Roman" w:hAnsi="Arial" w:cs="Arial"/>
        </w:rPr>
        <w:t xml:space="preserve"> 2025</w:t>
      </w:r>
    </w:p>
    <w:p w:rsidR="00DA1773" w:rsidRPr="00DA1773" w:rsidRDefault="00DA1773" w:rsidP="00FF0EC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pict>
          <v:rect id="_x0000_i1025" style="width:0;height:1.5pt" o:hrstd="t" o:hr="t" fillcolor="#a0a0a0" stroked="f"/>
        </w:pic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36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8"/>
          <w:szCs w:val="36"/>
          <w:lang w:eastAsia="es-AR"/>
        </w:rPr>
        <w:t>TABLA DE CONTENIDOS</w:t>
      </w:r>
    </w:p>
    <w:p w:rsidR="00DA1773" w:rsidRPr="00DA1773" w:rsidRDefault="00DA1773" w:rsidP="00DA17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>Resumen Ejecutivo</w:t>
      </w:r>
    </w:p>
    <w:p w:rsidR="00DA1773" w:rsidRPr="00DA1773" w:rsidRDefault="00DA1773" w:rsidP="00DA17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>Contexto Demográfico</w:t>
      </w:r>
    </w:p>
    <w:p w:rsidR="00DA1773" w:rsidRPr="00DA1773" w:rsidRDefault="00DA1773" w:rsidP="00DA17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>Contexto Macroeconómico</w:t>
      </w:r>
    </w:p>
    <w:p w:rsidR="00DA1773" w:rsidRPr="00DA1773" w:rsidRDefault="00DA1773" w:rsidP="00DA17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>Infraestructura Digital</w:t>
      </w:r>
    </w:p>
    <w:p w:rsidR="00DA1773" w:rsidRPr="00DA1773" w:rsidRDefault="00DA1773" w:rsidP="00DA17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>E-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commerce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y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Retail</w:t>
      </w:r>
      <w:proofErr w:type="spellEnd"/>
    </w:p>
    <w:p w:rsidR="00DA1773" w:rsidRPr="00DA1773" w:rsidRDefault="00DA1773" w:rsidP="00DA17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>Sistema de Medios de Pago</w:t>
      </w:r>
    </w:p>
    <w:p w:rsidR="00DA1773" w:rsidRPr="00DA1773" w:rsidRDefault="00DA1773" w:rsidP="00DA17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>Análisis Fortalezas y Desafíos</w:t>
      </w:r>
    </w:p>
    <w:p w:rsidR="00DA1773" w:rsidRPr="00DA1773" w:rsidRDefault="00DA1773" w:rsidP="00DA17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>Conclusiones y Recomendaciones</w:t>
      </w:r>
    </w:p>
    <w:p w:rsidR="00DA1773" w:rsidRPr="00DA1773" w:rsidRDefault="00DA1773" w:rsidP="00DA177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pict>
          <v:rect id="_x0000_i1026" style="width:0;height:1.5pt" o:hralign="center" o:hrstd="t" o:hr="t" fillcolor="#a0a0a0" stroked="f"/>
        </w:pic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36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8"/>
          <w:szCs w:val="36"/>
          <w:lang w:eastAsia="es-AR"/>
        </w:rPr>
        <w:t>RESUMEN EJECUTIVO</w:t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Turquía representa una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oportunidad estratégica masiva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para soluciones de medios de pago. El país es el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3er mercado mundial en frecuencia de compra online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(64.7% de compradores compra semanalmente), con un crecimiento proyectado de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22.6% CAGR en e-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commerce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2024-2029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>.</w:t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La infraestructura digital es sólida (87.3% penetración internet, 108% móvil por habitante), la población es joven y conectada (68.4% en edad laboral), y la economía se recupera con inflación descendente. Sin embargo, existen desafíos: inflación persistente (33.3%), volatilidad de moneda local, competencia de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criptomonedas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y comercio informal relevante.</w:t>
      </w:r>
    </w:p>
    <w:p w:rsidR="00451F53" w:rsidRDefault="00DA1773" w:rsidP="00451F5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pict>
          <v:rect id="_x0000_i1027" style="width:0;height:1.5pt" o:hralign="center" o:hrstd="t" o:hr="t" fillcolor="#a0a0a0" stroked="f"/>
        </w:pict>
      </w:r>
    </w:p>
    <w:p w:rsidR="00451F53" w:rsidRDefault="00451F53" w:rsidP="00451F5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</w:p>
    <w:p w:rsidR="00451F53" w:rsidRDefault="00451F53" w:rsidP="00451F5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</w:p>
    <w:p w:rsidR="00451F53" w:rsidRDefault="00451F53" w:rsidP="00451F5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</w:p>
    <w:p w:rsidR="00451F53" w:rsidRDefault="00451F53" w:rsidP="00451F5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24"/>
          <w:szCs w:val="24"/>
          <w:lang w:eastAsia="es-AR"/>
        </w:rPr>
      </w:pPr>
    </w:p>
    <w:p w:rsidR="00DA1773" w:rsidRPr="00AD2773" w:rsidRDefault="00DA1773" w:rsidP="00AD2773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36"/>
          <w:lang w:eastAsia="es-AR"/>
        </w:rPr>
      </w:pPr>
      <w:r w:rsidRPr="00AD2773">
        <w:rPr>
          <w:rFonts w:ascii="Arial" w:eastAsia="Times New Roman" w:hAnsi="Arial" w:cs="Arial"/>
          <w:b/>
          <w:bCs/>
          <w:sz w:val="28"/>
          <w:szCs w:val="36"/>
          <w:lang w:eastAsia="es-AR"/>
        </w:rPr>
        <w:lastRenderedPageBreak/>
        <w:t>CONTEXTO DEMOGRÁFICO</w:t>
      </w:r>
    </w:p>
    <w:p w:rsidR="00AD2773" w:rsidRDefault="00AD2773" w:rsidP="00AD2773">
      <w:pPr>
        <w:pStyle w:val="Prrafodelista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36"/>
          <w:lang w:eastAsia="es-AR"/>
        </w:rPr>
      </w:pPr>
    </w:p>
    <w:p w:rsidR="00AD2773" w:rsidRPr="00AD2773" w:rsidRDefault="00AD2773" w:rsidP="00AD2773">
      <w:pPr>
        <w:pStyle w:val="Prrafodelista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36"/>
          <w:lang w:eastAsia="es-AR"/>
        </w:rPr>
      </w:pPr>
    </w:p>
    <w:p w:rsidR="00DA1773" w:rsidRPr="00FF0ECE" w:rsidRDefault="00DA1773" w:rsidP="00451F53">
      <w:pPr>
        <w:spacing w:before="100" w:beforeAutospacing="1" w:after="100" w:afterAutospacing="1" w:line="240" w:lineRule="auto"/>
        <w:ind w:firstLine="360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1.1 Población y Distribución</w: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472CD66A" wp14:editId="4724D08E">
            <wp:extent cx="5400040" cy="1771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DA1773" w:rsidRDefault="00DA1773" w:rsidP="00DA177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sz w:val="24"/>
          <w:szCs w:val="24"/>
          <w:lang w:eastAsia="es-AR"/>
        </w:rPr>
        <w:drawing>
          <wp:inline distT="0" distB="0" distL="0" distR="0" wp14:anchorId="71E2A067" wp14:editId="0931B217">
            <wp:extent cx="5400040" cy="34251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FF0ECE" w:rsidRDefault="00DA1773" w:rsidP="00451F53">
      <w:pPr>
        <w:spacing w:before="100" w:beforeAutospacing="1" w:after="100" w:afterAutospacing="1" w:line="240" w:lineRule="auto"/>
        <w:ind w:firstLine="708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1.2 Principales Ciudades</w: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7714B458" wp14:editId="2835809B">
            <wp:extent cx="5400040" cy="16211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Fuente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>: Instituto Estadístico de Turquía (TÜİK) 2024</w:t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lastRenderedPageBreak/>
        <w:drawing>
          <wp:inline distT="0" distB="0" distL="0" distR="0" wp14:anchorId="2EA363B7" wp14:editId="0CFDEAB4">
            <wp:extent cx="5400040" cy="38982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IMPLICANCIA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>: Concentración en 5 ciudades principales (37.3% de población) permite estrategia geográfica focalizada. Estambul con 15.7M habitantes es mercado prioritario absoluto.</w:t>
      </w:r>
    </w:p>
    <w:p w:rsidR="00DA1773" w:rsidRPr="00DA1773" w:rsidRDefault="00DA1773" w:rsidP="00DA177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pict>
          <v:rect id="_x0000_i1028" style="width:0;height:1.5pt" o:hralign="center" o:hrstd="t" o:hr="t" fillcolor="#a0a0a0" stroked="f"/>
        </w:pic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28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2. CONTEXTO MACROECONÓMICO</w:t>
      </w:r>
    </w:p>
    <w:p w:rsidR="00DA1773" w:rsidRPr="00FF0ECE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2.1 Indicadores Clave 2024-2026</w: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6EACF0A9" wp14:editId="615BC160">
            <wp:extent cx="5400040" cy="1781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Evolución de Inflación 2024-2026:</w:t>
      </w:r>
    </w:p>
    <w:p w:rsidR="00DA1773" w:rsidRPr="00FF0ECE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sz w:val="24"/>
          <w:szCs w:val="24"/>
          <w:lang w:eastAsia="es-AR"/>
        </w:rPr>
        <w:lastRenderedPageBreak/>
        <w:drawing>
          <wp:inline distT="0" distB="0" distL="0" distR="0" wp14:anchorId="48B8E221" wp14:editId="07949DDE">
            <wp:extent cx="5400040" cy="38430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GRÁFICO 4 - Crecimiento del PIB Proyectado:</w:t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sz w:val="24"/>
          <w:szCs w:val="24"/>
          <w:lang w:eastAsia="es-AR"/>
        </w:rPr>
        <w:drawing>
          <wp:inline distT="0" distB="0" distL="0" distR="0" wp14:anchorId="796FA984" wp14:editId="46A8D1DF">
            <wp:extent cx="5400040" cy="39439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INTERPRETACIÓN CRÍTICA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: La inflación está en trayectoria descendente (60.9% → 33.3% → proyectado 24%). El ciclo restrictivo de tasas (50%) comenzará a flexibilizarse en 2025. Esto ampliará acceso al crédito y demanda de productos de financiamiento.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Ventana de oportunidad: 18-24 meses antes de normalización.</w:t>
      </w:r>
    </w:p>
    <w:p w:rsidR="007D4318" w:rsidRPr="00451F53" w:rsidRDefault="00DA1773" w:rsidP="00451F5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lastRenderedPageBreak/>
        <w:pict>
          <v:rect id="_x0000_i1029" style="width:0;height:1.5pt" o:hralign="center" o:hrstd="t" o:hr="t" fillcolor="#a0a0a0" stroked="f"/>
        </w:pic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28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3. INFRAESTRUCTURA DIGITAL</w:t>
      </w:r>
    </w:p>
    <w:p w:rsidR="00DA1773" w:rsidRPr="00FF0ECE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3.1 Conectividad</w: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7193B8B0" wp14:editId="13186CCC">
            <wp:extent cx="5400040" cy="15735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FF0ECE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GRÁFICO 5 - Comparativa Velocidad Internet (Fijo vs Móvil):</w:t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sz w:val="24"/>
          <w:szCs w:val="24"/>
          <w:lang w:eastAsia="es-AR"/>
        </w:rPr>
        <w:drawing>
          <wp:inline distT="0" distB="0" distL="0" distR="0" wp14:anchorId="37B3D426" wp14:editId="79A321BD">
            <wp:extent cx="5400040" cy="40074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RECOMENDACIÓN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: Soluciones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mobile-first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obligatorio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>. Internet móvil (66.4 Mbps descarga) es fortaleza relativa vs fijo (50.7 Mbps). Cobertura garantizada por 3 operadores nacionales (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Turkcell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, Vodafone,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Türk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Telekom).</w:t>
      </w:r>
    </w:p>
    <w:p w:rsidR="00DA1773" w:rsidRPr="00DA1773" w:rsidRDefault="00DA1773" w:rsidP="00DA177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pict>
          <v:rect id="_x0000_i1030" style="width:0;height:1.5pt" o:hralign="center" o:hrstd="t" o:hr="t" fillcolor="#a0a0a0" stroked="f"/>
        </w:pic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36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8"/>
          <w:szCs w:val="36"/>
          <w:lang w:eastAsia="es-AR"/>
        </w:rPr>
        <w:t>4. E-COMMERCE Y RETAIL</w:t>
      </w:r>
    </w:p>
    <w:p w:rsidR="00DA1773" w:rsidRPr="00FF0ECE" w:rsidRDefault="00DA1773" w:rsidP="00451F53">
      <w:pPr>
        <w:spacing w:before="100" w:beforeAutospacing="1" w:after="100" w:afterAutospacing="1" w:line="240" w:lineRule="auto"/>
        <w:ind w:firstLine="708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4.1 Métricas de Mercado</w: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lastRenderedPageBreak/>
        <w:drawing>
          <wp:inline distT="0" distB="0" distL="0" distR="0" wp14:anchorId="40654847" wp14:editId="010845A5">
            <wp:extent cx="5400040" cy="1562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FF0ECE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GRÁFICO 6 - Crecimiento E-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commerce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vs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Retail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Tradicional (2020-2024):</w:t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sz w:val="24"/>
          <w:szCs w:val="24"/>
          <w:lang w:eastAsia="es-AR"/>
        </w:rPr>
        <w:drawing>
          <wp:inline distT="0" distB="0" distL="0" distR="0" wp14:anchorId="50FF9432" wp14:editId="58C33FBB">
            <wp:extent cx="5400040" cy="38957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FF0ECE" w:rsidRDefault="00DA1773" w:rsidP="00451F53">
      <w:pPr>
        <w:spacing w:before="100" w:beforeAutospacing="1" w:after="100" w:afterAutospacing="1" w:line="240" w:lineRule="auto"/>
        <w:ind w:firstLine="708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4.2 Drivers Principales de Compra Online</w:t>
      </w:r>
    </w:p>
    <w:p w:rsidR="00706184" w:rsidRPr="00DA1773" w:rsidRDefault="00706184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3FFC45C1" wp14:editId="155E526E">
            <wp:extent cx="5400040" cy="16224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FF0ECE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GRÁFICO 7 - Top Drivers de Compra Online:</w:t>
      </w:r>
    </w:p>
    <w:p w:rsidR="00F705D7" w:rsidRPr="00DA1773" w:rsidRDefault="00F705D7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sz w:val="24"/>
          <w:szCs w:val="24"/>
          <w:lang w:eastAsia="es-AR"/>
        </w:rPr>
        <w:lastRenderedPageBreak/>
        <w:drawing>
          <wp:inline distT="0" distB="0" distL="0" distR="0" wp14:anchorId="05503BE9" wp14:editId="0F81E89A">
            <wp:extent cx="5400040" cy="38595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FF0ECE" w:rsidRDefault="00DA1773" w:rsidP="00451F53">
      <w:pPr>
        <w:spacing w:before="100" w:beforeAutospacing="1" w:after="100" w:afterAutospacing="1" w:line="240" w:lineRule="auto"/>
        <w:ind w:firstLine="708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 xml:space="preserve">4.3 Infraestructura </w:t>
      </w:r>
      <w:proofErr w:type="spellStart"/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Retail</w:t>
      </w:r>
      <w:proofErr w:type="spellEnd"/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 xml:space="preserve"> Física</w:t>
      </w:r>
    </w:p>
    <w:p w:rsidR="00F705D7" w:rsidRPr="00DA1773" w:rsidRDefault="00F705D7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247267EB" wp14:editId="22746E80">
            <wp:extent cx="5400040" cy="2526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IMPLICANCIA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: Dualismo comercial (formal e informal) requiere soluciones versátiles. 500K visitantes/día en Gran Bazar = mercado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subbancarizado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de alto potencial.</w:t>
      </w:r>
    </w:p>
    <w:p w:rsidR="00DA1773" w:rsidRPr="00DA1773" w:rsidRDefault="00DA1773" w:rsidP="00DA177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pict>
          <v:rect id="_x0000_i1031" style="width:0;height:1.5pt" o:hralign="center" o:hrstd="t" o:hr="t" fillcolor="#a0a0a0" stroked="f"/>
        </w:pic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28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5. SISTEMA DE MEDIOS DE PAGO</w:t>
      </w:r>
    </w:p>
    <w:p w:rsidR="00DA1773" w:rsidRPr="00FF0ECE" w:rsidRDefault="00DA1773" w:rsidP="00451F53">
      <w:pPr>
        <w:spacing w:before="100" w:beforeAutospacing="1" w:after="100" w:afterAutospacing="1" w:line="240" w:lineRule="auto"/>
        <w:ind w:firstLine="708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5.1 Penetración Actual</w:t>
      </w:r>
    </w:p>
    <w:p w:rsidR="00706B65" w:rsidRPr="00DA1773" w:rsidRDefault="00706B65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lastRenderedPageBreak/>
        <w:drawing>
          <wp:inline distT="0" distB="0" distL="0" distR="0" wp14:anchorId="1AB1C839" wp14:editId="270F7902">
            <wp:extent cx="5400040" cy="28124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53" w:rsidRDefault="00706B65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drawing>
          <wp:inline distT="0" distB="0" distL="0" distR="0" wp14:anchorId="5358019F" wp14:editId="28BCC17D">
            <wp:extent cx="5400040" cy="35471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FF0ECE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5.2 Preferencias de Financiamiento</w:t>
      </w:r>
    </w:p>
    <w:p w:rsidR="00706B65" w:rsidRPr="00DA1773" w:rsidRDefault="00706B65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4F155ED0" wp14:editId="66E48B20">
            <wp:extent cx="5400040" cy="952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INSIGHT CRÍTICO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: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65% de compras con financiamiento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indica bajo poder adquisitivo relativo pero alto apetito por crédito al consumo. Ciclo de flexibilización de tasas 2025 ampliará aún más esta demanda.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Credit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scoring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avanzado = diferenciador clave.</w:t>
      </w:r>
    </w:p>
    <w:p w:rsidR="00DA1773" w:rsidRPr="00FF0ECE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5.3 Principales Instituciones Financieras</w:t>
      </w:r>
    </w:p>
    <w:p w:rsidR="00706B65" w:rsidRPr="00DA1773" w:rsidRDefault="00706B65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lastRenderedPageBreak/>
        <w:drawing>
          <wp:inline distT="0" distB="0" distL="0" distR="0" wp14:anchorId="65DF0AB2" wp14:editId="59064D66">
            <wp:extent cx="5400040" cy="22231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FF0ECE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GRÁFICO 9 - Cuota de Mercado Bancario Turco:</w:t>
      </w:r>
    </w:p>
    <w:p w:rsidR="00706B65" w:rsidRPr="00DA1773" w:rsidRDefault="00706B65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sz w:val="24"/>
          <w:szCs w:val="24"/>
          <w:lang w:eastAsia="es-AR"/>
        </w:rPr>
        <w:drawing>
          <wp:inline distT="0" distB="0" distL="0" distR="0" wp14:anchorId="7F52C88C" wp14:editId="10FA23BF">
            <wp:extent cx="5172797" cy="4686954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18" w:rsidRDefault="007D4318">
      <w:pPr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>
        <w:rPr>
          <w:rFonts w:ascii="Arial" w:eastAsia="Times New Roman" w:hAnsi="Arial" w:cs="Arial"/>
          <w:b/>
          <w:bCs/>
          <w:sz w:val="27"/>
          <w:szCs w:val="27"/>
          <w:lang w:eastAsia="es-AR"/>
        </w:rPr>
        <w:br w:type="page"/>
      </w: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DA1773" w:rsidRPr="00FF0ECE" w:rsidRDefault="00DA1773" w:rsidP="00451F53">
      <w:pPr>
        <w:spacing w:before="100" w:beforeAutospacing="1" w:after="100" w:afterAutospacing="1" w:line="240" w:lineRule="auto"/>
        <w:ind w:firstLine="708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5.4 Iniciativas Gubernamentales</w:t>
      </w:r>
    </w:p>
    <w:p w:rsidR="00706B65" w:rsidRPr="00DA1773" w:rsidRDefault="00706B65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31D72D36" wp14:editId="5F3E08F5">
            <wp:extent cx="5400040" cy="26308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DA1773" w:rsidRDefault="00DA1773" w:rsidP="00DA177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pict>
          <v:rect id="_x0000_i1032" style="width:0;height:1.5pt" o:hralign="center" o:hrstd="t" o:hr="t" fillcolor="#a0a0a0" stroked="f"/>
        </w:pic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es-AR"/>
        </w:rPr>
      </w:pPr>
      <w:r w:rsidRPr="00DA1773">
        <w:rPr>
          <w:rFonts w:ascii="Arial" w:eastAsia="Times New Roman" w:hAnsi="Arial" w:cs="Arial"/>
          <w:b/>
          <w:bCs/>
          <w:sz w:val="36"/>
          <w:szCs w:val="36"/>
          <w:lang w:eastAsia="es-AR"/>
        </w:rPr>
        <w:t xml:space="preserve">6. </w:t>
      </w:r>
      <w:r w:rsidRPr="00DA1773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ANÁLISIS FORTALEZAS Y DESAFÍOS (FODA)</w:t>
      </w:r>
    </w:p>
    <w:p w:rsidR="00DA1773" w:rsidRPr="00FF0ECE" w:rsidRDefault="00DA1773" w:rsidP="00451F53">
      <w:pPr>
        <w:spacing w:before="100" w:beforeAutospacing="1" w:after="100" w:afterAutospacing="1" w:line="240" w:lineRule="auto"/>
        <w:ind w:firstLine="708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6.1 FORTALEZAS Y OPORTUNIDADES</w:t>
      </w:r>
    </w:p>
    <w:p w:rsidR="00706B65" w:rsidRDefault="00706B65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7646565B" wp14:editId="52D1F560">
            <wp:extent cx="5400040" cy="26225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7D4318" w:rsidRPr="00DA1773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DA1773" w:rsidRPr="00FF0ECE" w:rsidRDefault="00DA1773" w:rsidP="00451F53">
      <w:pPr>
        <w:spacing w:before="100" w:beforeAutospacing="1" w:after="100" w:afterAutospacing="1" w:line="240" w:lineRule="auto"/>
        <w:ind w:firstLine="708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6.2  DESAFÍOS Y RIESGOS</w:t>
      </w:r>
    </w:p>
    <w:p w:rsidR="00706B65" w:rsidRPr="00DA1773" w:rsidRDefault="00706B65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4E9B3E7F" wp14:editId="2882FB3A">
            <wp:extent cx="5400040" cy="29895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DA1773" w:rsidRDefault="00DA1773" w:rsidP="00DA177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pict>
          <v:rect id="_x0000_i1033" style="width:0;height:1.5pt" o:hralign="center" o:hrstd="t" o:hr="t" fillcolor="#a0a0a0" stroked="f"/>
        </w:pic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es-AR"/>
        </w:rPr>
      </w:pPr>
      <w:r w:rsidRPr="00DA1773">
        <w:rPr>
          <w:rFonts w:ascii="Arial" w:eastAsia="Times New Roman" w:hAnsi="Arial" w:cs="Arial"/>
          <w:b/>
          <w:bCs/>
          <w:sz w:val="36"/>
          <w:szCs w:val="36"/>
          <w:lang w:eastAsia="es-AR"/>
        </w:rPr>
        <w:t xml:space="preserve">7. </w:t>
      </w:r>
      <w:r w:rsidRPr="00DA1773">
        <w:rPr>
          <w:rFonts w:ascii="Arial" w:eastAsia="Times New Roman" w:hAnsi="Arial" w:cs="Arial"/>
          <w:b/>
          <w:bCs/>
          <w:sz w:val="28"/>
          <w:szCs w:val="36"/>
          <w:lang w:eastAsia="es-AR"/>
        </w:rPr>
        <w:t>CONCLUSIONES Y RECOMENDACIONES</w:t>
      </w:r>
    </w:p>
    <w:p w:rsidR="00DA1773" w:rsidRPr="00DA1773" w:rsidRDefault="00DA1773" w:rsidP="00451F53">
      <w:pPr>
        <w:spacing w:before="100" w:beforeAutospacing="1" w:after="100" w:afterAutospacing="1" w:line="240" w:lineRule="auto"/>
        <w:ind w:firstLine="708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7.1 HALLAZGOS CLAVE</w:t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HALLAZGO 1: Mercado Altamente Atractivo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Turquía es el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3er país mundial en frecuencia de compra online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(64.7% semanal). CAGR de 22.6% en e-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commerce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2024-2029 representa oportunidad masiva. Estambul concentra 18.3% población con infraestructura masiva.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IMPLICANCIA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: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Window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de entrada NOW es crítico antes de consolidación competitiva.</w:t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HALLAZGO 2: Mobile-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First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es Mandatorio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70% de compras desde móvil. 87.3% internet, 108% móvil, 66.4 Mbps descarga móvil. Soluciones deben ser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mobile-native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.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RECOMENDACIÓN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: UX/UI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mobile-first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; 1-tap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checkout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crítico.</w:t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HALLAZGO 3: Preferencia Estructural por Financiamiento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65% de compras con opciones de cuotas/crédito.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Ciclo flexibilización 2025 ampliará demanda.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Credit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scoring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= diferenciador clave. RECOMENDACIÓN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: Productos cuotas flexibles con machine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learning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scoring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sin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hard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inquiry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>.</w:t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HALLAZGO 4: Competencia Intensa de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Criptomonedas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~20% población inversores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cripto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. Turquía posición 12 en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Bitcoin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. Inflación genera desconfianza en lira.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RECOMENDACIÓN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: Diferenciación en valor vs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cripto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;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multimoneda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soportada.</w:t>
      </w:r>
    </w:p>
    <w:p w:rsid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HALLAZGO 5: Dualismo Comercial Persistente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Gran Bazar: 500K visitantes/día.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Inclusión de pequeño comerciante = ventaja competitiva. RECOMENDACIÓN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: Soporte QR, integración comercio informal, training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merchants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>.</w:t>
      </w:r>
    </w:p>
    <w:p w:rsidR="007D4318" w:rsidRDefault="007D4318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</w:p>
    <w:p w:rsidR="007D4318" w:rsidRPr="00DA1773" w:rsidRDefault="007D4318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HALLAZGO 6: Ventana de Oportunidad Temporal (CRÍTICO)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Ciclo flexibilización 2025. CBDC aún en piloto. Competencia se consolida en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18-24 meses.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ACCIÓN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: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INICIAR OPERACIONES INMEDIATAMENTE.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Window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cierra en 18-24 meses.</w:t>
      </w:r>
    </w:p>
    <w:p w:rsidR="00DA1773" w:rsidRPr="00FF0ECE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7.2 RECOMENDACIONES ESTRATÉGICAS DE PRODUCTO</w:t>
      </w:r>
    </w:p>
    <w:p w:rsidR="00706B65" w:rsidRPr="00DA1773" w:rsidRDefault="00706B65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706894BD" wp14:editId="29DF80F9">
            <wp:extent cx="5400040" cy="337121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FF0ECE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7.3 ESTRATEGIA DE SEGMENTACIÓN</w:t>
      </w:r>
    </w:p>
    <w:p w:rsidR="00706B65" w:rsidRDefault="00706B65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2E1C87FE" wp14:editId="39F699B4">
            <wp:extent cx="5400040" cy="17818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7D4318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7D4318" w:rsidRPr="00DA1773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DA1773" w:rsidRPr="00FF0ECE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7.4 TIMELINE DE IMPLEMENTACIÓN (18-24 MESES)</w:t>
      </w:r>
    </w:p>
    <w:p w:rsidR="00706B65" w:rsidRPr="00DA1773" w:rsidRDefault="00706B65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3C3A49BD" wp14:editId="51B7B171">
            <wp:extent cx="5400040" cy="28365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URGENCIA CRÍTICA: VENTANA = 18-24 MESES. Después: consolidación competidores, normalización monetaria,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disruption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CBDC.</w:t>
      </w:r>
    </w:p>
    <w:p w:rsidR="00DA1773" w:rsidRPr="00FF0ECE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7.5 INVERSIÓN INICIAL ESTIMADA</w:t>
      </w:r>
    </w:p>
    <w:p w:rsidR="000A3F1B" w:rsidRPr="00DA1773" w:rsidRDefault="000A3F1B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drawing>
          <wp:inline distT="0" distB="0" distL="0" distR="0" wp14:anchorId="10682F6C" wp14:editId="11F87AC6">
            <wp:extent cx="5400040" cy="18357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73" w:rsidRPr="00FF0ECE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7.6 PROYECCIÓN DE RETORNO (36 MES</w:t>
      </w:r>
      <w:bookmarkStart w:id="0" w:name="_GoBack"/>
      <w:bookmarkEnd w:id="0"/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>ES)</w:t>
      </w:r>
    </w:p>
    <w:p w:rsidR="000A3F1B" w:rsidRDefault="000A3F1B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7"/>
          <w:szCs w:val="27"/>
          <w:lang w:eastAsia="es-AR"/>
        </w:rPr>
        <w:lastRenderedPageBreak/>
        <w:drawing>
          <wp:inline distT="0" distB="0" distL="0" distR="0" wp14:anchorId="6F1D96FA" wp14:editId="11BD5608">
            <wp:extent cx="5400040" cy="22383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18" w:rsidRPr="00DA1773" w:rsidRDefault="007D4318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</w:p>
    <w:p w:rsidR="00DA1773" w:rsidRPr="00DA1773" w:rsidRDefault="00DA1773" w:rsidP="00DA177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PERSPECTIVA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: Comparables globales muestran 5-10x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revenue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en Serie B. Turquía con mayor ARPU podría alcanzar 10-15x. </w:t>
      </w: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Potencial de salida (M&amp;A / IPO): $50-150M en 4-5 años.</w:t>
      </w:r>
    </w:p>
    <w:p w:rsidR="00DA1773" w:rsidRPr="00DA1773" w:rsidRDefault="00DA1773" w:rsidP="00DA177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pict>
          <v:rect id="_x0000_i1034" style="width:0;height:1.5pt" o:hralign="center" o:hrstd="t" o:hr="t" fillcolor="#a0a0a0" stroked="f"/>
        </w:pic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28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8. BIBLIOGRAFÍA Y REFERENCIAS</w: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 xml:space="preserve">Fuentes Primarias (Instituciones Oficiales) - </w:t>
      </w:r>
    </w:p>
    <w:p w:rsidR="00DA1773" w:rsidRPr="00DA1773" w:rsidRDefault="00DA1773" w:rsidP="00DA177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Instituto Estadístico de Turquía (TÜİK)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https://www.tuik.gov.tr/</w:t>
      </w:r>
    </w:p>
    <w:p w:rsidR="00DA1773" w:rsidRPr="00DA1773" w:rsidRDefault="00DA1773" w:rsidP="00DA177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Demografía, urbanización,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retail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>, telecomunicaciones (2024-2025)</w:t>
      </w:r>
    </w:p>
    <w:p w:rsidR="00DA1773" w:rsidRPr="00DA1773" w:rsidRDefault="00DA1773" w:rsidP="00DA177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Banco Central de la República de Turquía (BCRT)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https://www.tcmb.gov.tr/</w:t>
      </w:r>
    </w:p>
    <w:p w:rsidR="00DA1773" w:rsidRPr="00DA1773" w:rsidRDefault="00DA1773" w:rsidP="00DA177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>Política monetaria, inflación, tasas, regulación, CBDC (2024-2025)</w:t>
      </w:r>
    </w:p>
    <w:p w:rsidR="00DA1773" w:rsidRPr="00DA1773" w:rsidRDefault="00DA1773" w:rsidP="00DA177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Banco Mundial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https://data.worldbank.org/country/turkey</w:t>
      </w:r>
    </w:p>
    <w:p w:rsidR="00DA1773" w:rsidRPr="00DA1773" w:rsidRDefault="00DA1773" w:rsidP="00DA177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>PIB, macroeconomía, desarrollo (2024)</w:t>
      </w:r>
    </w:p>
    <w:p w:rsidR="00DA1773" w:rsidRPr="00DA1773" w:rsidRDefault="00DA1773" w:rsidP="00DA177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Fondo Monetario Internacional (FMI)</w:t>
      </w:r>
    </w:p>
    <w:p w:rsidR="00DA1773" w:rsidRPr="00DA1773" w:rsidRDefault="00DA1773" w:rsidP="00DA177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t>Proyecciones crecimiento, inflación, análisis (2024-2026)</w:t>
      </w:r>
    </w:p>
    <w:p w:rsidR="00DA1773" w:rsidRPr="00DA1773" w:rsidRDefault="00DA1773" w:rsidP="00DA177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s-AR"/>
        </w:rPr>
      </w:pPr>
      <w:r w:rsidRPr="00DA1773">
        <w:rPr>
          <w:rFonts w:ascii="Arial" w:eastAsia="Times New Roman" w:hAnsi="Arial" w:cs="Arial"/>
          <w:b/>
          <w:bCs/>
          <w:sz w:val="27"/>
          <w:szCs w:val="27"/>
          <w:lang w:eastAsia="es-AR"/>
        </w:rPr>
        <w:t xml:space="preserve">Fuentes Secundarias (Consultoría/Análisis) - </w:t>
      </w:r>
    </w:p>
    <w:p w:rsidR="00DA1773" w:rsidRPr="00DA1773" w:rsidRDefault="00DA1773" w:rsidP="00DA177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BBVA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Research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Análisis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fintech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turco, banca digital (2024)</w:t>
      </w:r>
    </w:p>
    <w:p w:rsidR="00DA1773" w:rsidRPr="00DA1773" w:rsidRDefault="00DA1773" w:rsidP="00DA177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Adyen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Comportamiento consumidor e-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commerce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>, métodos pago (2024)</w:t>
      </w:r>
    </w:p>
    <w:p w:rsidR="00DA1773" w:rsidRPr="00DA1773" w:rsidRDefault="00DA1773" w:rsidP="00DA177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Mordor</w:t>
      </w:r>
      <w:proofErr w:type="spellEnd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Intelligence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Tamaño mercado e-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commerce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>, CAGR (2024-2029)</w:t>
      </w:r>
    </w:p>
    <w:p w:rsidR="00DA1773" w:rsidRPr="00DA1773" w:rsidRDefault="00DA1773" w:rsidP="00DA177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Semrush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Penetración digital, e-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commerce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>, comportamiento online (2024)</w:t>
      </w:r>
    </w:p>
    <w:p w:rsidR="00DA1773" w:rsidRPr="00DA1773" w:rsidRDefault="00DA1773" w:rsidP="00DA177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PWC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Tendencias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fintech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>, sistemas pago domésticos (2024)</w:t>
      </w:r>
    </w:p>
    <w:p w:rsidR="00DA1773" w:rsidRPr="00DA1773" w:rsidRDefault="00DA1773" w:rsidP="00DA177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Trading </w:t>
      </w: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Economics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Indicadores económicos tiempo real (2024-2025)</w:t>
      </w:r>
    </w:p>
    <w:p w:rsidR="00DA1773" w:rsidRPr="00DA1773" w:rsidRDefault="00DA1773" w:rsidP="00DA177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Chainalysis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Adopción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criptomonedas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, volúmenes </w:t>
      </w:r>
      <w:proofErr w:type="spellStart"/>
      <w:r w:rsidRPr="00DA1773">
        <w:rPr>
          <w:rFonts w:ascii="Arial" w:eastAsia="Times New Roman" w:hAnsi="Arial" w:cs="Arial"/>
          <w:sz w:val="24"/>
          <w:szCs w:val="24"/>
          <w:lang w:eastAsia="es-AR"/>
        </w:rPr>
        <w:t>Bitcoin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(2023-2024)</w:t>
      </w:r>
    </w:p>
    <w:p w:rsidR="00DA1773" w:rsidRPr="00DA1773" w:rsidRDefault="00DA1773" w:rsidP="00DA177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proofErr w:type="spellStart"/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Worldometers</w:t>
      </w:r>
      <w:proofErr w:type="spellEnd"/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Población, demografía (2024-2025)</w:t>
      </w:r>
    </w:p>
    <w:p w:rsidR="00DA1773" w:rsidRPr="00DA1773" w:rsidRDefault="00DA1773" w:rsidP="00DA177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FF0ECE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Datosmundiales.com</w:t>
      </w:r>
      <w:r w:rsidRPr="00DA1773">
        <w:rPr>
          <w:rFonts w:ascii="Arial" w:eastAsia="Times New Roman" w:hAnsi="Arial" w:cs="Arial"/>
          <w:sz w:val="24"/>
          <w:szCs w:val="24"/>
          <w:lang w:eastAsia="es-AR"/>
        </w:rPr>
        <w:t xml:space="preserve"> - Conectividad, velocidad internet (2024)</w:t>
      </w:r>
    </w:p>
    <w:p w:rsidR="00DA1773" w:rsidRPr="00DA1773" w:rsidRDefault="00DA1773" w:rsidP="00DA177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DA1773">
        <w:rPr>
          <w:rFonts w:ascii="Arial" w:eastAsia="Times New Roman" w:hAnsi="Arial" w:cs="Arial"/>
          <w:sz w:val="24"/>
          <w:szCs w:val="24"/>
          <w:lang w:eastAsia="es-AR"/>
        </w:rPr>
        <w:pict>
          <v:rect id="_x0000_i1035" style="width:0;height:1.5pt" o:hralign="center" o:hrstd="t" o:hr="t" fillcolor="#a0a0a0" stroked="f"/>
        </w:pict>
      </w:r>
    </w:p>
    <w:p w:rsidR="00050EBD" w:rsidRPr="00FF0ECE" w:rsidRDefault="00050EBD">
      <w:pPr>
        <w:rPr>
          <w:rFonts w:ascii="Arial" w:hAnsi="Arial" w:cs="Arial"/>
        </w:rPr>
      </w:pPr>
    </w:p>
    <w:sectPr w:rsidR="00050EBD" w:rsidRPr="00FF0ECE" w:rsidSect="001D651E">
      <w:headerReference w:type="default" r:id="rId34"/>
      <w:pgSz w:w="11906" w:h="16838"/>
      <w:pgMar w:top="1417" w:right="1274" w:bottom="56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879" w:rsidRDefault="00032879" w:rsidP="00D16345">
      <w:pPr>
        <w:spacing w:after="0" w:line="240" w:lineRule="auto"/>
      </w:pPr>
      <w:r>
        <w:separator/>
      </w:r>
    </w:p>
  </w:endnote>
  <w:endnote w:type="continuationSeparator" w:id="0">
    <w:p w:rsidR="00032879" w:rsidRDefault="00032879" w:rsidP="00D16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altName w:val="Times New Roman"/>
    <w:charset w:val="00"/>
    <w:family w:val="auto"/>
    <w:pitch w:val="variable"/>
    <w:sig w:usb0="00000001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879" w:rsidRDefault="00032879" w:rsidP="00D16345">
      <w:pPr>
        <w:spacing w:after="0" w:line="240" w:lineRule="auto"/>
      </w:pPr>
      <w:r>
        <w:separator/>
      </w:r>
    </w:p>
  </w:footnote>
  <w:footnote w:type="continuationSeparator" w:id="0">
    <w:p w:rsidR="00032879" w:rsidRDefault="00032879" w:rsidP="00D163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346C" w:rsidRPr="00DA1773" w:rsidRDefault="00451F53" w:rsidP="00CB346C">
    <w:pPr>
      <w:pStyle w:val="Subttulo"/>
      <w:spacing w:before="0"/>
      <w:ind w:firstLine="0"/>
      <w:rPr>
        <w:rFonts w:ascii="Arial" w:hAnsi="Arial" w:cs="Arial"/>
        <w:sz w:val="20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B0BF773" wp14:editId="2520D989">
          <wp:simplePos x="0" y="0"/>
          <wp:positionH relativeFrom="page">
            <wp:posOffset>0</wp:posOffset>
          </wp:positionH>
          <wp:positionV relativeFrom="paragraph">
            <wp:posOffset>-249555</wp:posOffset>
          </wp:positionV>
          <wp:extent cx="1438275" cy="695325"/>
          <wp:effectExtent l="0" t="0" r="0" b="0"/>
          <wp:wrapSquare wrapText="bothSides"/>
          <wp:docPr id="3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8275" cy="695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B346C" w:rsidRPr="00DA1773">
      <w:rPr>
        <w:rFonts w:ascii="Arial" w:eastAsia="Times New Roman" w:hAnsi="Arial" w:cs="Arial"/>
        <w:bCs/>
        <w:sz w:val="24"/>
        <w:szCs w:val="36"/>
      </w:rPr>
      <w:t>Análisis de Medios de Pago en Turquía - Estambul</w:t>
    </w:r>
  </w:p>
  <w:p w:rsidR="00D16345" w:rsidRDefault="00D16345">
    <w:pPr>
      <w:pStyle w:val="Encabezado"/>
    </w:pPr>
  </w:p>
  <w:p w:rsidR="00D16345" w:rsidRDefault="00D1634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4044"/>
    <w:multiLevelType w:val="multilevel"/>
    <w:tmpl w:val="5F9421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A3797F"/>
    <w:multiLevelType w:val="multilevel"/>
    <w:tmpl w:val="94CCD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C4021A"/>
    <w:multiLevelType w:val="hybridMultilevel"/>
    <w:tmpl w:val="167626D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8D6E8C"/>
    <w:multiLevelType w:val="multilevel"/>
    <w:tmpl w:val="9FD686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>
    <w:nsid w:val="302E1B4A"/>
    <w:multiLevelType w:val="multilevel"/>
    <w:tmpl w:val="16AE7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37237F5"/>
    <w:multiLevelType w:val="multilevel"/>
    <w:tmpl w:val="EC7E3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51755EE"/>
    <w:multiLevelType w:val="multilevel"/>
    <w:tmpl w:val="A78C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FD07F6"/>
    <w:multiLevelType w:val="multilevel"/>
    <w:tmpl w:val="553AF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FDA2D7A"/>
    <w:multiLevelType w:val="multilevel"/>
    <w:tmpl w:val="DE003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2584D60"/>
    <w:multiLevelType w:val="multilevel"/>
    <w:tmpl w:val="63EA6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E0416B8"/>
    <w:multiLevelType w:val="multilevel"/>
    <w:tmpl w:val="6F36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9CF6B11"/>
    <w:multiLevelType w:val="multilevel"/>
    <w:tmpl w:val="5B82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11"/>
  </w:num>
  <w:num w:numId="5">
    <w:abstractNumId w:val="10"/>
  </w:num>
  <w:num w:numId="6">
    <w:abstractNumId w:val="5"/>
  </w:num>
  <w:num w:numId="7">
    <w:abstractNumId w:val="6"/>
  </w:num>
  <w:num w:numId="8">
    <w:abstractNumId w:val="9"/>
  </w:num>
  <w:num w:numId="9">
    <w:abstractNumId w:val="7"/>
  </w:num>
  <w:num w:numId="10">
    <w:abstractNumId w:val="0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773"/>
    <w:rsid w:val="00032879"/>
    <w:rsid w:val="00050EBD"/>
    <w:rsid w:val="000A3F1B"/>
    <w:rsid w:val="001D651E"/>
    <w:rsid w:val="00451F53"/>
    <w:rsid w:val="00706184"/>
    <w:rsid w:val="00706B65"/>
    <w:rsid w:val="007D4318"/>
    <w:rsid w:val="00AD2773"/>
    <w:rsid w:val="00CB346C"/>
    <w:rsid w:val="00D16345"/>
    <w:rsid w:val="00DA1773"/>
    <w:rsid w:val="00F705D7"/>
    <w:rsid w:val="00FF0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0ABB39-1975-44E2-9C87-AABFE177B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A1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DA1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DA177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1773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DA1773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DA1773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DA1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DA1773"/>
    <w:rPr>
      <w:b/>
      <w:bCs/>
    </w:rPr>
  </w:style>
  <w:style w:type="character" w:styleId="nfasis">
    <w:name w:val="Emphasis"/>
    <w:basedOn w:val="Fuentedeprrafopredeter"/>
    <w:uiPriority w:val="20"/>
    <w:qFormat/>
    <w:rsid w:val="00DA1773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D163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6345"/>
  </w:style>
  <w:style w:type="paragraph" w:styleId="Piedepgina">
    <w:name w:val="footer"/>
    <w:basedOn w:val="Normal"/>
    <w:link w:val="PiedepginaCar"/>
    <w:uiPriority w:val="99"/>
    <w:unhideWhenUsed/>
    <w:rsid w:val="00D163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6345"/>
  </w:style>
  <w:style w:type="paragraph" w:styleId="Subttulo">
    <w:name w:val="Subtitle"/>
    <w:basedOn w:val="Normal"/>
    <w:next w:val="Normal"/>
    <w:link w:val="SubttuloCar"/>
    <w:uiPriority w:val="11"/>
    <w:qFormat/>
    <w:rsid w:val="00FF0ECE"/>
    <w:pPr>
      <w:keepNext/>
      <w:keepLines/>
      <w:spacing w:before="240" w:after="0" w:line="276" w:lineRule="auto"/>
      <w:ind w:firstLine="720"/>
      <w:jc w:val="center"/>
    </w:pPr>
    <w:rPr>
      <w:rFonts w:ascii="Poppins" w:eastAsia="Poppins" w:hAnsi="Poppins" w:cs="Poppins"/>
      <w:b/>
      <w:color w:val="00A8E1"/>
      <w:sz w:val="28"/>
      <w:szCs w:val="28"/>
      <w:highlight w:val="white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FF0ECE"/>
    <w:rPr>
      <w:rFonts w:ascii="Poppins" w:eastAsia="Poppins" w:hAnsi="Poppins" w:cs="Poppins"/>
      <w:b/>
      <w:color w:val="00A8E1"/>
      <w:sz w:val="28"/>
      <w:szCs w:val="28"/>
      <w:highlight w:val="white"/>
      <w:lang w:eastAsia="es-AR"/>
    </w:rPr>
  </w:style>
  <w:style w:type="paragraph" w:styleId="Prrafodelista">
    <w:name w:val="List Paragraph"/>
    <w:basedOn w:val="Normal"/>
    <w:uiPriority w:val="34"/>
    <w:qFormat/>
    <w:rsid w:val="00AD27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999</Words>
  <Characters>5499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Garcia</dc:creator>
  <cp:keywords/>
  <dc:description/>
  <cp:lastModifiedBy>Paola Garcia</cp:lastModifiedBy>
  <cp:revision>11</cp:revision>
  <dcterms:created xsi:type="dcterms:W3CDTF">2025-10-16T20:28:00Z</dcterms:created>
  <dcterms:modified xsi:type="dcterms:W3CDTF">2025-10-16T21:04:00Z</dcterms:modified>
</cp:coreProperties>
</file>