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8A6C1E"/>
          <w:sz w:val="24"/>
          <w:szCs w:val="24"/>
        </w:rPr>
        <w:t xml:space="preserve">Sistema de Gestión para Peluquería</w:t>
      </w:r>
    </w:p>
    <w:p>
      <w:pPr>
        <w:spacing w:after="60"/>
        <w:jc w:val="center"/>
      </w:pPr>
      <w:r>
        <w:rPr>
          <w:rFonts w:ascii="Calibri" w:cs="Calibri" w:eastAsia="Calibri" w:hAnsi="Calibri"/>
          <w:b/>
          <w:bCs/>
          <w:color w:val="1A1A1A"/>
          <w:sz w:val="40"/>
          <w:szCs w:val="40"/>
        </w:rPr>
        <w:t xml:space="preserve">Herramientas extras utilizadas</w:t>
      </w:r>
    </w:p>
    <w:p>
      <w:pPr>
        <w:spacing w:after="220"/>
        <w:jc w:val="center"/>
      </w:pPr>
      <w:r>
        <w:rPr>
          <w:rFonts w:ascii="Calibri" w:cs="Calibri" w:eastAsia="Calibri" w:hAnsi="Calibri"/>
          <w:i/>
          <w:iCs/>
          <w:color w:val="555555"/>
          <w:sz w:val="20"/>
          <w:szCs w:val="20"/>
        </w:rPr>
        <w:t xml:space="preserve">Contraste con las herramientas indicadas en el TCC</w:t>
      </w:r>
    </w:p>
    <w:p>
      <w:pPr>
        <w:pBdr>
          <w:bottom w:val="single" w:color="E0DDD8" w:sz="6"/>
        </w:pBdr>
        <w:spacing w:after="200"/>
      </w:pPr>
    </w:p>
    <w:p>
      <w:pPr>
        <w:pStyle w:val="Heading1"/>
        <w:spacing w:after="120" w:before="300"/>
      </w:pPr>
      <w:r>
        <w:rPr>
          <w:rFonts w:ascii="Calibri" w:cs="Calibri" w:eastAsia="Calibri" w:hAnsi="Calibri"/>
          <w:b/>
          <w:bCs/>
          <w:color w:val="1A1A1A"/>
          <w:sz w:val="30"/>
          <w:szCs w:val="30"/>
        </w:rPr>
        <w:t xml:space="preserve">1. Herramientas indicadas en el TCC</w:t>
      </w:r>
    </w:p>
    <w:p>El documento del Trabajo de Conclusión de Curso define, en la sección “Herramientas a utilizar”, la siguiente pila tecnológica:</w:p>
    <w:p>
      <w:pPr>
        <w:pStyle w:val="ListParagraph"/>
        <w:numPr>
          <w:ilvl w:val="0"/>
          <w:numId w:val="1"/>
        </w:numPr>
        <w:spacing w:after="70" w:line="268"/>
      </w:pPr>
      <w:r>
        <w:rPr>
          <w:rFonts w:ascii="Calibri" w:cs="Calibri" w:eastAsia="Calibri" w:hAnsi="Calibri"/>
          <w:b/>
          <w:bCs/>
          <w:color w:val="2C2C2A"/>
          <w:sz w:val="22"/>
          <w:szCs w:val="22"/>
        </w:rPr>
        <w:t xml:space="preserve">PHP</w:t>
      </w:r>
      <w:r>
        <w:rPr>
          <w:rFonts w:ascii="Calibri" w:cs="Calibri" w:eastAsia="Calibri" w:hAnsi="Calibri"/>
          <w:color w:val="2C2C2A"/>
          <w:sz w:val="22"/>
          <w:szCs w:val="22"/>
        </w:rPr>
        <w:t xml:space="preserve"> — lenguaje del lado del servidor (lógica y acceso a datos).</w:t>
      </w:r>
    </w:p>
    <w:p>
      <w:pPr>
        <w:pStyle w:val="ListParagraph"/>
        <w:numPr>
          <w:ilvl w:val="0"/>
          <w:numId w:val="1"/>
        </w:numPr>
        <w:spacing w:after="70" w:line="268"/>
      </w:pPr>
      <w:r>
        <w:rPr>
          <w:rFonts w:ascii="Calibri" w:cs="Calibri" w:eastAsia="Calibri" w:hAnsi="Calibri"/>
          <w:b/>
          <w:bCs/>
          <w:color w:val="2C2C2A"/>
          <w:sz w:val="22"/>
          <w:szCs w:val="22"/>
        </w:rPr>
        <w:t xml:space="preserve">MySQL</w:t>
      </w:r>
      <w:r>
        <w:rPr>
          <w:rFonts w:ascii="Calibri" w:cs="Calibri" w:eastAsia="Calibri" w:hAnsi="Calibri"/>
          <w:color w:val="2C2C2A"/>
          <w:sz w:val="22"/>
          <w:szCs w:val="22"/>
        </w:rPr>
        <w:t xml:space="preserve"> — sistema de gestión de base de datos relacional.</w:t>
      </w:r>
    </w:p>
    <w:p>
      <w:pPr>
        <w:pStyle w:val="ListParagraph"/>
        <w:numPr>
          <w:ilvl w:val="0"/>
          <w:numId w:val="1"/>
        </w:numPr>
        <w:spacing w:after="70" w:line="268"/>
      </w:pPr>
      <w:r>
        <w:rPr>
          <w:rFonts w:ascii="Calibri" w:cs="Calibri" w:eastAsia="Calibri" w:hAnsi="Calibri"/>
          <w:b/>
          <w:bCs/>
          <w:color w:val="2C2C2A"/>
          <w:sz w:val="22"/>
          <w:szCs w:val="22"/>
        </w:rPr>
        <w:t xml:space="preserve">HTML5</w:t>
      </w:r>
      <w:r>
        <w:rPr>
          <w:rFonts w:ascii="Calibri" w:cs="Calibri" w:eastAsia="Calibri" w:hAnsi="Calibri"/>
          <w:color w:val="2C2C2A"/>
          <w:sz w:val="22"/>
          <w:szCs w:val="22"/>
        </w:rPr>
        <w:t xml:space="preserve"> — estructura de las páginas.</w:t>
      </w:r>
    </w:p>
    <w:p>
      <w:pPr>
        <w:pStyle w:val="ListParagraph"/>
        <w:numPr>
          <w:ilvl w:val="0"/>
          <w:numId w:val="1"/>
        </w:numPr>
        <w:spacing w:after="70" w:line="268"/>
      </w:pPr>
      <w:r>
        <w:rPr>
          <w:rFonts w:ascii="Calibri" w:cs="Calibri" w:eastAsia="Calibri" w:hAnsi="Calibri"/>
          <w:b/>
          <w:bCs/>
          <w:color w:val="2C2C2A"/>
          <w:sz w:val="22"/>
          <w:szCs w:val="22"/>
        </w:rPr>
        <w:t xml:space="preserve">CSS</w:t>
      </w:r>
      <w:r>
        <w:rPr>
          <w:rFonts w:ascii="Calibri" w:cs="Calibri" w:eastAsia="Calibri" w:hAnsi="Calibri"/>
          <w:color w:val="2C2C2A"/>
          <w:sz w:val="22"/>
          <w:szCs w:val="22"/>
        </w:rPr>
        <w:t xml:space="preserve"> — estilos y apariencia visual.</w:t>
      </w:r>
    </w:p>
    <w:p>
      <w:pPr>
        <w:pStyle w:val="ListParagraph"/>
        <w:numPr>
          <w:ilvl w:val="0"/>
          <w:numId w:val="1"/>
        </w:numPr>
        <w:spacing w:after="70" w:line="268"/>
      </w:pPr>
      <w:r>
        <w:rPr>
          <w:rFonts w:ascii="Calibri" w:cs="Calibri" w:eastAsia="Calibri" w:hAnsi="Calibri"/>
          <w:b/>
          <w:bCs/>
          <w:color w:val="2C2C2A"/>
          <w:sz w:val="22"/>
          <w:szCs w:val="22"/>
        </w:rPr>
        <w:t xml:space="preserve">Bootstrap</w:t>
      </w:r>
      <w:r>
        <w:rPr>
          <w:rFonts w:ascii="Calibri" w:cs="Calibri" w:eastAsia="Calibri" w:hAnsi="Calibri"/>
          <w:color w:val="2C2C2A"/>
          <w:sz w:val="22"/>
          <w:szCs w:val="22"/>
        </w:rPr>
        <w:t xml:space="preserve"> — framework frontend (el propio TCC lo describe como una librería de “HTML, CSS y JavaScript”).</w:t>
      </w:r>
    </w:p>
    <w:p>
      <w:pPr>
        <w:spacing w:after="120" w:line="276"/>
      </w:pPr>
      <w:r>
        <w:rPr>
          <w:rFonts w:ascii="Calibri" w:cs="Calibri" w:eastAsia="Calibri" w:hAnsi="Calibri"/>
          <w:color w:val="2C2C2A"/>
          <w:sz w:val="22"/>
          <w:szCs w:val="22"/>
        </w:rPr>
        <w:t xml:space="preserve">El sistema se desarrolló respetando esta pila: PHP puro (sin frameworks), MySQL, HTML5, CSS y Bootstrap. No se usaron frameworks de PHP, ni Node.js, ni gestores de dependencias. A continuación se listan los elementos adicionales que se incorporaron y que no figuran de forma explícita en esa lista.</w:t>
      </w:r>
    </w:p>
    <w:p>
      <w:pPr>
        <w:pStyle w:val="Heading1"/>
        <w:spacing w:after="120" w:before="300"/>
      </w:pPr>
      <w:r>
        <w:rPr>
          <w:rFonts w:ascii="Calibri" w:cs="Calibri" w:eastAsia="Calibri" w:hAnsi="Calibri"/>
          <w:b/>
          <w:bCs/>
          <w:color w:val="1A1A1A"/>
          <w:sz w:val="30"/>
          <w:szCs w:val="30"/>
        </w:rPr>
        <w:t xml:space="preserve">2.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260"/>
      </w:tblGrid>
      <w:tr>
        <w:trPr>
          <w:tblHeader/>
        </w:trPr>
        <w:tc>
          <w:tcPr>
            <w:tcW w:type="dxa" w:w="300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Herramienta extra</w:t>
            </w:r>
          </w:p>
        </w:tc>
        <w:tc>
          <w:tcPr>
            <w:tcW w:type="dxa" w:w="210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¿Reemplazable?</w:t>
            </w:r>
          </w:p>
        </w:tc>
        <w:tc>
          <w:tcPr>
            <w:tcW w:type="dxa" w:w="4260"/>
            <w:shd w:fill="8A6C1E" w:val="clear"/>
            <w:tcMar>
              <w:top w:type="dxa" w:w="60"/>
              <w:left w:type="dxa" w:w="100"/>
              <w:bottom w:type="dxa" w:w="60"/>
              <w:right w:type="dxa" w:w="100"/>
            </w:tcMar>
          </w:tcPr>
          <w:p>
            <w:r>
              <w:rPr>
                <w:rFonts w:ascii="Calibri" w:cs="Calibri" w:eastAsia="Calibri" w:hAnsi="Calibri"/>
                <w:b/>
                <w:bCs/>
                <w:color w:val="FFFFFF"/>
                <w:sz w:val="20"/>
                <w:szCs w:val="20"/>
              </w:rPr>
              <w:t xml:space="preserve">Cómo / observación</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Bootstrap Icons</w:t>
            </w:r>
          </w:p>
        </w:tc>
        <w:tc>
          <w:tcPr>
            <w:tcW w:type="dxa" w:w="2100"/>
            <w:tcMar>
              <w:top w:type="dxa" w:w="60"/>
              <w:left w:type="dxa" w:w="100"/>
              <w:bottom w:type="dxa" w:w="60"/>
              <w:right w:type="dxa" w:w="100"/>
            </w:tcMar>
          </w:tcPr>
          <w:p>
            <w:r>
              <w:rPr>
                <w:rFonts w:ascii="Calibri" w:cs="Calibri" w:eastAsia="Calibri" w:hAnsi="Calibri"/>
                <w:b/>
                <w:bCs/>
                <w:color w:val="2f5d2f"/>
                <w:sz w:val="22"/>
                <w:szCs w:val="22"/>
              </w:rPr>
              <w:t xml:space="preserve">Sí</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Con imágenes/SVG propios, emojis o solo texto.</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JavaScript (propio)</w:t>
            </w:r>
          </w:p>
        </w:tc>
        <w:tc>
          <w:tcPr>
            <w:tcW w:type="dxa" w:w="2100"/>
            <w:tcMar>
              <w:top w:type="dxa" w:w="60"/>
              <w:left w:type="dxa" w:w="100"/>
              <w:bottom w:type="dxa" w:w="60"/>
              <w:right w:type="dxa" w:w="100"/>
            </w:tcMar>
          </w:tcPr>
          <w:p>
            <w:r>
              <w:rPr>
                <w:rFonts w:ascii="Calibri" w:cs="Calibri" w:eastAsia="Calibri" w:hAnsi="Calibri"/>
                <w:b/>
                <w:bCs/>
                <w:color w:val="8A6C1E"/>
                <w:sz w:val="22"/>
                <w:szCs w:val="22"/>
              </w:rPr>
              <w:t xml:space="preserve">Parcial</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Bootstrap ya usa JavaScript; el login con huella no funciona sin él.</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WebAuthn (huella)</w:t>
            </w:r>
          </w:p>
        </w:tc>
        <w:tc>
          <w:tcPr>
            <w:tcW w:type="dxa" w:w="2100"/>
            <w:tcMar>
              <w:top w:type="dxa" w:w="60"/>
              <w:left w:type="dxa" w:w="100"/>
              <w:bottom w:type="dxa" w:w="60"/>
              <w:right w:type="dxa" w:w="100"/>
            </w:tcMar>
          </w:tcPr>
          <w:p>
            <w:r>
              <w:rPr>
                <w:rFonts w:ascii="Calibri" w:cs="Calibri" w:eastAsia="Calibri" w:hAnsi="Calibri"/>
                <w:b/>
                <w:bCs/>
                <w:color w:val="993535"/>
                <w:sz w:val="22"/>
                <w:szCs w:val="22"/>
              </w:rPr>
              <w:t xml:space="preserve">No</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Se puede quitar y dejar solo usuario/contraseña (sí cubierto por el TCC).</w:t>
            </w:r>
          </w:p>
        </w:tc>
      </w:tr>
      <w:tr>
        <w:tc>
          <w:tcPr>
            <w:tcW w:type="dxa" w:w="3000"/>
            <w:tcMar>
              <w:top w:type="dxa" w:w="60"/>
              <w:left w:type="dxa" w:w="100"/>
              <w:bottom w:type="dxa" w:w="60"/>
              <w:right w:type="dxa" w:w="100"/>
            </w:tcMar>
          </w:tcPr>
          <w:p>
            <w:r>
              <w:rPr>
                <w:rFonts w:ascii="Calibri" w:cs="Calibri" w:eastAsia="Calibri" w:hAnsi="Calibri"/>
                <w:color w:val="2C2C2A"/>
                <w:sz w:val="22"/>
                <w:szCs w:val="22"/>
              </w:rPr>
              <w:t xml:space="preserve">SMTP / Gmail</w:t>
            </w:r>
          </w:p>
        </w:tc>
        <w:tc>
          <w:tcPr>
            <w:tcW w:type="dxa" w:w="2100"/>
            <w:tcMar>
              <w:top w:type="dxa" w:w="60"/>
              <w:left w:type="dxa" w:w="100"/>
              <w:bottom w:type="dxa" w:w="60"/>
              <w:right w:type="dxa" w:w="100"/>
            </w:tcMar>
          </w:tcPr>
          <w:p>
            <w:r>
              <w:rPr>
                <w:rFonts w:ascii="Calibri" w:cs="Calibri" w:eastAsia="Calibri" w:hAnsi="Calibri"/>
                <w:b/>
                <w:bCs/>
                <w:color w:val="8A6C1E"/>
                <w:sz w:val="22"/>
                <w:szCs w:val="22"/>
              </w:rPr>
              <w:t xml:space="preserve">Parcial</w:t>
            </w:r>
          </w:p>
        </w:tc>
        <w:tc>
          <w:tcPr>
            <w:tcW w:type="dxa" w:w="4260"/>
            <w:shd w:fill="F7F5F2" w:val="clear"/>
            <w:tcMar>
              <w:top w:type="dxa" w:w="60"/>
              <w:left w:type="dxa" w:w="100"/>
              <w:bottom w:type="dxa" w:w="60"/>
              <w:right w:type="dxa" w:w="100"/>
            </w:tcMar>
          </w:tcPr>
          <w:p>
            <w:r>
              <w:rPr>
                <w:rFonts w:ascii="Calibri" w:cs="Calibri" w:eastAsia="Calibri" w:hAnsi="Calibri"/>
                <w:color w:val="2C2C2A"/>
                <w:sz w:val="22"/>
                <w:szCs w:val="22"/>
              </w:rPr>
              <w:t xml:space="preserve">El código es PHP; el envío real depende de un servidor externo. Alternativa: mostrar el código en pantalla (modo demo).</w:t>
            </w:r>
          </w:p>
        </w:tc>
      </w:tr>
    </w:tbl>
    <w:p>
      <w:pPr>
        <w:spacing w:after="140"/>
      </w:pPr>
    </w:p>
    <w:p>
      <w:pPr>
        <w:pStyle w:val="Heading1"/>
        <w:spacing w:after="120" w:before="300"/>
      </w:pPr>
      <w:r>
        <w:rPr>
          <w:rFonts w:ascii="Calibri" w:cs="Calibri" w:eastAsia="Calibri" w:hAnsi="Calibri"/>
          <w:b/>
          <w:bCs/>
          <w:color w:val="1A1A1A"/>
          <w:sz w:val="30"/>
          <w:szCs w:val="30"/>
        </w:rPr>
        <w:t xml:space="preserve">3. Detalle de cada herramienta extra</w:t>
      </w:r>
    </w:p>
    <w:p>
      <w:pPr>
        <w:pStyle w:val="Heading2"/>
        <w:spacing w:after="80" w:before="240"/>
      </w:pPr>
      <w:r>
        <w:rPr>
          <w:rFonts w:ascii="Calibri" w:cs="Calibri" w:eastAsia="Calibri" w:hAnsi="Calibri"/>
          <w:b/>
          <w:bCs/>
          <w:color w:val="8A6C1E"/>
          <w:sz w:val="26"/>
          <w:szCs w:val="26"/>
        </w:rPr>
        <w:t xml:space="preserve">3.1. Bootstrap Icons</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Una librería de íconos (fuente de íconos) creada por el mismo equipo de Bootstrap. Es un complemento separado de Bootstrap.</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Aporta los íconos que se ven en botones, tarjetas del menú y encabezados (tijera, calendario, usuario, engranaje, huella, etc.). Se carga desde un CDN con la clase </w:t>
      </w:r>
      <w:r>
        <w:rPr>
          <w:rFonts w:ascii="Consolas" w:cs="Consolas" w:eastAsia="Consolas" w:hAnsi="Consolas"/>
          <w:color w:val="9A3B1D"/>
          <w:sz w:val="21"/>
          <w:szCs w:val="21"/>
        </w:rPr>
        <w:t xml:space="preserve">bi bi-*</w:t>
      </w:r>
      <w:r>
        <w:rPr>
          <w:rFonts w:ascii="Calibri" w:cs="Calibri" w:eastAsia="Calibri" w:hAnsi="Calibri"/>
          <w:color w:val="2C2C2A"/>
          <w:sz w:val="22"/>
          <w:szCs w:val="22"/>
        </w:rPr>
        <w:t xml:space="preserve">.</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2f5d2f"/>
          <w:sz w:val="22"/>
          <w:szCs w:val="22"/>
        </w:rPr>
        <w:t xml:space="preserve">Sí.</w:t>
      </w:r>
      <w:r>
        <w:rPr>
          <w:rFonts w:ascii="Calibri" w:cs="Calibri" w:eastAsia="Calibri" w:hAnsi="Calibri"/>
          <w:color w:val="2C2C2A"/>
          <w:sz w:val="22"/>
          <w:szCs w:val="22"/>
        </w:rPr>
        <w:t xml:space="preserve"> Los íconos son decorativos; se pueden reemplazar por imágenes o gráficos SVG propios (HTML/CSS), o incluso quitarlos y dejar solo texto. También, al ser del mismo autor que Bootstrap, se lo puede considerar una extensión natural de la herramienta ya indicada.</w:t>
      </w:r>
    </w:p>
    <w:p>
      <w:pPr>
        <w:pStyle w:val="Heading2"/>
        <w:spacing w:after="80" w:before="240"/>
      </w:pPr>
      <w:r>
        <w:rPr>
          <w:rFonts w:ascii="Calibri" w:cs="Calibri" w:eastAsia="Calibri" w:hAnsi="Calibri"/>
          <w:b/>
          <w:bCs/>
          <w:color w:val="8A6C1E"/>
          <w:sz w:val="26"/>
          <w:szCs w:val="26"/>
        </w:rPr>
        <w:t xml:space="preserve">3.2. JavaScript (código propio)</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El lenguaje de programación que se ejecuta en el navegador del usuario. El TCC lo menciona únicamente dentro de la descripción de Bootstrap, no como herramienta independiente.</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Aporta la interactividad del lado del cliente: mostrar u ocultar la contraseña, agregar filas dinámicas en la carga de compras, abrir ventanas modales (reprogramar cita, cobrar), y las llamadas al servidor sin recargar la página (fetch) para el login biométrico.</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8A6C1E"/>
          <w:sz w:val="22"/>
          <w:szCs w:val="22"/>
        </w:rPr>
        <w:t xml:space="preserve">Parcialmente.</w:t>
      </w:r>
      <w:r>
        <w:rPr>
          <w:rFonts w:ascii="Calibri" w:cs="Calibri" w:eastAsia="Calibri" w:hAnsi="Calibri"/>
          <w:color w:val="2C2C2A"/>
          <w:sz w:val="22"/>
          <w:szCs w:val="22"/>
        </w:rPr>
        <w:t xml:space="preserve"> Bootstrap —herramienta ya indicada— funciona con JavaScript, por lo que su uso está implícito en el TCC. Las interacciones sencillas podrían reducirse, pero el login con huella no puede funcionar sin JavaScript. Es un uso alineado con la pila declarada.</w:t>
      </w:r>
    </w:p>
    <w:p>
      <w:pPr>
        <w:pStyle w:val="Heading2"/>
        <w:spacing w:after="80" w:before="240"/>
      </w:pPr>
      <w:r>
        <w:rPr>
          <w:rFonts w:ascii="Calibri" w:cs="Calibri" w:eastAsia="Calibri" w:hAnsi="Calibri"/>
          <w:b/>
          <w:bCs/>
          <w:color w:val="8A6C1E"/>
          <w:sz w:val="26"/>
          <w:szCs w:val="26"/>
        </w:rPr>
        <w:t xml:space="preserve">3.3. WebAuthn (login con huella / biométrico)</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 estándar web (API del navegador, navigator.credentials / PublicKeyCredential) que permite autenticar al usuario con el sensor biométrico del dispositivo (huella, rostro) o una llave de seguridad. La verificación criptográfica en el servidor se implementó en PHP puro, sin librerías externas.</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Permite el inicio de sesión con huella. Tras el primer login, el sistema pregunta una vez si el usuario desea activarlo; queda un interruptor en “Mi cuenta” para activarlo o desactivarlo.</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993535"/>
          <w:sz w:val="22"/>
          <w:szCs w:val="22"/>
        </w:rPr>
        <w:t xml:space="preserve">No.</w:t>
      </w:r>
      <w:r>
        <w:rPr>
          <w:rFonts w:ascii="Calibri" w:cs="Calibri" w:eastAsia="Calibri" w:hAnsi="Calibri"/>
          <w:color w:val="2C2C2A"/>
          <w:sz w:val="22"/>
          <w:szCs w:val="22"/>
        </w:rPr>
        <w:t xml:space="preserve"> El acceso al sensor biométrico solo es posible mediante esta API del navegador; no se puede lograr con PHP, MySQL, HTML, CSS o Bootstrap por sí solos. Es una funcionalidad agregada a pedido, fuera del alcance del TCC. Si se quisiera respetar estrictamente el documento, se retiraría el login biométrico y se conservaría el inicio de sesión con usuario y contraseña, que sí está cubierto.</w:t>
      </w:r>
    </w:p>
    <w:p>
      <w:pPr>
        <w:pStyle w:val="Heading2"/>
        <w:spacing w:after="80" w:before="240"/>
      </w:pPr>
      <w:r>
        <w:rPr>
          <w:rFonts w:ascii="Calibri" w:cs="Calibri" w:eastAsia="Calibri" w:hAnsi="Calibri"/>
          <w:b/>
          <w:bCs/>
          <w:color w:val="8A6C1E"/>
          <w:sz w:val="26"/>
          <w:szCs w:val="26"/>
        </w:rPr>
        <w:t xml:space="preserve">3.4. Servidor de correo SMTP (Gmail)</w:t>
      </w:r>
    </w:p>
    <w:p>
      <w:pPr>
        <w:spacing w:after="90" w:line="276"/>
      </w:pPr>
      <w:r>
        <w:rPr>
          <w:rFonts w:ascii="Calibri" w:cs="Calibri" w:eastAsia="Calibri" w:hAnsi="Calibri"/>
          <w:b/>
          <w:bCs/>
          <w:color w:val="1A1A1A"/>
          <w:sz w:val="22"/>
          <w:szCs w:val="22"/>
        </w:rPr>
        <w:t xml:space="preserve">Qué es: </w:t>
      </w:r>
      <w:r>
        <w:rPr>
          <w:rFonts w:ascii="Calibri" w:cs="Calibri" w:eastAsia="Calibri" w:hAnsi="Calibri"/>
          <w:color w:val="2C2C2A"/>
          <w:sz w:val="22"/>
          <w:szCs w:val="22"/>
        </w:rPr>
        <w:t xml:space="preserve">Un servicio externo de envío de correos electrónicos. El sistema se conecta por el protocolo SMTP a los servidores de Gmail. El cliente SMTP se programó en PHP puro (con sockets y cifrado TLS mediante la extensión OpenSSL de PHP), sin librerías de terceros.</w:t>
      </w:r>
    </w:p>
    <w:p>
      <w:pPr>
        <w:spacing w:after="90" w:line="276"/>
      </w:pPr>
      <w:r>
        <w:rPr>
          <w:rFonts w:ascii="Calibri" w:cs="Calibri" w:eastAsia="Calibri" w:hAnsi="Calibri"/>
          <w:b/>
          <w:bCs/>
          <w:color w:val="1A1A1A"/>
          <w:sz w:val="22"/>
          <w:szCs w:val="22"/>
        </w:rPr>
        <w:t xml:space="preserve">Qué hace en el sistema: </w:t>
      </w:r>
      <w:r>
        <w:rPr>
          <w:rFonts w:ascii="Calibri" w:cs="Calibri" w:eastAsia="Calibri" w:hAnsi="Calibri"/>
          <w:color w:val="2C2C2A"/>
          <w:sz w:val="22"/>
          <w:szCs w:val="22"/>
        </w:rPr>
        <w:t xml:space="preserve">Envía los correos con el código de verificación de cuenta (al registrarse) y el código de recuperación de contraseña.</w:t>
      </w:r>
    </w:p>
    <w:p>
      <w:pPr>
        <w:spacing w:after="90" w:line="276"/>
      </w:pPr>
      <w:r>
        <w:rPr>
          <w:rFonts w:ascii="Calibri" w:cs="Calibri" w:eastAsia="Calibri" w:hAnsi="Calibri"/>
          <w:b/>
          <w:bCs/>
          <w:color w:val="1A1A1A"/>
          <w:sz w:val="22"/>
          <w:szCs w:val="22"/>
        </w:rPr>
        <w:t xml:space="preserve">¿Reemplazable por una herramienta del TCC? </w:t>
      </w:r>
      <w:r>
        <w:rPr>
          <w:rFonts w:ascii="Calibri" w:cs="Calibri" w:eastAsia="Calibri" w:hAnsi="Calibri"/>
          <w:b/>
          <w:bCs/>
          <w:color w:val="8A6C1E"/>
          <w:sz w:val="22"/>
          <w:szCs w:val="22"/>
        </w:rPr>
        <w:t xml:space="preserve">Parcialmente.</w:t>
      </w:r>
      <w:r>
        <w:rPr>
          <w:rFonts w:ascii="Calibri" w:cs="Calibri" w:eastAsia="Calibri" w:hAnsi="Calibri"/>
          <w:color w:val="2C2C2A"/>
          <w:sz w:val="22"/>
          <w:szCs w:val="22"/>
        </w:rPr>
        <w:t xml:space="preserve"> El código que envía los correos es PHP (herramienta indicada), pero el envío real depende de un servidor de correo externo (Gmail), que es una integración externa. Cabe señalar que el propio TCC deja fuera de alcance integraciones externas similares (por ejemplo, la API de WhatsApp). Alternativas dentro de lo indicado: (a) usar la función nativa </w:t>
      </w:r>
      <w:r>
        <w:rPr>
          <w:rFonts w:ascii="Consolas" w:cs="Consolas" w:eastAsia="Consolas" w:hAnsi="Consolas"/>
          <w:color w:val="9A3B1D"/>
          <w:sz w:val="21"/>
          <w:szCs w:val="21"/>
        </w:rPr>
        <w:t xml:space="preserve">mail()</w:t>
      </w:r>
      <w:r>
        <w:rPr>
          <w:rFonts w:ascii="Calibri" w:cs="Calibri" w:eastAsia="Calibri" w:hAnsi="Calibri"/>
          <w:color w:val="2C2C2A"/>
          <w:sz w:val="22"/>
          <w:szCs w:val="22"/>
        </w:rPr>
        <w:t xml:space="preserve"> de PHP con un servidor de correo propio; o (b) no enviar correos reales y mostrar el código directamente en pantalla (“modo demostración”), lo cual queda íntegramente dentro de PHP.</w:t>
      </w:r>
    </w:p>
    <w:p>
      <w:pPr>
        <w:pStyle w:val="Heading1"/>
        <w:spacing w:after="120" w:before="300"/>
      </w:pPr>
      <w:r>
        <w:rPr>
          <w:rFonts w:ascii="Calibri" w:cs="Calibri" w:eastAsia="Calibri" w:hAnsi="Calibri"/>
          <w:b/>
          <w:bCs/>
          <w:color w:val="1A1A1A"/>
          <w:sz w:val="30"/>
          <w:szCs w:val="30"/>
        </w:rPr>
        <w:t xml:space="preserve">4. Aclaraciones</w:t>
      </w:r>
    </w:p>
    <w:p>
      <w:pPr>
        <w:pStyle w:val="ListParagraph"/>
        <w:numPr>
          <w:ilvl w:val="0"/>
          <w:numId w:val="1"/>
        </w:numPr>
        <w:spacing w:after="70" w:line="268"/>
      </w:pPr>
      <w:r>
        <w:rPr>
          <w:rFonts w:ascii="Calibri" w:cs="Calibri" w:eastAsia="Calibri" w:hAnsi="Calibri"/>
          <w:b/>
          <w:bCs/>
          <w:color w:val="2C2C2A"/>
          <w:sz w:val="22"/>
          <w:szCs w:val="22"/>
        </w:rPr>
        <w:t xml:space="preserve">MariaDB en lugar de MySQL: </w:t>
      </w:r>
      <w:r>
        <w:rPr>
          <w:rFonts w:ascii="Calibri" w:cs="Calibri" w:eastAsia="Calibri" w:hAnsi="Calibri"/>
          <w:color w:val="2C2C2A"/>
          <w:sz w:val="22"/>
          <w:szCs w:val="22"/>
        </w:rPr>
        <w:t xml:space="preserve">el paquete XAMPP incluye MariaDB, un motor totalmente compatible con MySQL. El sistema funciona igual y las sentencias son las mismas; no se considera una herramienta distinta, sino la implementación de MySQL provista por XAMPP.</w:t>
      </w:r>
    </w:p>
    <w:p>
      <w:pPr>
        <w:pStyle w:val="ListParagraph"/>
        <w:numPr>
          <w:ilvl w:val="0"/>
          <w:numId w:val="1"/>
        </w:numPr>
        <w:spacing w:after="70" w:line="268"/>
      </w:pPr>
      <w:r>
        <w:rPr>
          <w:rFonts w:ascii="Calibri" w:cs="Calibri" w:eastAsia="Calibri" w:hAnsi="Calibri"/>
          <w:b/>
          <w:bCs/>
          <w:color w:val="2C2C2A"/>
          <w:sz w:val="22"/>
          <w:szCs w:val="22"/>
        </w:rPr>
        <w:t xml:space="preserve">CDN (jsDelivr): </w:t>
      </w:r>
      <w:r>
        <w:rPr>
          <w:rFonts w:ascii="Calibri" w:cs="Calibri" w:eastAsia="Calibri" w:hAnsi="Calibri"/>
          <w:color w:val="2C2C2A"/>
          <w:sz w:val="22"/>
          <w:szCs w:val="22"/>
        </w:rPr>
        <w:t xml:space="preserve">Bootstrap y Bootstrap Icons se cargan desde una red de distribución de contenido por internet. Si se necesita funcionamiento sin conexión, se pueden descargar y alojar localmente dentro del proyecto.</w:t>
      </w:r>
    </w:p>
    <w:p>
      <w:pPr>
        <w:pStyle w:val="ListParagraph"/>
        <w:numPr>
          <w:ilvl w:val="0"/>
          <w:numId w:val="1"/>
        </w:numPr>
        <w:spacing w:after="70" w:line="268"/>
      </w:pPr>
      <w:r>
        <w:rPr>
          <w:rFonts w:ascii="Calibri" w:cs="Calibri" w:eastAsia="Calibri" w:hAnsi="Calibri"/>
          <w:b/>
          <w:bCs/>
          <w:color w:val="2C2C2A"/>
          <w:sz w:val="22"/>
          <w:szCs w:val="22"/>
        </w:rPr>
        <w:t xml:space="preserve">OpenSSL: </w:t>
      </w:r>
      <w:r>
        <w:rPr>
          <w:rFonts w:ascii="Calibri" w:cs="Calibri" w:eastAsia="Calibri" w:hAnsi="Calibri"/>
          <w:color w:val="2C2C2A"/>
          <w:sz w:val="22"/>
          <w:szCs w:val="22"/>
        </w:rPr>
        <w:t xml:space="preserve">es una extensión estándar de PHP (no una herramienta aparte). Se usa internamente para el cifrado del correo (TLS) y para la verificación de firmas del login biométrico.</w:t>
      </w:r>
    </w:p>
    <w:p>
      <w:pPr>
        <w:pStyle w:val="ListParagraph"/>
        <w:numPr>
          <w:ilvl w:val="0"/>
          <w:numId w:val="1"/>
        </w:numPr>
        <w:spacing w:after="70" w:line="268"/>
      </w:pPr>
      <w:r>
        <w:rPr>
          <w:rFonts w:ascii="Calibri" w:cs="Calibri" w:eastAsia="Calibri" w:hAnsi="Calibri"/>
          <w:b/>
          <w:bCs/>
          <w:color w:val="2C2C2A"/>
          <w:sz w:val="22"/>
          <w:szCs w:val="22"/>
        </w:rPr>
        <w:t xml:space="preserve">Sin frameworks ni dependencias externas de PHP: </w:t>
      </w:r>
      <w:r>
        <w:rPr>
          <w:rFonts w:ascii="Calibri" w:cs="Calibri" w:eastAsia="Calibri" w:hAnsi="Calibri"/>
          <w:color w:val="2C2C2A"/>
          <w:sz w:val="22"/>
          <w:szCs w:val="22"/>
        </w:rPr>
        <w:t xml:space="preserve">el sistema no usa Laravel, Symfony, Composer, Node.js ni librerías de terceros; toda la lógica del servidor es PHP puro, en línea con lo indicado en el TCC.</w:t>
      </w:r>
    </w:p>
    <w:p>
      <w:pPr>
        <w:spacing w:before="240"/>
        <w:jc w:val="center"/>
      </w:pPr>
      <w:r>
        <w:rPr>
          <w:rFonts w:ascii="Calibri" w:cs="Calibri" w:eastAsia="Calibri" w:hAnsi="Calibri"/>
          <w:i/>
          <w:iCs/>
          <w:color w:val="555555"/>
          <w:sz w:val="18"/>
          <w:szCs w:val="18"/>
        </w:rPr>
        <w:t xml:space="preserve">Sistema de Gestión para Peluquería · TCC Ingeniería en Informática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extras utilizadas</dc:title>
  <dc:creator>Sistema de Gestión para Peluquería</dc:creator>
  <cp:lastModifiedBy>Un-named</cp:lastModifiedBy>
  <cp:revision>1</cp:revision>
  <dcterms:created xsi:type="dcterms:W3CDTF">2026-07-19T01:00:12.132Z</dcterms:created>
  <dcterms:modified xsi:type="dcterms:W3CDTF">2026-07-19T01:00:12.134Z</dcterms:modified>
</cp:coreProperties>
</file>

<file path=docProps/custom.xml><?xml version="1.0" encoding="utf-8"?>
<Properties xmlns="http://schemas.openxmlformats.org/officeDocument/2006/custom-properties" xmlns:vt="http://schemas.openxmlformats.org/officeDocument/2006/docPropsVTypes"/>
</file>