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80"/>
        <w:jc w:val="center"/>
      </w:pPr>
      <w:r>
        <w:rPr>
          <w:b/>
          <w:color w:val="2E74B5"/>
          <w:sz w:val="26"/>
        </w:rPr>
        <w:t>AUTOMATIZADOR SIFEN</w:t>
      </w:r>
    </w:p>
    <w:p>
      <w:pPr>
        <w:spacing w:after="80"/>
        <w:jc w:val="center"/>
      </w:pPr>
      <w:r>
        <w:rPr>
          <w:b/>
          <w:color w:val="1F4E79"/>
          <w:sz w:val="60"/>
        </w:rPr>
        <w:t>Manual General</w:t>
      </w:r>
    </w:p>
    <w:p>
      <w:pPr>
        <w:pBdr>
          <w:bottom w:val="single" w:sz="8" w:space="12" w:color="2E74B5"/>
        </w:pBdr>
        <w:spacing w:after="320"/>
        <w:jc w:val="center"/>
      </w:pPr>
      <w:r>
        <w:rPr>
          <w:color w:val="595959"/>
          <w:sz w:val="28"/>
        </w:rPr>
        <w:t>Facturación electrónica desatendida por archivos de texto</w:t>
      </w:r>
    </w:p>
    <w:p>
      <w:pPr>
        <w:spacing w:after="40"/>
        <w:jc w:val="center"/>
      </w:pPr>
      <w:r>
        <w:rPr>
          <w:i/>
          <w:color w:val="595959"/>
          <w:sz w:val="22"/>
        </w:rPr>
        <w:t>Documento de referencia para el equipo técnico y para el responsable</w:t>
      </w:r>
    </w:p>
    <w:p>
      <w:pPr>
        <w:spacing w:after="40"/>
        <w:jc w:val="center"/>
      </w:pPr>
      <w:r>
        <w:rPr>
          <w:i/>
          <w:color w:val="595959"/>
          <w:sz w:val="22"/>
        </w:rPr>
        <w:t>de la integración con el sistema de gestión.</w:t>
      </w:r>
    </w:p>
    <w:p>
      <w:pPr>
        <w:spacing w:after="0"/>
      </w:pPr>
    </w:p>
    <w:p>
      <w:pPr>
        <w:spacing w:after="0"/>
      </w:pPr>
    </w:p>
    <w:p>
      <w:pPr>
        <w:spacing w:after="0"/>
      </w:pPr>
    </w:p>
    <w:p>
      <w:pPr>
        <w:spacing w:after="0"/>
      </w:pPr>
    </w:p>
    <w:p>
      <w:pPr>
        <w:spacing w:after="0"/>
      </w:pPr>
    </w:p>
    <w:p>
      <w:pPr>
        <w:spacing w:after="0"/>
      </w:pPr>
    </w:p>
    <w:p>
      <w:pPr>
        <w:spacing w:after="40"/>
        <w:jc w:val="center"/>
      </w:pPr>
      <w:r>
        <w:rPr>
          <w:color w:val="595959"/>
          <w:sz w:val="20"/>
        </w:rPr>
        <w:t>Versión del documento: 2.0</w:t>
      </w:r>
    </w:p>
    <w:p>
      <w:pPr>
        <w:spacing w:after="40"/>
        <w:jc w:val="center"/>
      </w:pPr>
      <w:r>
        <w:rPr>
          <w:color w:val="595959"/>
          <w:sz w:val="20"/>
        </w:rPr>
        <w:t>Motor SIFEN: Manual Técnico versión 150</w:t>
      </w:r>
    </w:p>
    <w:p>
      <w:pPr>
        <w:spacing w:after="40"/>
        <w:jc w:val="center"/>
      </w:pPr>
      <w:r>
        <w:rPr>
          <w:color w:val="595959"/>
          <w:sz w:val="20"/>
        </w:rPr>
        <w:t>Ambiente: DNIT (ex SET) — República del Paraguay</w:t>
      </w:r>
    </w:p>
    <w:p>
      <w:r>
        <w:br w:type="page"/>
      </w:r>
    </w:p>
    <w:p>
      <w:pPr>
        <w:spacing w:after="160"/>
      </w:pPr>
      <w:r>
        <w:rPr>
          <w:b/>
          <w:color w:val="1F4E79"/>
          <w:sz w:val="32"/>
        </w:rPr>
        <w:t>Contenido</w:t>
      </w:r>
    </w:p>
    <w:p>
      <w:r>
        <w:fldChar w:fldCharType="begin"/>
      </w:r>
      <w:r>
        <w:instrText xml:space="preserve">TOC \o "1-2" \h \z \u</w:instrText>
      </w:r>
      <w:r>
        <w:fldChar w:fldCharType="separate"/>
      </w:r>
      <w:r>
        <w:rPr>
          <w:i/>
          <w:color w:val="595959"/>
          <w:sz w:val="19"/>
        </w:rPr>
        <w:t>El índice se completa al abrir el documento en Word. Si aparece este texto, seleccionelo y presione F9 para actualizarlo.</w:t>
      </w:r>
      <w:r>
        <w:fldChar w:fldCharType="end"/>
      </w:r>
    </w:p>
    <w:p>
      <w:r>
        <w:br w:type="page"/>
      </w:r>
    </w:p>
    <w:p>
      <w:pPr>
        <w:pStyle w:val="Heading1"/>
      </w:pPr>
      <w:r>
        <w:t>1. Introducción</w:t>
      </w:r>
    </w:p>
    <w:p>
      <w:pPr>
        <w:pStyle w:val="Heading2"/>
      </w:pPr>
      <w:r>
        <w:t>1.1. Qué problema resuelve</w:t>
      </w:r>
    </w:p>
    <w:p>
      <w:pPr>
        <w:spacing w:after="140"/>
      </w:pPr>
      <w:r>
        <w:t>Emitir facturas electrónicas en Paraguay obliga a cumplir un conjunto de requisitos técnicos que poco tienen que ver con el negocio de quien vende: hay que construir un XML con una estructura exacta, calcular un código de control de 44 dígitos, firmar el documento con un certificado digital, generar un código QR con su propia firma, dialogar con los servicios web de la DNIT y, además, producir una representación gráfica imprimible del comprobante. Incorporar todo eso dentro de un sistema de gestión que ya funciona resulta caro, riesgoso y difícil de mantener cada vez que la normativa cambia.</w:t>
      </w:r>
    </w:p>
    <w:p>
      <w:pPr>
        <w:spacing w:after="140"/>
      </w:pPr>
      <w:r>
        <w:t>El Automatizador SIFEN existe para separar esos dos mundos. El sistema de gestión sigue haciendo lo que sabe hacer —vender, controlar stock, cobrar— y el automatizador se ocupa exclusivamente de la parte fiscal y técnica. La frontera entre ambos es deliberadamente simple: un archivo de texto plano.</w:t>
      </w:r>
    </w:p>
    <w:p>
      <w:pPr>
        <w:pStyle w:val="Heading2"/>
      </w:pPr>
      <w:r>
        <w:t>1.2. La idea en una frase</w:t>
      </w:r>
    </w:p>
    <w:p>
      <w:pPr>
        <w:pBdr>
          <w:top w:val="single" w:sz="4" w:space="6" w:color="EAF4FB"/>
          <w:left w:val="single" w:sz="18" w:space="8" w:color="2E74B5"/>
          <w:bottom w:val="single" w:sz="4" w:space="6" w:color="EAF4FB"/>
          <w:right w:val="single" w:sz="4" w:space="6" w:color="EAF4FB"/>
        </w:pBdr>
        <w:shd w:val="clear" w:color="auto" w:fill="EAF4FB"/>
        <w:spacing w:before="160" w:after="200" w:line="276" w:lineRule="auto"/>
        <w:ind w:left="227" w:right="170"/>
      </w:pPr>
      <w:r>
        <w:rPr>
          <w:b/>
          <w:color w:val="1F4E79"/>
        </w:rPr>
        <w:t xml:space="preserve">EN RESUMEN  </w:t>
      </w:r>
      <w:r>
        <w:t xml:space="preserve">el sistema externo deja un archivo </w:t>
      </w:r>
      <w:r>
        <w:rPr>
          <w:rFonts w:ascii="Consolas" w:hAnsi="Consolas"/>
          <w:color w:val="A31515"/>
          <w:sz w:val="19"/>
        </w:rPr>
        <w:t>.txt</w:t>
      </w:r>
      <w:r>
        <w:t xml:space="preserve"> con sus ventas; el automatizador devuelve facturas electrónicas firmadas y aprobadas por la DNIT, con su XML, su KuDE en PDF y el correo ya enviado al cliente. Sin pantallas, sin intervención humana y sin tocar el sistema que ya está en producción.</w:t>
      </w:r>
    </w:p>
    <w:p>
      <w:pPr>
        <w:spacing w:after="140"/>
      </w:pPr>
      <w:r>
        <w:t>Ese archivo de texto es tan sencillo que cualquier lenguaje puede generarlo con una simple concatenación de cadenas: una línea para la cabecera de la factura, una para el cliente y una por cada ítem, con los campos separados por el carácter barra vertical. No hace falta librería, ni SDK, ni conocer una sola etiqueta XML.</w:t>
      </w:r>
    </w:p>
    <w:p>
      <w:pPr>
        <w:pStyle w:val="Heading2"/>
      </w:pPr>
      <w:r>
        <w:t>1.3. Qué hace el automatizador</w:t>
      </w:r>
    </w:p>
    <w:p>
      <w:pPr>
        <w:spacing w:after="140"/>
      </w:pPr>
      <w:r>
        <w:t>Por cada factura que recibe, el sistema ejecuta esta cadena de trabajo de forma completamente automática:</w:t>
      </w:r>
    </w:p>
    <w:p>
      <w:pPr>
        <w:pStyle w:val="ListBullet"/>
        <w:spacing w:after="80" w:line="276" w:lineRule="auto"/>
      </w:pPr>
      <w:r>
        <w:rPr>
          <w:b/>
        </w:rPr>
        <w:t>Validación previa.</w:t>
      </w:r>
      <w:r>
        <w:t xml:space="preserve"> Interpreta el archivo, verifica que estén los datos obligatorios y rechaza la factura </w:t>
      </w:r>
      <w:r>
        <w:rPr>
          <w:i/>
        </w:rPr>
        <w:t>antes</w:t>
      </w:r>
      <w:r>
        <w:t xml:space="preserve"> de emitirla si detecta un problema, indicando el número de línea o de factura afectada.</w:t>
      </w:r>
    </w:p>
    <w:p>
      <w:pPr>
        <w:pStyle w:val="ListBullet"/>
        <w:spacing w:after="80" w:line="276" w:lineRule="auto"/>
      </w:pPr>
      <w:r>
        <w:rPr>
          <w:b/>
        </w:rPr>
        <w:t>Generación del CDC.</w:t>
      </w:r>
      <w:r>
        <w:t xml:space="preserve"> Calcula el Código de Control de 44 dígitos que identifica de manera única al documento, incluido su dígito verificador por módulo 11.</w:t>
      </w:r>
    </w:p>
    <w:p>
      <w:pPr>
        <w:pStyle w:val="ListBullet"/>
        <w:spacing w:after="80" w:line="276" w:lineRule="auto"/>
      </w:pPr>
      <w:r>
        <w:rPr>
          <w:b/>
        </w:rPr>
        <w:t>Construcción del XML.</w:t>
      </w:r>
      <w:r>
        <w:t xml:space="preserve"> Arma el Documento Electrónico con la estructura, los catálogos y las reglas de la versión 150 del manual técnico de la DNIT.</w:t>
      </w:r>
    </w:p>
    <w:p>
      <w:pPr>
        <w:pStyle w:val="ListBullet"/>
        <w:spacing w:after="80" w:line="276" w:lineRule="auto"/>
      </w:pPr>
      <w:r>
        <w:rPr>
          <w:b/>
        </w:rPr>
        <w:t>Cálculo fiscal.</w:t>
      </w:r>
      <w:r>
        <w:t xml:space="preserve"> Determina las bases gravadas al 10 % y al 5 %, las operaciones exentas, el IVA discriminado por tasa y el total general, aplicando el redondeo que corresponde a la moneda utilizada.</w:t>
      </w:r>
    </w:p>
    <w:p>
      <w:pPr>
        <w:pStyle w:val="ListBullet"/>
        <w:spacing w:after="80" w:line="276" w:lineRule="auto"/>
      </w:pPr>
      <w:r>
        <w:rPr>
          <w:b/>
        </w:rPr>
        <w:t>Firma digital.</w:t>
      </w:r>
      <w:r>
        <w:t xml:space="preserve"> Firma el XML con el certificado del emisor según el estándar XMLDSIG.</w:t>
      </w:r>
    </w:p>
    <w:p>
      <w:pPr>
        <w:pStyle w:val="ListBullet"/>
        <w:spacing w:after="80" w:line="276" w:lineRule="auto"/>
      </w:pPr>
      <w:r>
        <w:rPr>
          <w:b/>
        </w:rPr>
        <w:t>Código QR.</w:t>
      </w:r>
      <w:r>
        <w:t xml:space="preserve"> Construye el texto del QR (campo </w:t>
      </w:r>
      <w:r>
        <w:rPr>
          <w:rFonts w:ascii="Consolas" w:hAnsi="Consolas"/>
          <w:color w:val="A31515"/>
          <w:sz w:val="19"/>
        </w:rPr>
        <w:t>dCarQR</w:t>
      </w:r>
      <w:r>
        <w:t>) y lo firma con el CSC entregado por la DNIT.</w:t>
      </w:r>
    </w:p>
    <w:p>
      <w:pPr>
        <w:pStyle w:val="ListBullet"/>
        <w:spacing w:after="80" w:line="276" w:lineRule="auto"/>
      </w:pPr>
      <w:r>
        <w:rPr>
          <w:b/>
        </w:rPr>
        <w:t>Envío a la DNIT.</w:t>
      </w:r>
      <w:r>
        <w:t xml:space="preserve"> Transmite el documento al web service de recepción y conserva el estado y el identificador de seguimiento devueltos.</w:t>
      </w:r>
    </w:p>
    <w:p>
      <w:pPr>
        <w:pStyle w:val="ListBullet"/>
        <w:spacing w:after="80" w:line="276" w:lineRule="auto"/>
      </w:pPr>
      <w:r>
        <w:rPr>
          <w:b/>
        </w:rPr>
        <w:t>KuDE en PDF.</w:t>
      </w:r>
      <w:r>
        <w:t xml:space="preserve"> Genera la representación gráfica del documento, lista para imprimir o adjuntar, con el QR incrustado y paginación automática cuando los ítems no entran en una sola hoja.</w:t>
      </w:r>
    </w:p>
    <w:p>
      <w:pPr>
        <w:pStyle w:val="ListBullet"/>
        <w:spacing w:after="80" w:line="276" w:lineRule="auto"/>
      </w:pPr>
      <w:r>
        <w:rPr>
          <w:b/>
        </w:rPr>
        <w:t>Notificación al cliente.</w:t>
      </w:r>
      <w:r>
        <w:t xml:space="preserve"> Envía por correo el PDF y el XML, si en el archivo se informó una dirección de correo.</w:t>
      </w:r>
    </w:p>
    <w:p>
      <w:pPr>
        <w:pStyle w:val="ListBullet"/>
        <w:spacing w:after="80" w:line="276" w:lineRule="auto"/>
      </w:pPr>
      <w:r>
        <w:rPr>
          <w:b/>
        </w:rPr>
        <w:t>Trazabilidad.</w:t>
      </w:r>
      <w:r>
        <w:t xml:space="preserve"> Archiva la entrada procesada, deja los resultados en carpetas separadas y escribe una bitácora diaria de todo lo ocurrido.</w:t>
      </w:r>
    </w:p>
    <w:p>
      <w:pPr>
        <w:pStyle w:val="Heading2"/>
      </w:pPr>
      <w:r>
        <w:t>1.4. Qué NO hace: el alcance del sistema</w:t>
      </w:r>
    </w:p>
    <w:p>
      <w:pPr>
        <w:spacing w:after="140"/>
      </w:pPr>
      <w:r>
        <w:t>Delimitar lo que el automatizador no hace es tan importante como enumerar sus funciones, porque evita expectativas equivocadas durante la integración.</w:t>
      </w:r>
    </w:p>
    <w:p>
      <w:pPr>
        <w:pStyle w:val="ListBullet"/>
        <w:spacing w:after="80" w:line="276" w:lineRule="auto"/>
      </w:pPr>
      <w:r>
        <w:rPr>
          <w:b/>
        </w:rPr>
        <w:t>No tiene interfaz de usuario.</w:t>
      </w:r>
      <w:r>
        <w:t xml:space="preserve"> No hay pantallas de carga, ni listados, ni formularios. Es un componente de fondo: toda la interacción ocurre a través de archivos o del endpoint HTTP.</w:t>
      </w:r>
    </w:p>
    <w:p>
      <w:pPr>
        <w:pStyle w:val="ListBullet"/>
        <w:spacing w:after="80" w:line="276" w:lineRule="auto"/>
      </w:pPr>
      <w:r>
        <w:rPr>
          <w:b/>
        </w:rPr>
        <w:t>No es una base de datos.</w:t>
      </w:r>
      <w:r>
        <w:t xml:space="preserve"> No guarda catálogos de clientes ni de productos. Todos los datos de la factura viajan en el archivo de entrada; la única información persistente es la del emisor, que se define una sola vez en la configuración.</w:t>
      </w:r>
    </w:p>
    <w:p>
      <w:pPr>
        <w:pStyle w:val="ListBullet"/>
        <w:spacing w:after="80" w:line="276" w:lineRule="auto"/>
      </w:pPr>
      <w:r>
        <w:rPr>
          <w:b/>
        </w:rPr>
        <w:t>No reimplementa la lógica fiscal.</w:t>
      </w:r>
      <w:r>
        <w:t xml:space="preserve"> Reutiliza el motor PHP incluido en la carpeta </w:t>
      </w:r>
      <w:r>
        <w:rPr>
          <w:rFonts w:ascii="Consolas" w:hAnsi="Consolas"/>
          <w:color w:val="A31515"/>
          <w:sz w:val="19"/>
        </w:rPr>
        <w:t>motor/</w:t>
      </w:r>
      <w:r>
        <w:t xml:space="preserve"> —el mismo componente probado del sistema principal—, de modo que no convivan en la empresa dos versiones distintas de la misma regla tributaria.</w:t>
      </w:r>
    </w:p>
    <w:p>
      <w:pPr>
        <w:pStyle w:val="ListBullet"/>
        <w:spacing w:after="80" w:line="276" w:lineRule="auto"/>
      </w:pPr>
      <w:r>
        <w:rPr>
          <w:b/>
        </w:rPr>
        <w:t>No corrige datos.</w:t>
      </w:r>
      <w:r>
        <w:t xml:space="preserve"> Si un dato llega mal (una fecha inválida, un RUC sin dígito verificador, una tasa de IVA inexistente), la factura no se emite: se rechaza y se informa el motivo con precisión. Se prefiere el error visible al documento fiscal incorrecto.</w:t>
      </w:r>
    </w:p>
    <w:p>
      <w:pPr>
        <w:pStyle w:val="ListBullet"/>
        <w:spacing w:after="80" w:line="276" w:lineRule="auto"/>
      </w:pPr>
      <w:r>
        <w:rPr>
          <w:b/>
        </w:rPr>
        <w:t>No modifica el sistema externo.</w:t>
      </w:r>
      <w:r>
        <w:t xml:space="preserve"> La integración es unidireccional. El sistema de gestión no necesita cambios estructurales: solo debe aprender a exportar un archivo de texto.</w:t>
      </w:r>
    </w:p>
    <w:p>
      <w:pPr>
        <w:pStyle w:val="Heading1"/>
      </w:pPr>
      <w:r>
        <w:t>2. Arquitectura y flujo de trabajo</w:t>
      </w:r>
    </w:p>
    <w:p>
      <w:pPr>
        <w:pStyle w:val="Heading2"/>
      </w:pPr>
      <w:r>
        <w:t>2.1. Vista general</w:t>
      </w:r>
    </w:p>
    <w:p>
      <w:pPr>
        <w:spacing w:after="140"/>
      </w:pPr>
      <w:r>
        <w:t>El recorrido completo de una venta, desde que se registra en el sistema de gestión hasta que el cliente recibe su comprobante, atraviesa tres actores: el sistema externo que origina el dato, el automatizador que lo transforma y la DNIT que lo aprueba.</w:t>
      </w:r>
    </w:p>
    <w:p>
      <w:pPr>
        <w:keepNext/>
        <w:pBdr>
          <w:left w:val="single" w:sz="12" w:space="6" w:color="2E74B5"/>
        </w:pBdr>
        <w:shd w:val="clear" w:color="auto" w:fill="F2F4F7"/>
        <w:spacing w:before="80" w:after="0" w:line="240" w:lineRule="auto"/>
        <w:ind w:left="227" w:right="113"/>
      </w:pPr>
      <w:r>
        <w:rPr>
          <w:rFonts w:ascii="Consolas" w:hAnsi="Consolas"/>
          <w:sz w:val="17"/>
        </w:rPr>
        <w:t xml:space="preserve">  SISTEMA EXTERNO            AUTOMATIZADOR SIFEN                      DNIT</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(ERP / POS / web)</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   .txt   +--------------------------------+  XML firmado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   tus ventas  |---------&gt;| entrada/ -&gt; validar -&gt; CDC     |--------------&gt;| SIFEN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    (tu BD)    |          |   -&gt; XML -&gt; firma -&gt; QR -&gt; DNIT|&lt;--------------|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          | salida/  &lt;- XML + KuDE (PDF)   |   aprobado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  CDC + enlaces de descarga         |  PDF + XML por correo</w:t>
      </w:r>
    </w:p>
    <w:p>
      <w:pPr>
        <w:keepNext w:val="0"/>
        <w:pBdr>
          <w:left w:val="single" w:sz="12" w:space="6" w:color="2E74B5"/>
        </w:pBdr>
        <w:shd w:val="clear" w:color="auto" w:fill="F2F4F7"/>
        <w:spacing w:before="0" w:after="160" w:line="240" w:lineRule="auto"/>
        <w:ind w:left="227" w:right="113"/>
      </w:pPr>
      <w:r>
        <w:rPr>
          <w:rFonts w:ascii="Consolas" w:hAnsi="Consolas"/>
          <w:sz w:val="17"/>
        </w:rPr>
        <w:t xml:space="preserve">        +------------------------------------+---------------------------&gt; CLIENTE</w:t>
      </w:r>
    </w:p>
    <w:p>
      <w:pPr>
        <w:pStyle w:val="Heading2"/>
      </w:pPr>
      <w:r>
        <w:t>2.2. Las cinco etapas del procesamiento</w:t>
      </w:r>
    </w:p>
    <w:p>
      <w:pPr>
        <w:spacing w:after="100" w:line="276" w:lineRule="auto"/>
        <w:ind w:left="510" w:hanging="510"/>
      </w:pPr>
      <w:r>
        <w:rPr>
          <w:b/>
          <w:color w:val="2E74B5"/>
        </w:rPr>
        <w:t>1.</w:t>
        <w:tab/>
      </w:r>
      <w:r>
        <w:rPr>
          <w:b/>
        </w:rPr>
        <w:t>Recepción.</w:t>
      </w:r>
      <w:r>
        <w:t xml:space="preserve"> El archivo llega por una de las tres vías disponibles: se deposita en la carpeta </w:t>
      </w:r>
      <w:r>
        <w:rPr>
          <w:rFonts w:ascii="Consolas" w:hAnsi="Consolas"/>
          <w:color w:val="A31515"/>
          <w:sz w:val="19"/>
        </w:rPr>
        <w:t>entrada/</w:t>
      </w:r>
      <w:r>
        <w:t xml:space="preserve"> o se envía por HTTP al endpoint publicado. Al tomarlo, el automatizador lo renombra con el sufijo </w:t>
      </w:r>
      <w:r>
        <w:rPr>
          <w:rFonts w:ascii="Consolas" w:hAnsi="Consolas"/>
          <w:color w:val="A31515"/>
          <w:sz w:val="19"/>
        </w:rPr>
        <w:t>.procesando</w:t>
      </w:r>
      <w:r>
        <w:t>, de modo que ningún otro proceso pueda tomarlo por segunda vez.</w:t>
      </w:r>
    </w:p>
    <w:p>
      <w:pPr>
        <w:spacing w:after="100" w:line="276" w:lineRule="auto"/>
        <w:ind w:left="510" w:hanging="510"/>
      </w:pPr>
      <w:r>
        <w:rPr>
          <w:b/>
          <w:color w:val="2E74B5"/>
        </w:rPr>
        <w:t>2.</w:t>
        <w:tab/>
      </w:r>
      <w:r>
        <w:rPr>
          <w:b/>
        </w:rPr>
        <w:t>Interpretación y validación.</w:t>
      </w:r>
      <w:r>
        <w:t xml:space="preserve"> El archivo se divide en facturas (separadas por la línea </w:t>
      </w:r>
      <w:r>
        <w:rPr>
          <w:rFonts w:ascii="Consolas" w:hAnsi="Consolas"/>
          <w:color w:val="A31515"/>
          <w:sz w:val="19"/>
        </w:rPr>
        <w:t>===</w:t>
      </w:r>
      <w:r>
        <w:t>) y cada una se valida: debe tener cabecera, cliente y al menos un ítem. Si algo falta, el proceso se detiene para ese archivo con un mensaje que identifica la factura y el campo.</w:t>
      </w:r>
    </w:p>
    <w:p>
      <w:pPr>
        <w:spacing w:after="100" w:line="276" w:lineRule="auto"/>
        <w:ind w:left="510" w:hanging="510"/>
      </w:pPr>
      <w:r>
        <w:rPr>
          <w:b/>
          <w:color w:val="2E74B5"/>
        </w:rPr>
        <w:t>3.</w:t>
        <w:tab/>
      </w:r>
      <w:r>
        <w:rPr>
          <w:b/>
        </w:rPr>
        <w:t>Emisión.</w:t>
      </w:r>
      <w:r>
        <w:t xml:space="preserve"> Se completa la factura con los datos del emisor y con los catálogos obligatorios de SIFEN, se calcula el CDC, se construye el XML, se firma y se calcula el QR. El documento se envía al ambiente configurado.</w:t>
      </w:r>
    </w:p>
    <w:p>
      <w:pPr>
        <w:spacing w:after="100" w:line="276" w:lineRule="auto"/>
        <w:ind w:left="510" w:hanging="510"/>
      </w:pPr>
      <w:r>
        <w:rPr>
          <w:b/>
          <w:color w:val="2E74B5"/>
        </w:rPr>
        <w:t>4.</w:t>
        <w:tab/>
      </w:r>
      <w:r>
        <w:rPr>
          <w:b/>
        </w:rPr>
        <w:t>Documentación del resultado.</w:t>
      </w:r>
      <w:r>
        <w:t xml:space="preserve"> Con la respuesta aprobada se genera el KuDE en PDF y se guarda el XML firmado en </w:t>
      </w:r>
      <w:r>
        <w:rPr>
          <w:rFonts w:ascii="Consolas" w:hAnsi="Consolas"/>
          <w:color w:val="A31515"/>
          <w:sz w:val="19"/>
        </w:rPr>
        <w:t>salida/</w:t>
      </w:r>
      <w:r>
        <w:t xml:space="preserve">, ambos nombrados con el CDC. Se agrega un archivo </w:t>
      </w:r>
      <w:r>
        <w:rPr>
          <w:rFonts w:ascii="Consolas" w:hAnsi="Consolas"/>
          <w:color w:val="A31515"/>
          <w:sz w:val="19"/>
        </w:rPr>
        <w:t>.json</w:t>
      </w:r>
      <w:r>
        <w:t xml:space="preserve"> con el resumen de la corrida.</w:t>
      </w:r>
    </w:p>
    <w:p>
      <w:pPr>
        <w:spacing w:after="100" w:line="276" w:lineRule="auto"/>
        <w:ind w:left="510" w:hanging="510"/>
      </w:pPr>
      <w:r>
        <w:rPr>
          <w:b/>
          <w:color w:val="2E74B5"/>
        </w:rPr>
        <w:t>5.</w:t>
        <w:tab/>
      </w:r>
      <w:r>
        <w:rPr>
          <w:b/>
        </w:rPr>
        <w:t>Cierre y archivo.</w:t>
      </w:r>
      <w:r>
        <w:t xml:space="preserve"> Si el cliente tiene correo informado, se le envía el comprobante con ambos adjuntos. El archivo original se mueve a </w:t>
      </w:r>
      <w:r>
        <w:rPr>
          <w:rFonts w:ascii="Consolas" w:hAnsi="Consolas"/>
          <w:color w:val="A31515"/>
          <w:sz w:val="19"/>
        </w:rPr>
        <w:t>procesados/</w:t>
      </w:r>
      <w:r>
        <w:t xml:space="preserve"> con marca de fecha y hora; si hubo un fallo, va a </w:t>
      </w:r>
      <w:r>
        <w:rPr>
          <w:rFonts w:ascii="Consolas" w:hAnsi="Consolas"/>
          <w:color w:val="A31515"/>
          <w:sz w:val="19"/>
        </w:rPr>
        <w:t>errores/</w:t>
      </w:r>
      <w:r>
        <w:t xml:space="preserve"> acompañado de un </w:t>
      </w:r>
      <w:r>
        <w:rPr>
          <w:rFonts w:ascii="Consolas" w:hAnsi="Consolas"/>
          <w:color w:val="A31515"/>
          <w:sz w:val="19"/>
        </w:rPr>
        <w:t>.error.txt</w:t>
      </w:r>
      <w:r>
        <w:t xml:space="preserve"> con el detalle.</w:t>
      </w:r>
    </w:p>
    <w:p>
      <w:pPr>
        <w:pBdr>
          <w:top w:val="single" w:sz="4" w:space="6" w:color="FFF7E6"/>
          <w:left w:val="single" w:sz="18" w:space="8" w:color="E0A500"/>
          <w:bottom w:val="single" w:sz="4" w:space="6" w:color="FFF7E6"/>
          <w:right w:val="single" w:sz="4" w:space="6" w:color="FFF7E6"/>
        </w:pBdr>
        <w:shd w:val="clear" w:color="auto" w:fill="FFF7E6"/>
        <w:spacing w:before="160" w:after="200" w:line="276" w:lineRule="auto"/>
        <w:ind w:left="227" w:right="170"/>
      </w:pPr>
      <w:r>
        <w:rPr>
          <w:b/>
          <w:color w:val="7A4F00"/>
        </w:rPr>
        <w:t xml:space="preserve">IMPORTANTE  </w:t>
      </w:r>
      <w:r>
        <w:t xml:space="preserve">el archivo es la unidad de trabajo. Si una factura dentro del archivo falla, el archivo completo se considera fallido y se mueve a </w:t>
      </w:r>
      <w:r>
        <w:rPr>
          <w:rFonts w:ascii="Consolas" w:hAnsi="Consolas"/>
          <w:color w:val="A31515"/>
          <w:sz w:val="19"/>
        </w:rPr>
        <w:t>errores/</w:t>
      </w:r>
      <w:r>
        <w:t>. Por eso conviene que el sistema externo genere un archivo por factura, o bien lotes pequeños y homogéneos: así un problema puntual no bloquea al resto.</w:t>
      </w:r>
    </w:p>
    <w:p>
      <w:pPr>
        <w:pStyle w:val="Heading2"/>
      </w:pPr>
      <w:r>
        <w:t>2.3. Independencia respecto del sistema principal</w:t>
      </w:r>
    </w:p>
    <w:p>
      <w:pPr>
        <w:spacing w:after="140"/>
      </w:pPr>
      <w:r>
        <w:t>El automatizador se distribuye con el motor fiscal incluido en su propia carpeta y lee la configuración de su propio archivo de entorno. Puede copiarse a otro servidor, actualizarse o reiniciarse sin afectar en absoluto al sistema principal de facturación, y sin depender de que este último esté instalado en la misma máquina. La única relación entre ambos es de origen: el motor proviene del sistema principal y comparte con él las mismas reglas fiscales.</w:t>
      </w:r>
    </w:p>
    <w:p>
      <w:pPr>
        <w:pStyle w:val="Heading1"/>
      </w:pPr>
      <w:r>
        <w:t>3. Requisitos</w:t>
      </w:r>
    </w:p>
    <w:p>
      <w:pPr>
        <w:pStyle w:val="Heading2"/>
      </w:pPr>
      <w:r>
        <w:t>3.1. Requisitos técnicos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608"/>
            <w:shd w:val="clear" w:color="auto" w:fill="DCE6F1"/>
          </w:tcPr>
          <w:p>
            <w:pPr>
              <w:spacing w:after="0" w:before="0" w:line="259" w:lineRule="auto"/>
            </w:pPr>
            <w:r>
              <w:rPr>
                <w:b/>
                <w:color w:val="1F4E79"/>
                <w:sz w:val="19"/>
              </w:rPr>
              <w:t>Requisito</w:t>
            </w:r>
          </w:p>
        </w:tc>
        <w:tc>
          <w:tcPr>
            <w:tcW w:type="dxa" w:w="7030"/>
            <w:shd w:val="clear" w:color="auto" w:fill="DCE6F1"/>
          </w:tcPr>
          <w:p>
            <w:pPr>
              <w:spacing w:after="0" w:before="0" w:line="259" w:lineRule="auto"/>
            </w:pPr>
            <w:r>
              <w:rPr>
                <w:b/>
                <w:color w:val="1F4E79"/>
                <w:sz w:val="19"/>
              </w:rPr>
              <w:t>Detalle</w:t>
            </w:r>
          </w:p>
        </w:tc>
      </w:tr>
      <w:tr>
        <w:tc>
          <w:tcPr>
            <w:tcW w:type="dxa" w:w="2608"/>
          </w:tcPr>
          <w:p>
            <w:pPr>
              <w:spacing w:after="0" w:before="0" w:line="259" w:lineRule="auto"/>
            </w:pPr>
            <w:r>
              <w:rPr>
                <w:sz w:val="19"/>
              </w:rPr>
              <w:t>PHP 8.1 o superior</w:t>
            </w:r>
          </w:p>
        </w:tc>
        <w:tc>
          <w:tcPr>
            <w:tcW w:type="dxa" w:w="7030"/>
          </w:tcPr>
          <w:p>
            <w:pPr>
              <w:spacing w:after="0" w:before="0" w:line="259" w:lineRule="auto"/>
            </w:pPr>
            <w:r>
              <w:rPr>
                <w:sz w:val="19"/>
              </w:rPr>
              <w:t xml:space="preserve">El código usa características introducidas en PHP 8 (promoción de propiedades en el constructor, </w:t>
            </w:r>
            <w:r>
              <w:rPr>
                <w:rFonts w:ascii="Consolas" w:hAnsi="Consolas"/>
                <w:color w:val="A31515"/>
                <w:sz w:val="19"/>
              </w:rPr>
              <w:t>str_starts_with</w:t>
            </w:r>
            <w:r>
              <w:rPr>
                <w:sz w:val="19"/>
              </w:rPr>
              <w:t>, argumentos con nombre). Versiones anteriores no funcionan.</w:t>
            </w:r>
          </w:p>
        </w:tc>
      </w:tr>
      <w:tr>
        <w:tc>
          <w:tcPr>
            <w:tcW w:type="dxa" w:w="2608"/>
            <w:shd w:val="clear" w:color="auto" w:fill="F7F9FC"/>
          </w:tcPr>
          <w:p>
            <w:pPr>
              <w:spacing w:after="0" w:before="0" w:line="259" w:lineRule="auto"/>
            </w:pPr>
            <w:r>
              <w:rPr>
                <w:sz w:val="19"/>
              </w:rPr>
              <w:t xml:space="preserve">Extensión </w:t>
            </w:r>
            <w:r>
              <w:rPr>
                <w:rFonts w:ascii="Consolas" w:hAnsi="Consolas"/>
                <w:color w:val="A31515"/>
                <w:sz w:val="19"/>
              </w:rPr>
              <w:t>openssl</w:t>
            </w:r>
          </w:p>
        </w:tc>
        <w:tc>
          <w:tcPr>
            <w:tcW w:type="dxa" w:w="7030"/>
            <w:shd w:val="clear" w:color="auto" w:fill="F7F9FC"/>
          </w:tcPr>
          <w:p>
            <w:pPr>
              <w:spacing w:after="0" w:before="0" w:line="259" w:lineRule="auto"/>
            </w:pPr>
            <w:r>
              <w:rPr>
                <w:sz w:val="19"/>
              </w:rPr>
              <w:t>Necesaria para la firma digital XMLDSIG y para la conexión TLS con los web services de la DNIT.</w:t>
            </w:r>
          </w:p>
        </w:tc>
      </w:tr>
      <w:tr>
        <w:tc>
          <w:tcPr>
            <w:tcW w:type="dxa" w:w="2608"/>
          </w:tcPr>
          <w:p>
            <w:pPr>
              <w:spacing w:after="0" w:before="0" w:line="259" w:lineRule="auto"/>
            </w:pPr>
            <w:r>
              <w:rPr>
                <w:sz w:val="19"/>
              </w:rPr>
              <w:t xml:space="preserve">Extensión </w:t>
            </w:r>
            <w:r>
              <w:rPr>
                <w:rFonts w:ascii="Consolas" w:hAnsi="Consolas"/>
                <w:color w:val="A31515"/>
                <w:sz w:val="19"/>
              </w:rPr>
              <w:t>dom</w:t>
            </w:r>
          </w:p>
        </w:tc>
        <w:tc>
          <w:tcPr>
            <w:tcW w:type="dxa" w:w="7030"/>
          </w:tcPr>
          <w:p>
            <w:pPr>
              <w:spacing w:after="0" w:before="0" w:line="259" w:lineRule="auto"/>
            </w:pPr>
            <w:r>
              <w:rPr>
                <w:sz w:val="19"/>
              </w:rPr>
              <w:t>Se utiliza para construir y canonicalizar el XML del documento electrónico.</w:t>
            </w:r>
          </w:p>
        </w:tc>
      </w:tr>
      <w:tr>
        <w:tc>
          <w:tcPr>
            <w:tcW w:type="dxa" w:w="2608"/>
            <w:shd w:val="clear" w:color="auto" w:fill="F7F9FC"/>
          </w:tcPr>
          <w:p>
            <w:pPr>
              <w:spacing w:after="0" w:before="0" w:line="259" w:lineRule="auto"/>
            </w:pPr>
            <w:r>
              <w:rPr>
                <w:sz w:val="19"/>
              </w:rPr>
              <w:t xml:space="preserve">Extensión </w:t>
            </w:r>
            <w:r>
              <w:rPr>
                <w:rFonts w:ascii="Consolas" w:hAnsi="Consolas"/>
                <w:color w:val="A31515"/>
                <w:sz w:val="19"/>
              </w:rPr>
              <w:t>mbstring</w:t>
            </w:r>
          </w:p>
        </w:tc>
        <w:tc>
          <w:tcPr>
            <w:tcW w:type="dxa" w:w="7030"/>
            <w:shd w:val="clear" w:color="auto" w:fill="F7F9FC"/>
          </w:tcPr>
          <w:p>
            <w:pPr>
              <w:spacing w:after="0" w:before="0" w:line="259" w:lineRule="auto"/>
            </w:pPr>
            <w:r>
              <w:rPr>
                <w:sz w:val="19"/>
              </w:rPr>
              <w:t>Manejo correcto de acentos y caracteres especiales en razones sociales y descripciones.</w:t>
            </w:r>
          </w:p>
        </w:tc>
      </w:tr>
      <w:tr>
        <w:tc>
          <w:tcPr>
            <w:tcW w:type="dxa" w:w="2608"/>
          </w:tcPr>
          <w:p>
            <w:pPr>
              <w:spacing w:after="0" w:before="0" w:line="259" w:lineRule="auto"/>
            </w:pPr>
            <w:r>
              <w:rPr>
                <w:sz w:val="19"/>
              </w:rPr>
              <w:t>Permisos de escritura</w:t>
            </w:r>
          </w:p>
        </w:tc>
        <w:tc>
          <w:tcPr>
            <w:tcW w:type="dxa" w:w="7030"/>
          </w:tcPr>
          <w:p>
            <w:pPr>
              <w:spacing w:after="0" w:before="0" w:line="259" w:lineRule="auto"/>
            </w:pPr>
            <w:r>
              <w:rPr>
                <w:sz w:val="19"/>
              </w:rPr>
              <w:t>Las carpetas de trabajo (</w:t>
            </w:r>
            <w:r>
              <w:rPr>
                <w:rFonts w:ascii="Consolas" w:hAnsi="Consolas"/>
                <w:color w:val="A31515"/>
                <w:sz w:val="19"/>
              </w:rPr>
              <w:t>entrada</w:t>
            </w:r>
            <w:r>
              <w:rPr>
                <w:sz w:val="19"/>
              </w:rPr>
              <w:t xml:space="preserve">, </w:t>
            </w:r>
            <w:r>
              <w:rPr>
                <w:rFonts w:ascii="Consolas" w:hAnsi="Consolas"/>
                <w:color w:val="A31515"/>
                <w:sz w:val="19"/>
              </w:rPr>
              <w:t>procesados</w:t>
            </w:r>
            <w:r>
              <w:rPr>
                <w:sz w:val="19"/>
              </w:rPr>
              <w:t xml:space="preserve">, </w:t>
            </w:r>
            <w:r>
              <w:rPr>
                <w:rFonts w:ascii="Consolas" w:hAnsi="Consolas"/>
                <w:color w:val="A31515"/>
                <w:sz w:val="19"/>
              </w:rPr>
              <w:t>errores</w:t>
            </w:r>
            <w:r>
              <w:rPr>
                <w:sz w:val="19"/>
              </w:rPr>
              <w:t xml:space="preserve">, </w:t>
            </w:r>
            <w:r>
              <w:rPr>
                <w:rFonts w:ascii="Consolas" w:hAnsi="Consolas"/>
                <w:color w:val="A31515"/>
                <w:sz w:val="19"/>
              </w:rPr>
              <w:t>salida</w:t>
            </w:r>
            <w:r>
              <w:rPr>
                <w:sz w:val="19"/>
              </w:rPr>
              <w:t xml:space="preserve">, </w:t>
            </w:r>
            <w:r>
              <w:rPr>
                <w:rFonts w:ascii="Consolas" w:hAnsi="Consolas"/>
                <w:color w:val="A31515"/>
                <w:sz w:val="19"/>
              </w:rPr>
              <w:t>logs</w:t>
            </w:r>
            <w:r>
              <w:rPr>
                <w:sz w:val="19"/>
              </w:rPr>
              <w:t xml:space="preserve"> y </w:t>
            </w:r>
            <w:r>
              <w:rPr>
                <w:rFonts w:ascii="Consolas" w:hAnsi="Consolas"/>
                <w:color w:val="A31515"/>
                <w:sz w:val="19"/>
              </w:rPr>
              <w:t>certs</w:t>
            </w:r>
            <w:r>
              <w:rPr>
                <w:sz w:val="19"/>
              </w:rPr>
              <w:t>) deben ser escribibles por el usuario que ejecuta PHP.</w:t>
            </w:r>
          </w:p>
        </w:tc>
      </w:tr>
      <w:tr>
        <w:tc>
          <w:tcPr>
            <w:tcW w:type="dxa" w:w="2608"/>
            <w:shd w:val="clear" w:color="auto" w:fill="F7F9FC"/>
          </w:tcPr>
          <w:p>
            <w:pPr>
              <w:spacing w:after="0" w:before="0" w:line="259" w:lineRule="auto"/>
            </w:pPr>
            <w:r>
              <w:rPr>
                <w:sz w:val="19"/>
              </w:rPr>
              <w:t>Salida a internet</w:t>
            </w:r>
          </w:p>
        </w:tc>
        <w:tc>
          <w:tcPr>
            <w:tcW w:type="dxa" w:w="7030"/>
            <w:shd w:val="clear" w:color="auto" w:fill="F7F9FC"/>
          </w:tcPr>
          <w:p>
            <w:pPr>
              <w:spacing w:after="0" w:before="0" w:line="259" w:lineRule="auto"/>
            </w:pPr>
            <w:r>
              <w:rPr>
                <w:sz w:val="19"/>
              </w:rPr>
              <w:t xml:space="preserve">En modo </w:t>
            </w:r>
            <w:r>
              <w:rPr>
                <w:rFonts w:ascii="Consolas" w:hAnsi="Consolas"/>
                <w:color w:val="A31515"/>
                <w:sz w:val="19"/>
              </w:rPr>
              <w:t>test</w:t>
            </w:r>
            <w:r>
              <w:rPr>
                <w:sz w:val="19"/>
              </w:rPr>
              <w:t xml:space="preserve"> y </w:t>
            </w:r>
            <w:r>
              <w:rPr>
                <w:rFonts w:ascii="Consolas" w:hAnsi="Consolas"/>
                <w:color w:val="A31515"/>
                <w:sz w:val="19"/>
              </w:rPr>
              <w:t>prod</w:t>
            </w:r>
            <w:r>
              <w:rPr>
                <w:sz w:val="19"/>
              </w:rPr>
              <w:t xml:space="preserve"> el servidor debe poder alcanzar por HTTPS los web services de la DNIT.</w:t>
            </w:r>
          </w:p>
        </w:tc>
      </w:tr>
    </w:tbl>
    <w:p>
      <w:pPr>
        <w:spacing w:after="80" w:before="0"/>
      </w:pPr>
    </w:p>
    <w:p>
      <w:pPr>
        <w:pStyle w:val="Heading2"/>
      </w:pPr>
      <w:r>
        <w:t>3.2. Requisitos fiscales y administrativos</w:t>
      </w:r>
    </w:p>
    <w:p>
      <w:pPr>
        <w:spacing w:after="140"/>
      </w:pPr>
      <w:r>
        <w:t>Antes de emitir con valor fiscal es necesario contar con:</w:t>
      </w:r>
    </w:p>
    <w:p>
      <w:pPr>
        <w:pStyle w:val="ListBullet"/>
        <w:spacing w:after="80" w:line="276" w:lineRule="auto"/>
      </w:pPr>
      <w:r>
        <w:rPr>
          <w:b/>
        </w:rPr>
        <w:t>RUC habilitado como facturador electrónico</w:t>
      </w:r>
      <w:r>
        <w:t xml:space="preserve"> ante la DNIT, con su dígito verificador.</w:t>
      </w:r>
    </w:p>
    <w:p>
      <w:pPr>
        <w:pStyle w:val="ListBullet"/>
        <w:spacing w:after="80" w:line="276" w:lineRule="auto"/>
      </w:pPr>
      <w:r>
        <w:rPr>
          <w:b/>
        </w:rPr>
        <w:t>Timbrado electrónico vigente,</w:t>
      </w:r>
      <w:r>
        <w:t xml:space="preserve"> con su número, fecha de inicio y fecha de vencimiento.</w:t>
      </w:r>
    </w:p>
    <w:p>
      <w:pPr>
        <w:pStyle w:val="ListBullet"/>
        <w:spacing w:after="80" w:line="276" w:lineRule="auto"/>
      </w:pPr>
      <w:r>
        <w:rPr>
          <w:b/>
        </w:rPr>
        <w:t>Certificado digital cualificado</w:t>
      </w:r>
      <w:r>
        <w:t xml:space="preserve"> (archivo </w:t>
      </w:r>
      <w:r>
        <w:rPr>
          <w:rFonts w:ascii="Consolas" w:hAnsi="Consolas"/>
          <w:color w:val="A31515"/>
          <w:sz w:val="19"/>
        </w:rPr>
        <w:t>.p12</w:t>
      </w:r>
      <w:r>
        <w:t xml:space="preserve"> con su contraseña, o el par </w:t>
      </w:r>
      <w:r>
        <w:rPr>
          <w:rFonts w:ascii="Consolas" w:hAnsi="Consolas"/>
          <w:color w:val="A31515"/>
          <w:sz w:val="19"/>
        </w:rPr>
        <w:t>.pem</w:t>
      </w:r>
      <w:r>
        <w:t xml:space="preserve"> de certificado y clave privada) emitido a nombre de la empresa por un prestador habilitado.</w:t>
      </w:r>
    </w:p>
    <w:p>
      <w:pPr>
        <w:pStyle w:val="ListBullet"/>
        <w:spacing w:after="80" w:line="276" w:lineRule="auto"/>
      </w:pPr>
      <w:r>
        <w:rPr>
          <w:b/>
        </w:rPr>
        <w:t>Código de Seguridad del Contribuyente (CSC)</w:t>
      </w:r>
      <w:r>
        <w:t xml:space="preserve"> y su identificador, entregados por la DNIT. Se usan para firmar el contenido del código QR.</w:t>
      </w:r>
    </w:p>
    <w:p>
      <w:pPr>
        <w:pStyle w:val="ListBullet"/>
        <w:spacing w:after="80" w:line="276" w:lineRule="auto"/>
      </w:pPr>
      <w:r>
        <w:rPr>
          <w:b/>
        </w:rPr>
        <w:t>Códigos geográficos y de actividad económica</w:t>
      </w:r>
      <w:r>
        <w:t xml:space="preserve"> del establecimiento emisor, según los catálogos oficiales.</w:t>
      </w:r>
    </w:p>
    <w:p>
      <w:pPr>
        <w:pBdr>
          <w:top w:val="single" w:sz="4" w:space="6" w:color="FFF7E6"/>
          <w:left w:val="single" w:sz="18" w:space="8" w:color="E0A500"/>
          <w:bottom w:val="single" w:sz="4" w:space="6" w:color="FFF7E6"/>
          <w:right w:val="single" w:sz="4" w:space="6" w:color="FFF7E6"/>
        </w:pBdr>
        <w:shd w:val="clear" w:color="auto" w:fill="FFF7E6"/>
        <w:spacing w:before="160" w:after="200" w:line="276" w:lineRule="auto"/>
        <w:ind w:left="227" w:right="170"/>
      </w:pPr>
      <w:r>
        <w:rPr>
          <w:b/>
          <w:color w:val="7A4F00"/>
        </w:rPr>
        <w:t xml:space="preserve">ATENCIÓN  </w:t>
      </w:r>
      <w:r>
        <w:t xml:space="preserve">el certificado digital y el CSC son credenciales sensibles. Nunca deben subirse a un repositorio de código ni quedar accesibles desde la web. Ver el capítulo 10, </w:t>
      </w:r>
      <w:r>
        <w:rPr>
          <w:i/>
        </w:rPr>
        <w:t>Seguridad</w:t>
      </w:r>
      <w:r>
        <w:t>.</w:t>
      </w:r>
    </w:p>
    <w:p>
      <w:pPr>
        <w:pStyle w:val="Heading1"/>
      </w:pPr>
      <w:r>
        <w:t>4. Estructura del proyecto</w:t>
      </w:r>
    </w:p>
    <w:p>
      <w:pPr>
        <w:spacing w:after="140"/>
      </w:pPr>
      <w:r>
        <w:t>La distribución de carpetas separa tres cosas: el código, la configuración y los datos en tránsito. Conocerla ayuda a diagnosticar cualquier problema, porque cada archivo termina siempre en un lugar previsible.</w:t>
      </w:r>
    </w:p>
    <w:p>
      <w:pPr>
        <w:pStyle w:val="Heading2"/>
      </w:pPr>
      <w:r>
        <w:t>4.1. Mapa de carpetas</w:t>
      </w:r>
    </w:p>
    <w:p>
      <w:pPr>
        <w:keepNext/>
        <w:pBdr>
          <w:left w:val="single" w:sz="12" w:space="6" w:color="2E74B5"/>
        </w:pBdr>
        <w:shd w:val="clear" w:color="auto" w:fill="F2F4F7"/>
        <w:spacing w:before="80" w:after="0" w:line="240" w:lineRule="auto"/>
        <w:ind w:left="227" w:right="113"/>
      </w:pPr>
      <w:r>
        <w:rPr>
          <w:rFonts w:ascii="Consolas" w:hAnsi="Consolas"/>
          <w:sz w:val="17"/>
        </w:rPr>
        <w:t>sifen_automatizador/</w:t>
      </w:r>
    </w:p>
    <w:p>
      <w:pPr>
        <w:keepNext/>
        <w:pBdr>
          <w:left w:val="single" w:sz="12" w:space="6" w:color="2E74B5"/>
        </w:pBdr>
        <w:shd w:val="clear" w:color="auto" w:fill="F2F4F7"/>
        <w:spacing w:before="0" w:after="0" w:line="240" w:lineRule="auto"/>
        <w:ind w:left="227" w:right="113"/>
      </w:pPr>
      <w:r>
        <w:rPr>
          <w:rFonts w:ascii="Consolas" w:hAnsi="Consolas"/>
          <w:sz w:val="17"/>
        </w:rPr>
        <w:t>|</w:t>
      </w:r>
    </w:p>
    <w:p>
      <w:pPr>
        <w:keepNext/>
        <w:pBdr>
          <w:left w:val="single" w:sz="12" w:space="6" w:color="2E74B5"/>
        </w:pBdr>
        <w:shd w:val="clear" w:color="auto" w:fill="F2F4F7"/>
        <w:spacing w:before="0" w:after="0" w:line="240" w:lineRule="auto"/>
        <w:ind w:left="227" w:right="113"/>
      </w:pPr>
      <w:r>
        <w:rPr>
          <w:rFonts w:ascii="Consolas" w:hAnsi="Consolas"/>
          <w:sz w:val="17"/>
        </w:rPr>
        <w:t>|-- .env                     &lt;- configuracion real (NO se versiona: contiene claves)</w:t>
      </w:r>
    </w:p>
    <w:p>
      <w:pPr>
        <w:keepNext/>
        <w:pBdr>
          <w:left w:val="single" w:sz="12" w:space="6" w:color="2E74B5"/>
        </w:pBdr>
        <w:shd w:val="clear" w:color="auto" w:fill="F2F4F7"/>
        <w:spacing w:before="0" w:after="0" w:line="240" w:lineRule="auto"/>
        <w:ind w:left="227" w:right="113"/>
      </w:pPr>
      <w:r>
        <w:rPr>
          <w:rFonts w:ascii="Consolas" w:hAnsi="Consolas"/>
          <w:sz w:val="17"/>
        </w:rPr>
        <w:t>|-- .env.example             &lt;- plantilla de configuracion con todas las variables</w:t>
      </w:r>
    </w:p>
    <w:p>
      <w:pPr>
        <w:keepNext/>
        <w:pBdr>
          <w:left w:val="single" w:sz="12" w:space="6" w:color="2E74B5"/>
        </w:pBdr>
        <w:shd w:val="clear" w:color="auto" w:fill="F2F4F7"/>
        <w:spacing w:before="0" w:after="0" w:line="240" w:lineRule="auto"/>
        <w:ind w:left="227" w:right="113"/>
      </w:pPr>
      <w:r>
        <w:rPr>
          <w:rFonts w:ascii="Consolas" w:hAnsi="Consolas"/>
          <w:sz w:val="17"/>
        </w:rPr>
        <w:t>|-- .htaccess                &lt;- blindaje: impide ver el codigo y el .env desde la web</w:t>
      </w:r>
    </w:p>
    <w:p>
      <w:pPr>
        <w:keepNext/>
        <w:pBdr>
          <w:left w:val="single" w:sz="12" w:space="6" w:color="2E74B5"/>
        </w:pBdr>
        <w:shd w:val="clear" w:color="auto" w:fill="F2F4F7"/>
        <w:spacing w:before="0" w:after="0" w:line="240" w:lineRule="auto"/>
        <w:ind w:left="227" w:right="113"/>
      </w:pPr>
      <w:r>
        <w:rPr>
          <w:rFonts w:ascii="Consolas" w:hAnsi="Consolas"/>
          <w:sz w:val="17"/>
        </w:rPr>
        <w:t>|</w:t>
      </w:r>
    </w:p>
    <w:p>
      <w:pPr>
        <w:keepNext/>
        <w:pBdr>
          <w:left w:val="single" w:sz="12" w:space="6" w:color="2E74B5"/>
        </w:pBdr>
        <w:shd w:val="clear" w:color="auto" w:fill="F2F4F7"/>
        <w:spacing w:before="0" w:after="0" w:line="240" w:lineRule="auto"/>
        <w:ind w:left="227" w:right="113"/>
      </w:pPr>
      <w:r>
        <w:rPr>
          <w:rFonts w:ascii="Consolas" w:hAnsi="Consolas"/>
          <w:sz w:val="17"/>
        </w:rPr>
        <w:t>|-- bin/                     &lt;- puntos de entrada por linea de comandos</w:t>
      </w:r>
    </w:p>
    <w:p>
      <w:pPr>
        <w:keepNext/>
        <w:pBdr>
          <w:left w:val="single" w:sz="12" w:space="6" w:color="2E74B5"/>
        </w:pBdr>
        <w:shd w:val="clear" w:color="auto" w:fill="F2F4F7"/>
        <w:spacing w:before="0" w:after="0" w:line="240" w:lineRule="auto"/>
        <w:ind w:left="227" w:right="113"/>
      </w:pPr>
      <w:r>
        <w:rPr>
          <w:rFonts w:ascii="Consolas" w:hAnsi="Consolas"/>
          <w:sz w:val="17"/>
        </w:rPr>
        <w:t>|   |-- procesar.php         &lt;- corrida unica (one-shot); ideal para un cron</w:t>
      </w:r>
    </w:p>
    <w:p>
      <w:pPr>
        <w:keepNext/>
        <w:pBdr>
          <w:left w:val="single" w:sz="12" w:space="6" w:color="2E74B5"/>
        </w:pBdr>
        <w:shd w:val="clear" w:color="auto" w:fill="F2F4F7"/>
        <w:spacing w:before="0" w:after="0" w:line="240" w:lineRule="auto"/>
        <w:ind w:left="227" w:right="113"/>
      </w:pPr>
      <w:r>
        <w:rPr>
          <w:rFonts w:ascii="Consolas" w:hAnsi="Consolas"/>
          <w:sz w:val="17"/>
        </w:rPr>
        <w:t>|   |-- vigilar.php          &lt;- watcher: bucle permanente que vigila entrada/</w:t>
      </w:r>
    </w:p>
    <w:p>
      <w:pPr>
        <w:keepNext/>
        <w:pBdr>
          <w:left w:val="single" w:sz="12" w:space="6" w:color="2E74B5"/>
        </w:pBdr>
        <w:shd w:val="clear" w:color="auto" w:fill="F2F4F7"/>
        <w:spacing w:before="0" w:after="0" w:line="240" w:lineRule="auto"/>
        <w:ind w:left="227" w:right="113"/>
      </w:pPr>
      <w:r>
        <w:rPr>
          <w:rFonts w:ascii="Consolas" w:hAnsi="Consolas"/>
          <w:sz w:val="17"/>
        </w:rPr>
        <w:t>|   |-- arrancar.sh          &lt;- arranca el watcher en segundo plano y guarda el PID</w:t>
      </w:r>
    </w:p>
    <w:p>
      <w:pPr>
        <w:keepNext/>
        <w:pBdr>
          <w:left w:val="single" w:sz="12" w:space="6" w:color="2E74B5"/>
        </w:pBdr>
        <w:shd w:val="clear" w:color="auto" w:fill="F2F4F7"/>
        <w:spacing w:before="0" w:after="0" w:line="240" w:lineRule="auto"/>
        <w:ind w:left="227" w:right="113"/>
      </w:pPr>
      <w:r>
        <w:rPr>
          <w:rFonts w:ascii="Consolas" w:hAnsi="Consolas"/>
          <w:sz w:val="17"/>
        </w:rPr>
        <w:t>|   +-- detener.sh           &lt;- detiene el watcher usando ese PID</w:t>
      </w:r>
    </w:p>
    <w:p>
      <w:pPr>
        <w:keepNext/>
        <w:pBdr>
          <w:left w:val="single" w:sz="12" w:space="6" w:color="2E74B5"/>
        </w:pBdr>
        <w:shd w:val="clear" w:color="auto" w:fill="F2F4F7"/>
        <w:spacing w:before="0" w:after="0" w:line="240" w:lineRule="auto"/>
        <w:ind w:left="227" w:right="113"/>
      </w:pPr>
      <w:r>
        <w:rPr>
          <w:rFonts w:ascii="Consolas" w:hAnsi="Consolas"/>
          <w:sz w:val="17"/>
        </w:rPr>
        <w:t>|</w:t>
      </w:r>
    </w:p>
    <w:p>
      <w:pPr>
        <w:keepNext/>
        <w:pBdr>
          <w:left w:val="single" w:sz="12" w:space="6" w:color="2E74B5"/>
        </w:pBdr>
        <w:shd w:val="clear" w:color="auto" w:fill="F2F4F7"/>
        <w:spacing w:before="0" w:after="0" w:line="240" w:lineRule="auto"/>
        <w:ind w:left="227" w:right="113"/>
      </w:pPr>
      <w:r>
        <w:rPr>
          <w:rFonts w:ascii="Consolas" w:hAnsi="Consolas"/>
          <w:sz w:val="17"/>
        </w:rPr>
        <w:t>|-- public/                  &lt;- UNICA carpeta que debe quedar expuesta a internet</w:t>
      </w:r>
    </w:p>
    <w:p>
      <w:pPr>
        <w:keepNext/>
        <w:pBdr>
          <w:left w:val="single" w:sz="12" w:space="6" w:color="2E74B5"/>
        </w:pBdr>
        <w:shd w:val="clear" w:color="auto" w:fill="F2F4F7"/>
        <w:spacing w:before="0" w:after="0" w:line="240" w:lineRule="auto"/>
        <w:ind w:left="227" w:right="113"/>
      </w:pPr>
      <w:r>
        <w:rPr>
          <w:rFonts w:ascii="Consolas" w:hAnsi="Consolas"/>
          <w:sz w:val="17"/>
        </w:rPr>
        <w:t>|   |-- index.php            &lt;- endpoint HTTP que recibe el .txt y responde JSON</w:t>
      </w:r>
    </w:p>
    <w:p>
      <w:pPr>
        <w:keepNext/>
        <w:pBdr>
          <w:left w:val="single" w:sz="12" w:space="6" w:color="2E74B5"/>
        </w:pBdr>
        <w:shd w:val="clear" w:color="auto" w:fill="F2F4F7"/>
        <w:spacing w:before="0" w:after="0" w:line="240" w:lineRule="auto"/>
        <w:ind w:left="227" w:right="113"/>
      </w:pPr>
      <w:r>
        <w:rPr>
          <w:rFonts w:ascii="Consolas" w:hAnsi="Consolas"/>
          <w:sz w:val="17"/>
        </w:rPr>
        <w:t>|   +-- descargar.php        &lt;- descarga controlada de los XML y PDF generados</w:t>
      </w:r>
    </w:p>
    <w:p>
      <w:pPr>
        <w:keepNext/>
        <w:pBdr>
          <w:left w:val="single" w:sz="12" w:space="6" w:color="2E74B5"/>
        </w:pBdr>
        <w:shd w:val="clear" w:color="auto" w:fill="F2F4F7"/>
        <w:spacing w:before="0" w:after="0" w:line="240" w:lineRule="auto"/>
        <w:ind w:left="227" w:right="113"/>
      </w:pPr>
      <w:r>
        <w:rPr>
          <w:rFonts w:ascii="Consolas" w:hAnsi="Consolas"/>
          <w:sz w:val="17"/>
        </w:rPr>
        <w:t>|</w:t>
      </w:r>
    </w:p>
    <w:p>
      <w:pPr>
        <w:keepNext/>
        <w:pBdr>
          <w:left w:val="single" w:sz="12" w:space="6" w:color="2E74B5"/>
        </w:pBdr>
        <w:shd w:val="clear" w:color="auto" w:fill="F2F4F7"/>
        <w:spacing w:before="0" w:after="0" w:line="240" w:lineRule="auto"/>
        <w:ind w:left="227" w:right="113"/>
      </w:pPr>
      <w:r>
        <w:rPr>
          <w:rFonts w:ascii="Consolas" w:hAnsi="Consolas"/>
          <w:sz w:val="17"/>
        </w:rPr>
        <w:t>|-- src/                     &lt;- codigo propio del automatizador</w:t>
      </w:r>
    </w:p>
    <w:p>
      <w:pPr>
        <w:keepNext/>
        <w:pBdr>
          <w:left w:val="single" w:sz="12" w:space="6" w:color="2E74B5"/>
        </w:pBdr>
        <w:shd w:val="clear" w:color="auto" w:fill="F2F4F7"/>
        <w:spacing w:before="0" w:after="0" w:line="240" w:lineRule="auto"/>
        <w:ind w:left="227" w:right="113"/>
      </w:pPr>
      <w:r>
        <w:rPr>
          <w:rFonts w:ascii="Consolas" w:hAnsi="Consolas"/>
          <w:sz w:val="17"/>
        </w:rPr>
        <w:t>|   |-- bootstrap.php        &lt;- lee el .env y arma la configuracion completa</w:t>
      </w:r>
    </w:p>
    <w:p>
      <w:pPr>
        <w:keepNext/>
        <w:pBdr>
          <w:left w:val="single" w:sz="12" w:space="6" w:color="2E74B5"/>
        </w:pBdr>
        <w:shd w:val="clear" w:color="auto" w:fill="F2F4F7"/>
        <w:spacing w:before="0" w:after="0" w:line="240" w:lineRule="auto"/>
        <w:ind w:left="227" w:right="113"/>
      </w:pPr>
      <w:r>
        <w:rPr>
          <w:rFonts w:ascii="Consolas" w:hAnsi="Consolas"/>
          <w:sz w:val="17"/>
        </w:rPr>
        <w:t>|   |-- TxtParser.php        &lt;- interpreta y valida el archivo de texto</w:t>
      </w:r>
    </w:p>
    <w:p>
      <w:pPr>
        <w:keepNext/>
        <w:pBdr>
          <w:left w:val="single" w:sz="12" w:space="6" w:color="2E74B5"/>
        </w:pBdr>
        <w:shd w:val="clear" w:color="auto" w:fill="F2F4F7"/>
        <w:spacing w:before="0" w:after="0" w:line="240" w:lineRule="auto"/>
        <w:ind w:left="227" w:right="113"/>
      </w:pPr>
      <w:r>
        <w:rPr>
          <w:rFonts w:ascii="Consolas" w:hAnsi="Consolas"/>
          <w:sz w:val="17"/>
        </w:rPr>
        <w:t>|   |-- InvoiceFactory.php   &lt;- completa la factura con catalogos y datos del emisor</w:t>
      </w:r>
    </w:p>
    <w:p>
      <w:pPr>
        <w:keepNext/>
        <w:pBdr>
          <w:left w:val="single" w:sz="12" w:space="6" w:color="2E74B5"/>
        </w:pBdr>
        <w:shd w:val="clear" w:color="auto" w:fill="F2F4F7"/>
        <w:spacing w:before="0" w:after="0" w:line="240" w:lineRule="auto"/>
        <w:ind w:left="227" w:right="113"/>
      </w:pPr>
      <w:r>
        <w:rPr>
          <w:rFonts w:ascii="Consolas" w:hAnsi="Consolas"/>
          <w:sz w:val="17"/>
        </w:rPr>
        <w:t>|   |-- Procesador.php       &lt;- orquesta emision, KuDE, correo y resultados</w:t>
      </w:r>
    </w:p>
    <w:p>
      <w:pPr>
        <w:keepNext/>
        <w:pBdr>
          <w:left w:val="single" w:sz="12" w:space="6" w:color="2E74B5"/>
        </w:pBdr>
        <w:shd w:val="clear" w:color="auto" w:fill="F2F4F7"/>
        <w:spacing w:before="0" w:after="0" w:line="240" w:lineRule="auto"/>
        <w:ind w:left="227" w:right="113"/>
      </w:pPr>
      <w:r>
        <w:rPr>
          <w:rFonts w:ascii="Consolas" w:hAnsi="Consolas"/>
          <w:sz w:val="17"/>
        </w:rPr>
        <w:t>|   +-- Logger.php           &lt;- bitacora diaria</w:t>
      </w:r>
    </w:p>
    <w:p>
      <w:pPr>
        <w:keepNext/>
        <w:pBdr>
          <w:left w:val="single" w:sz="12" w:space="6" w:color="2E74B5"/>
        </w:pBdr>
        <w:shd w:val="clear" w:color="auto" w:fill="F2F4F7"/>
        <w:spacing w:before="0" w:after="0" w:line="240" w:lineRule="auto"/>
        <w:ind w:left="227" w:right="113"/>
      </w:pPr>
      <w:r>
        <w:rPr>
          <w:rFonts w:ascii="Consolas" w:hAnsi="Consolas"/>
          <w:sz w:val="17"/>
        </w:rPr>
        <w:t>|</w:t>
      </w:r>
    </w:p>
    <w:p>
      <w:pPr>
        <w:keepNext/>
        <w:pBdr>
          <w:left w:val="single" w:sz="12" w:space="6" w:color="2E74B5"/>
        </w:pBdr>
        <w:shd w:val="clear" w:color="auto" w:fill="F2F4F7"/>
        <w:spacing w:before="0" w:after="0" w:line="240" w:lineRule="auto"/>
        <w:ind w:left="227" w:right="113"/>
      </w:pPr>
      <w:r>
        <w:rPr>
          <w:rFonts w:ascii="Consolas" w:hAnsi="Consolas"/>
          <w:sz w:val="17"/>
        </w:rPr>
        <w:t>|-- motor/                   &lt;- motor fiscal reutilizado (NO modificar)</w:t>
      </w:r>
    </w:p>
    <w:p>
      <w:pPr>
        <w:keepNext/>
        <w:pBdr>
          <w:left w:val="single" w:sz="12" w:space="6" w:color="2E74B5"/>
        </w:pBdr>
        <w:shd w:val="clear" w:color="auto" w:fill="F2F4F7"/>
        <w:spacing w:before="0" w:after="0" w:line="240" w:lineRule="auto"/>
        <w:ind w:left="227" w:right="113"/>
      </w:pPr>
      <w:r>
        <w:rPr>
          <w:rFonts w:ascii="Consolas" w:hAnsi="Consolas"/>
          <w:sz w:val="17"/>
        </w:rPr>
        <w:t>|   |-- Service/             &lt;- CDC, XML v150, firma, QR, KuDE, correo, cliente SOAP</w:t>
      </w:r>
    </w:p>
    <w:p>
      <w:pPr>
        <w:keepNext/>
        <w:pBdr>
          <w:left w:val="single" w:sz="12" w:space="6" w:color="2E74B5"/>
        </w:pBdr>
        <w:shd w:val="clear" w:color="auto" w:fill="F2F4F7"/>
        <w:spacing w:before="0" w:after="0" w:line="240" w:lineRule="auto"/>
        <w:ind w:left="227" w:right="113"/>
      </w:pPr>
      <w:r>
        <w:rPr>
          <w:rFonts w:ascii="Consolas" w:hAnsi="Consolas"/>
          <w:sz w:val="17"/>
        </w:rPr>
        <w:t>|   +-- Support/             &lt;- utilidades de archivos y HTTP</w:t>
      </w:r>
    </w:p>
    <w:p>
      <w:pPr>
        <w:keepNext/>
        <w:pBdr>
          <w:left w:val="single" w:sz="12" w:space="6" w:color="2E74B5"/>
        </w:pBdr>
        <w:shd w:val="clear" w:color="auto" w:fill="F2F4F7"/>
        <w:spacing w:before="0" w:after="0" w:line="240" w:lineRule="auto"/>
        <w:ind w:left="227" w:right="113"/>
      </w:pPr>
      <w:r>
        <w:rPr>
          <w:rFonts w:ascii="Consolas" w:hAnsi="Consolas"/>
          <w:sz w:val="17"/>
        </w:rPr>
        <w:t>|</w:t>
      </w:r>
    </w:p>
    <w:p>
      <w:pPr>
        <w:keepNext/>
        <w:pBdr>
          <w:left w:val="single" w:sz="12" w:space="6" w:color="2E74B5"/>
        </w:pBdr>
        <w:shd w:val="clear" w:color="auto" w:fill="F2F4F7"/>
        <w:spacing w:before="0" w:after="0" w:line="240" w:lineRule="auto"/>
        <w:ind w:left="227" w:right="113"/>
      </w:pPr>
      <w:r>
        <w:rPr>
          <w:rFonts w:ascii="Consolas" w:hAnsi="Consolas"/>
          <w:sz w:val="17"/>
        </w:rPr>
        <w:t>|-- docs/                    &lt;- esta documentacion</w:t>
      </w:r>
    </w:p>
    <w:p>
      <w:pPr>
        <w:keepNext/>
        <w:pBdr>
          <w:left w:val="single" w:sz="12" w:space="6" w:color="2E74B5"/>
        </w:pBdr>
        <w:shd w:val="clear" w:color="auto" w:fill="F2F4F7"/>
        <w:spacing w:before="0" w:after="0" w:line="240" w:lineRule="auto"/>
        <w:ind w:left="227" w:right="113"/>
      </w:pPr>
      <w:r>
        <w:rPr>
          <w:rFonts w:ascii="Consolas" w:hAnsi="Consolas"/>
          <w:sz w:val="17"/>
        </w:rPr>
        <w:t>|-- ejemplos/                &lt;- archivos .txt de ejemplo listos para probar</w:t>
      </w:r>
    </w:p>
    <w:p>
      <w:pPr>
        <w:keepNext/>
        <w:pBdr>
          <w:left w:val="single" w:sz="12" w:space="6" w:color="2E74B5"/>
        </w:pBdr>
        <w:shd w:val="clear" w:color="auto" w:fill="F2F4F7"/>
        <w:spacing w:before="0" w:after="0" w:line="240" w:lineRule="auto"/>
        <w:ind w:left="227" w:right="113"/>
      </w:pPr>
      <w:r>
        <w:rPr>
          <w:rFonts w:ascii="Consolas" w:hAnsi="Consolas"/>
          <w:sz w:val="17"/>
        </w:rPr>
        <w:t>|-- certs/                   &lt;- certificados digitales (acceso restringido)</w:t>
      </w:r>
    </w:p>
    <w:p>
      <w:pPr>
        <w:keepNext/>
        <w:pBdr>
          <w:left w:val="single" w:sz="12" w:space="6" w:color="2E74B5"/>
        </w:pBdr>
        <w:shd w:val="clear" w:color="auto" w:fill="F2F4F7"/>
        <w:spacing w:before="0" w:after="0" w:line="240" w:lineRule="auto"/>
        <w:ind w:left="227" w:right="113"/>
      </w:pPr>
      <w:r>
        <w:rPr>
          <w:rFonts w:ascii="Consolas" w:hAnsi="Consolas"/>
          <w:sz w:val="17"/>
        </w:rPr>
        <w:t>|</w:t>
      </w:r>
    </w:p>
    <w:p>
      <w:pPr>
        <w:keepNext/>
        <w:pBdr>
          <w:left w:val="single" w:sz="12" w:space="6" w:color="2E74B5"/>
        </w:pBdr>
        <w:shd w:val="clear" w:color="auto" w:fill="F2F4F7"/>
        <w:spacing w:before="0" w:after="0" w:line="240" w:lineRule="auto"/>
        <w:ind w:left="227" w:right="113"/>
      </w:pPr>
      <w:r>
        <w:rPr>
          <w:rFonts w:ascii="Consolas" w:hAnsi="Consolas"/>
          <w:sz w:val="17"/>
        </w:rPr>
        <w:t>|-- entrada/                 &lt;- BANDEJA DE ENTRADA: aqui se dejan los .txt</w:t>
      </w:r>
    </w:p>
    <w:p>
      <w:pPr>
        <w:keepNext/>
        <w:pBdr>
          <w:left w:val="single" w:sz="12" w:space="6" w:color="2E74B5"/>
        </w:pBdr>
        <w:shd w:val="clear" w:color="auto" w:fill="F2F4F7"/>
        <w:spacing w:before="0" w:after="0" w:line="240" w:lineRule="auto"/>
        <w:ind w:left="227" w:right="113"/>
      </w:pPr>
      <w:r>
        <w:rPr>
          <w:rFonts w:ascii="Consolas" w:hAnsi="Consolas"/>
          <w:sz w:val="17"/>
        </w:rPr>
        <w:t>|-- procesados/              &lt;- archivos que se emitieron correctamente</w:t>
      </w:r>
    </w:p>
    <w:p>
      <w:pPr>
        <w:keepNext/>
        <w:pBdr>
          <w:left w:val="single" w:sz="12" w:space="6" w:color="2E74B5"/>
        </w:pBdr>
        <w:shd w:val="clear" w:color="auto" w:fill="F2F4F7"/>
        <w:spacing w:before="0" w:after="0" w:line="240" w:lineRule="auto"/>
        <w:ind w:left="227" w:right="113"/>
      </w:pPr>
      <w:r>
        <w:rPr>
          <w:rFonts w:ascii="Consolas" w:hAnsi="Consolas"/>
          <w:sz w:val="17"/>
        </w:rPr>
        <w:t>|-- errores/                 &lt;- archivos que fallaron + su .error.txt explicativo</w:t>
      </w:r>
    </w:p>
    <w:p>
      <w:pPr>
        <w:keepNext/>
        <w:pBdr>
          <w:left w:val="single" w:sz="12" w:space="6" w:color="2E74B5"/>
        </w:pBdr>
        <w:shd w:val="clear" w:color="auto" w:fill="F2F4F7"/>
        <w:spacing w:before="0" w:after="0" w:line="240" w:lineRule="auto"/>
        <w:ind w:left="227" w:right="113"/>
      </w:pPr>
      <w:r>
        <w:rPr>
          <w:rFonts w:ascii="Consolas" w:hAnsi="Consolas"/>
          <w:sz w:val="17"/>
        </w:rPr>
        <w:t>|-- salida/                  &lt;- XML firmados, KuDE en PDF y resumenes .json</w:t>
      </w:r>
    </w:p>
    <w:p>
      <w:pPr>
        <w:keepNext w:val="0"/>
        <w:pBdr>
          <w:left w:val="single" w:sz="12" w:space="6" w:color="2E74B5"/>
        </w:pBdr>
        <w:shd w:val="clear" w:color="auto" w:fill="F2F4F7"/>
        <w:spacing w:before="0" w:after="160" w:line="240" w:lineRule="auto"/>
        <w:ind w:left="227" w:right="113"/>
      </w:pPr>
      <w:r>
        <w:rPr>
          <w:rFonts w:ascii="Consolas" w:hAnsi="Consolas"/>
          <w:sz w:val="17"/>
        </w:rPr>
        <w:t>+-- logs/                    &lt;- bitacora diaria y copias de los correos enviados</w:t>
      </w:r>
    </w:p>
    <w:p>
      <w:pPr>
        <w:pStyle w:val="Heading2"/>
      </w:pPr>
      <w:r>
        <w:t>4.2. Las cuatro carpetas de datos</w:t>
      </w:r>
    </w:p>
    <w:p>
      <w:pPr>
        <w:spacing w:after="140"/>
      </w:pPr>
      <w:r>
        <w:t>Estas cuatro carpetas cuentan por sí solas toda la historia operativa del sistema. Revisarlas es el primer paso de cualquier diagnóstico.</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31"/>
            <w:shd w:val="clear" w:color="auto" w:fill="DCE6F1"/>
          </w:tcPr>
          <w:p>
            <w:pPr>
              <w:spacing w:after="0" w:before="0" w:line="259" w:lineRule="auto"/>
            </w:pPr>
            <w:r>
              <w:rPr>
                <w:b/>
                <w:color w:val="1F4E79"/>
                <w:sz w:val="19"/>
              </w:rPr>
              <w:t>Carpeta</w:t>
            </w:r>
          </w:p>
        </w:tc>
        <w:tc>
          <w:tcPr>
            <w:tcW w:type="dxa" w:w="2438"/>
            <w:shd w:val="clear" w:color="auto" w:fill="DCE6F1"/>
          </w:tcPr>
          <w:p>
            <w:pPr>
              <w:spacing w:after="0" w:before="0" w:line="259" w:lineRule="auto"/>
            </w:pPr>
            <w:r>
              <w:rPr>
                <w:b/>
                <w:color w:val="1F4E79"/>
                <w:sz w:val="19"/>
              </w:rPr>
              <w:t>Qué contiene</w:t>
            </w:r>
          </w:p>
        </w:tc>
        <w:tc>
          <w:tcPr>
            <w:tcW w:type="dxa" w:w="5669"/>
            <w:shd w:val="clear" w:color="auto" w:fill="DCE6F1"/>
          </w:tcPr>
          <w:p>
            <w:pPr>
              <w:spacing w:after="0" w:before="0" w:line="259" w:lineRule="auto"/>
            </w:pPr>
            <w:r>
              <w:rPr>
                <w:b/>
                <w:color w:val="1F4E79"/>
                <w:sz w:val="19"/>
              </w:rPr>
              <w:t>Cómo se interpreta</w:t>
            </w:r>
          </w:p>
        </w:tc>
      </w:tr>
      <w:tr>
        <w:tc>
          <w:tcPr>
            <w:tcW w:type="dxa" w:w="1531"/>
          </w:tcPr>
          <w:p>
            <w:pPr>
              <w:spacing w:after="0" w:before="0" w:line="259" w:lineRule="auto"/>
            </w:pPr>
            <w:r>
              <w:rPr>
                <w:rFonts w:ascii="Consolas" w:hAnsi="Consolas"/>
                <w:sz w:val="17"/>
              </w:rPr>
              <w:t>entrada/</w:t>
            </w:r>
          </w:p>
        </w:tc>
        <w:tc>
          <w:tcPr>
            <w:tcW w:type="dxa" w:w="2438"/>
          </w:tcPr>
          <w:p>
            <w:pPr>
              <w:spacing w:after="0" w:before="0" w:line="259" w:lineRule="auto"/>
            </w:pPr>
            <w:r>
              <w:rPr>
                <w:sz w:val="19"/>
              </w:rPr>
              <w:t xml:space="preserve">Archivos </w:t>
            </w:r>
            <w:r>
              <w:rPr>
                <w:rFonts w:ascii="Consolas" w:hAnsi="Consolas"/>
                <w:color w:val="A31515"/>
                <w:sz w:val="19"/>
              </w:rPr>
              <w:t>.txt</w:t>
            </w:r>
            <w:r>
              <w:rPr>
                <w:sz w:val="19"/>
              </w:rPr>
              <w:t xml:space="preserve"> pendientes</w:t>
            </w:r>
          </w:p>
        </w:tc>
        <w:tc>
          <w:tcPr>
            <w:tcW w:type="dxa" w:w="5669"/>
          </w:tcPr>
          <w:p>
            <w:pPr>
              <w:spacing w:after="0" w:before="0" w:line="259" w:lineRule="auto"/>
            </w:pPr>
            <w:r>
              <w:rPr>
                <w:sz w:val="19"/>
              </w:rPr>
              <w:t xml:space="preserve">Si un archivo permanece aquí mucho tiempo, el procesamiento no se está ejecutando: revisar el cron o el watcher. Un archivo con sufijo </w:t>
            </w:r>
            <w:r>
              <w:rPr>
                <w:rFonts w:ascii="Consolas" w:hAnsi="Consolas"/>
                <w:color w:val="A31515"/>
                <w:sz w:val="19"/>
              </w:rPr>
              <w:t>.procesando</w:t>
            </w:r>
            <w:r>
              <w:rPr>
                <w:sz w:val="19"/>
              </w:rPr>
              <w:t xml:space="preserve"> quedó a medio camino por una interrupción.</w:t>
            </w:r>
          </w:p>
        </w:tc>
      </w:tr>
      <w:tr>
        <w:tc>
          <w:tcPr>
            <w:tcW w:type="dxa" w:w="1531"/>
            <w:shd w:val="clear" w:color="auto" w:fill="F7F9FC"/>
          </w:tcPr>
          <w:p>
            <w:pPr>
              <w:spacing w:after="0" w:before="0" w:line="259" w:lineRule="auto"/>
            </w:pPr>
            <w:r>
              <w:rPr>
                <w:rFonts w:ascii="Consolas" w:hAnsi="Consolas"/>
                <w:sz w:val="17"/>
              </w:rPr>
              <w:t>procesados/</w:t>
            </w:r>
          </w:p>
        </w:tc>
        <w:tc>
          <w:tcPr>
            <w:tcW w:type="dxa" w:w="2438"/>
            <w:shd w:val="clear" w:color="auto" w:fill="F7F9FC"/>
          </w:tcPr>
          <w:p>
            <w:pPr>
              <w:spacing w:after="0" w:before="0" w:line="259" w:lineRule="auto"/>
            </w:pPr>
            <w:r>
              <w:rPr>
                <w:sz w:val="19"/>
              </w:rPr>
              <w:t>Entradas emitidas con éxito</w:t>
            </w:r>
          </w:p>
        </w:tc>
        <w:tc>
          <w:tcPr>
            <w:tcW w:type="dxa" w:w="5669"/>
            <w:shd w:val="clear" w:color="auto" w:fill="F7F9FC"/>
          </w:tcPr>
          <w:p>
            <w:pPr>
              <w:spacing w:after="0" w:before="0" w:line="259" w:lineRule="auto"/>
            </w:pPr>
            <w:r>
              <w:rPr>
                <w:sz w:val="19"/>
              </w:rPr>
              <w:t>El nombre incorpora la fecha y hora del procesamiento, de modo que nunca se pisan dos archivos con el mismo nombre original.</w:t>
            </w:r>
          </w:p>
        </w:tc>
      </w:tr>
      <w:tr>
        <w:tc>
          <w:tcPr>
            <w:tcW w:type="dxa" w:w="1531"/>
          </w:tcPr>
          <w:p>
            <w:pPr>
              <w:spacing w:after="0" w:before="0" w:line="259" w:lineRule="auto"/>
            </w:pPr>
            <w:r>
              <w:rPr>
                <w:rFonts w:ascii="Consolas" w:hAnsi="Consolas"/>
                <w:sz w:val="17"/>
              </w:rPr>
              <w:t>errores/</w:t>
            </w:r>
          </w:p>
        </w:tc>
        <w:tc>
          <w:tcPr>
            <w:tcW w:type="dxa" w:w="2438"/>
          </w:tcPr>
          <w:p>
            <w:pPr>
              <w:spacing w:after="0" w:before="0" w:line="259" w:lineRule="auto"/>
            </w:pPr>
            <w:r>
              <w:rPr>
                <w:sz w:val="19"/>
              </w:rPr>
              <w:t>Entradas rechazadas</w:t>
            </w:r>
          </w:p>
        </w:tc>
        <w:tc>
          <w:tcPr>
            <w:tcW w:type="dxa" w:w="5669"/>
          </w:tcPr>
          <w:p>
            <w:pPr>
              <w:spacing w:after="0" w:before="0" w:line="259" w:lineRule="auto"/>
            </w:pPr>
            <w:r>
              <w:rPr>
                <w:sz w:val="19"/>
              </w:rPr>
              <w:t xml:space="preserve">Junto a cada archivo hay un </w:t>
            </w:r>
            <w:r>
              <w:rPr>
                <w:rFonts w:ascii="Consolas" w:hAnsi="Consolas"/>
                <w:color w:val="A31515"/>
                <w:sz w:val="19"/>
              </w:rPr>
              <w:t>.error.txt</w:t>
            </w:r>
            <w:r>
              <w:rPr>
                <w:sz w:val="19"/>
              </w:rPr>
              <w:t xml:space="preserve"> con la fecha y el motivo exacto del rechazo. Corregido el problema, el archivo puede volver a </w:t>
            </w:r>
            <w:r>
              <w:rPr>
                <w:rFonts w:ascii="Consolas" w:hAnsi="Consolas"/>
                <w:color w:val="A31515"/>
                <w:sz w:val="19"/>
              </w:rPr>
              <w:t>entrada/</w:t>
            </w:r>
            <w:r>
              <w:rPr>
                <w:sz w:val="19"/>
              </w:rPr>
              <w:t>.</w:t>
            </w:r>
          </w:p>
        </w:tc>
      </w:tr>
      <w:tr>
        <w:tc>
          <w:tcPr>
            <w:tcW w:type="dxa" w:w="1531"/>
            <w:shd w:val="clear" w:color="auto" w:fill="F7F9FC"/>
          </w:tcPr>
          <w:p>
            <w:pPr>
              <w:spacing w:after="0" w:before="0" w:line="259" w:lineRule="auto"/>
            </w:pPr>
            <w:r>
              <w:rPr>
                <w:rFonts w:ascii="Consolas" w:hAnsi="Consolas"/>
                <w:sz w:val="17"/>
              </w:rPr>
              <w:t>salida/</w:t>
            </w:r>
          </w:p>
        </w:tc>
        <w:tc>
          <w:tcPr>
            <w:tcW w:type="dxa" w:w="2438"/>
            <w:shd w:val="clear" w:color="auto" w:fill="F7F9FC"/>
          </w:tcPr>
          <w:p>
            <w:pPr>
              <w:spacing w:after="0" w:before="0" w:line="259" w:lineRule="auto"/>
            </w:pPr>
            <w:r>
              <w:rPr>
                <w:sz w:val="19"/>
              </w:rPr>
              <w:t>Resultados fiscales</w:t>
            </w:r>
          </w:p>
        </w:tc>
        <w:tc>
          <w:tcPr>
            <w:tcW w:type="dxa" w:w="5669"/>
            <w:shd w:val="clear" w:color="auto" w:fill="F7F9FC"/>
          </w:tcPr>
          <w:p>
            <w:pPr>
              <w:spacing w:after="0" w:before="0" w:line="259" w:lineRule="auto"/>
            </w:pPr>
            <w:r>
              <w:rPr>
                <w:sz w:val="19"/>
              </w:rPr>
              <w:t xml:space="preserve">Un XML y un PDF por factura, nombrados con el CDC, más un resumen </w:t>
            </w:r>
            <w:r>
              <w:rPr>
                <w:rFonts w:ascii="Consolas" w:hAnsi="Consolas"/>
                <w:color w:val="A31515"/>
                <w:sz w:val="19"/>
              </w:rPr>
              <w:t>.json</w:t>
            </w:r>
            <w:r>
              <w:rPr>
                <w:sz w:val="19"/>
              </w:rPr>
              <w:t xml:space="preserve"> por cada archivo procesado.</w:t>
            </w:r>
          </w:p>
        </w:tc>
      </w:tr>
    </w:tbl>
    <w:p>
      <w:pPr>
        <w:spacing w:after="80" w:before="0"/>
      </w:pPr>
    </w:p>
    <w:p>
      <w:pPr>
        <w:pStyle w:val="Heading1"/>
      </w:pPr>
      <w:r>
        <w:t>5. Instalación y puesta en marcha</w:t>
      </w:r>
    </w:p>
    <w:p>
      <w:pPr>
        <w:spacing w:after="140"/>
      </w:pPr>
      <w:r>
        <w:t>La instalación consiste en copiar el proyecto, completar un archivo de configuración y hacer una prueba sin valor fiscal. No requiere compilación, ni gestor de dependencias, ni base de datos.</w:t>
      </w:r>
    </w:p>
    <w:p>
      <w:pPr>
        <w:pStyle w:val="Heading2"/>
      </w:pPr>
      <w:r>
        <w:t>5.1. Paso a paso</w:t>
      </w:r>
    </w:p>
    <w:p>
      <w:pPr>
        <w:spacing w:after="100" w:line="276" w:lineRule="auto"/>
        <w:ind w:left="510" w:hanging="510"/>
      </w:pPr>
      <w:r>
        <w:rPr>
          <w:b/>
          <w:color w:val="2E74B5"/>
        </w:rPr>
        <w:t>1.</w:t>
        <w:tab/>
      </w:r>
      <w:r>
        <w:rPr>
          <w:b/>
        </w:rPr>
        <w:t>Copiar el proyecto al servidor.</w:t>
      </w:r>
      <w:r>
        <w:t xml:space="preserve"> La carpeta </w:t>
      </w:r>
      <w:r>
        <w:rPr>
          <w:rFonts w:ascii="Consolas" w:hAnsi="Consolas"/>
          <w:color w:val="A31515"/>
          <w:sz w:val="19"/>
        </w:rPr>
        <w:t>sifen_automatizador/</w:t>
      </w:r>
      <w:r>
        <w:t xml:space="preserve"> debe quedar </w:t>
      </w:r>
      <w:r>
        <w:rPr>
          <w:i/>
        </w:rPr>
        <w:t>fuera</w:t>
      </w:r>
      <w:r>
        <w:t xml:space="preserve"> del directorio público del servidor web. Solo su subcarpeta </w:t>
      </w:r>
      <w:r>
        <w:rPr>
          <w:rFonts w:ascii="Consolas" w:hAnsi="Consolas"/>
          <w:color w:val="A31515"/>
          <w:sz w:val="19"/>
        </w:rPr>
        <w:t>public/</w:t>
      </w:r>
      <w:r>
        <w:t xml:space="preserve"> se expone a internet, y únicamente si se va a usar el endpoint HTTP.</w:t>
      </w:r>
    </w:p>
    <w:p>
      <w:pPr>
        <w:spacing w:after="100" w:line="276" w:lineRule="auto"/>
        <w:ind w:left="510" w:hanging="510"/>
      </w:pPr>
      <w:r>
        <w:rPr>
          <w:b/>
          <w:color w:val="2E74B5"/>
        </w:rPr>
        <w:t>2.</w:t>
        <w:tab/>
      </w:r>
      <w:r>
        <w:rPr>
          <w:b/>
        </w:rPr>
        <w:t>Verificar la versión de PHP y sus extensiones.</w:t>
      </w:r>
      <w:r>
        <w:t xml:space="preserve"> En un hosting con cPanel esto se hace desde </w:t>
      </w:r>
      <w:r>
        <w:rPr>
          <w:i/>
        </w:rPr>
        <w:t>Select PHP Version</w:t>
      </w:r>
      <w:r>
        <w:t>.</w:t>
      </w:r>
    </w:p>
    <w:p>
      <w:pPr>
        <w:spacing w:after="100" w:line="276" w:lineRule="auto"/>
        <w:ind w:left="510" w:hanging="510"/>
      </w:pPr>
      <w:r>
        <w:rPr>
          <w:b/>
          <w:color w:val="2E74B5"/>
        </w:rPr>
        <w:t>3.</w:t>
        <w:tab/>
      </w:r>
      <w:r>
        <w:rPr>
          <w:b/>
        </w:rPr>
        <w:t>Crear el archivo de configuración</w:t>
      </w:r>
      <w:r>
        <w:t xml:space="preserve"> a partir de la plantilla incluida:</w:t>
      </w:r>
    </w:p>
    <w:p>
      <w:pPr>
        <w:keepNext w:val="0"/>
        <w:pBdr>
          <w:left w:val="single" w:sz="12" w:space="6" w:color="2E74B5"/>
        </w:pBdr>
        <w:shd w:val="clear" w:color="auto" w:fill="F2F4F7"/>
        <w:spacing w:before="80" w:after="160" w:line="240" w:lineRule="auto"/>
        <w:ind w:left="227" w:right="113"/>
      </w:pPr>
      <w:r>
        <w:rPr>
          <w:rFonts w:ascii="Consolas" w:hAnsi="Consolas"/>
          <w:sz w:val="17"/>
        </w:rPr>
        <w:t>cp .env.example .env</w:t>
      </w:r>
    </w:p>
    <w:p>
      <w:pPr>
        <w:spacing w:after="100" w:line="276" w:lineRule="auto"/>
        <w:ind w:left="510" w:hanging="510"/>
      </w:pPr>
      <w:r>
        <w:rPr>
          <w:b/>
          <w:color w:val="2E74B5"/>
        </w:rPr>
        <w:t>4.</w:t>
        <w:tab/>
      </w:r>
      <w:r>
        <w:rPr>
          <w:b/>
        </w:rPr>
        <w:t xml:space="preserve">Completar el </w:t>
      </w:r>
      <w:r>
        <w:rPr>
          <w:rFonts w:ascii="Consolas" w:hAnsi="Consolas"/>
          <w:b/>
          <w:color w:val="A31515"/>
          <w:sz w:val="19"/>
        </w:rPr>
        <w:t>.env</w:t>
      </w:r>
      <w:r>
        <w:rPr>
          <w:b/>
        </w:rPr>
        <w:t xml:space="preserve"> con los datos reales.</w:t>
      </w:r>
      <w:r>
        <w:t xml:space="preserve"> Como mínimo hay que definir el bloque del emisor (RUC, dígito verificador, razón social, timbrado, dirección y códigos geográficos), el modo de emisión y, si se va a usar el endpoint HTTP, la URL pública y el token de la API.</w:t>
      </w:r>
    </w:p>
    <w:p>
      <w:pPr>
        <w:spacing w:after="100" w:line="276" w:lineRule="auto"/>
        <w:ind w:left="510" w:hanging="510"/>
      </w:pPr>
      <w:r>
        <w:rPr>
          <w:b/>
          <w:color w:val="2E74B5"/>
        </w:rPr>
        <w:t>5.</w:t>
        <w:tab/>
      </w:r>
      <w:r>
        <w:rPr>
          <w:b/>
        </w:rPr>
        <w:t>Asignar permisos de escritura</w:t>
      </w:r>
      <w:r>
        <w:t xml:space="preserve"> a las carpetas de trabajo: </w:t>
      </w:r>
      <w:r>
        <w:rPr>
          <w:rFonts w:ascii="Consolas" w:hAnsi="Consolas"/>
          <w:color w:val="A31515"/>
          <w:sz w:val="19"/>
        </w:rPr>
        <w:t>entrada procesados errores salida logs certs</w:t>
      </w:r>
      <w:r>
        <w:t>.</w:t>
      </w:r>
    </w:p>
    <w:p>
      <w:pPr>
        <w:spacing w:after="100" w:line="276" w:lineRule="auto"/>
        <w:ind w:left="510" w:hanging="510"/>
      </w:pPr>
      <w:r>
        <w:rPr>
          <w:b/>
          <w:color w:val="2E74B5"/>
        </w:rPr>
        <w:t>6.</w:t>
        <w:tab/>
      </w:r>
      <w:r>
        <w:rPr>
          <w:b/>
        </w:rPr>
        <w:t>Probar con el ejemplo incluido,</w:t>
      </w:r>
      <w:r>
        <w:t xml:space="preserve"> con el modo de emisión en </w:t>
      </w:r>
      <w:r>
        <w:rPr>
          <w:rFonts w:ascii="Consolas" w:hAnsi="Consolas"/>
          <w:color w:val="A31515"/>
          <w:sz w:val="19"/>
        </w:rPr>
        <w:t>mock</w:t>
      </w:r>
      <w:r>
        <w:t xml:space="preserve"> para no generar documentos con valor fiscal:</w:t>
      </w:r>
    </w:p>
    <w:p>
      <w:pPr>
        <w:keepNext/>
        <w:pBdr>
          <w:left w:val="single" w:sz="12" w:space="6" w:color="2E74B5"/>
        </w:pBdr>
        <w:shd w:val="clear" w:color="auto" w:fill="F2F4F7"/>
        <w:spacing w:before="80" w:after="0" w:line="240" w:lineRule="auto"/>
        <w:ind w:left="227" w:right="113"/>
      </w:pPr>
      <w:r>
        <w:rPr>
          <w:rFonts w:ascii="Consolas" w:hAnsi="Consolas"/>
          <w:sz w:val="17"/>
        </w:rPr>
        <w:t>cp ejemplos/factura_ejemplo.txt entrada/</w:t>
      </w:r>
    </w:p>
    <w:p>
      <w:pPr>
        <w:keepNext/>
        <w:pBdr>
          <w:left w:val="single" w:sz="12" w:space="6" w:color="2E74B5"/>
        </w:pBdr>
        <w:shd w:val="clear" w:color="auto" w:fill="F2F4F7"/>
        <w:spacing w:before="0" w:after="0" w:line="240" w:lineRule="auto"/>
        <w:ind w:left="227" w:right="113"/>
      </w:pPr>
      <w:r>
        <w:rPr>
          <w:rFonts w:ascii="Consolas" w:hAnsi="Consolas"/>
          <w:sz w:val="17"/>
        </w:rPr>
        <w:t>php bin/procesar.php</w:t>
      </w:r>
    </w:p>
    <w:p>
      <w:pPr>
        <w:keepNext/>
        <w:pBdr>
          <w:left w:val="single" w:sz="12" w:space="6" w:color="2E74B5"/>
        </w:pBdr>
        <w:shd w:val="clear" w:color="auto" w:fill="F2F4F7"/>
        <w:spacing w:before="0" w:after="0" w:line="240" w:lineRule="auto"/>
        <w:ind w:left="227" w:right="113"/>
      </w:pPr>
      <w:r>
        <w:rPr>
          <w:rFonts w:ascii="Consolas" w:hAnsi="Consolas"/>
          <w:sz w:val="17"/>
        </w:rPr>
        <w:t>ls salida/          # debe aparecer un .xml, un .pdf y un .json</w:t>
      </w:r>
    </w:p>
    <w:p>
      <w:pPr>
        <w:keepNext w:val="0"/>
        <w:pBdr>
          <w:left w:val="single" w:sz="12" w:space="6" w:color="2E74B5"/>
        </w:pBdr>
        <w:shd w:val="clear" w:color="auto" w:fill="F2F4F7"/>
        <w:spacing w:before="0" w:after="160" w:line="240" w:lineRule="auto"/>
        <w:ind w:left="227" w:right="113"/>
      </w:pPr>
      <w:r>
        <w:rPr>
          <w:rFonts w:ascii="Consolas" w:hAnsi="Consolas"/>
          <w:sz w:val="17"/>
        </w:rPr>
        <w:t>cat logs/*.log      # la bitacora del dia, con el detalle de lo ocurrido</w:t>
      </w:r>
    </w:p>
    <w:p>
      <w:pPr>
        <w:spacing w:after="100" w:line="276" w:lineRule="auto"/>
        <w:ind w:left="510" w:hanging="510"/>
      </w:pPr>
      <w:r>
        <w:rPr>
          <w:b/>
          <w:color w:val="2E74B5"/>
        </w:rPr>
        <w:t>7.</w:t>
        <w:tab/>
      </w:r>
      <w:r>
        <w:rPr>
          <w:b/>
        </w:rPr>
        <w:t>Revisar el resultado.</w:t>
      </w:r>
      <w:r>
        <w:t xml:space="preserve"> Abrir el PDF generado y comprobar que los datos del emisor, los importes y el QR se vean correctamente. Si algo del encabezado está mal, corregir el </w:t>
      </w:r>
      <w:r>
        <w:rPr>
          <w:rFonts w:ascii="Consolas" w:hAnsi="Consolas"/>
          <w:color w:val="A31515"/>
          <w:sz w:val="19"/>
        </w:rPr>
        <w:t>.env</w:t>
      </w:r>
      <w:r>
        <w:t xml:space="preserve"> y repetir la prueba.</w:t>
      </w:r>
    </w:p>
    <w:p>
      <w:pPr>
        <w:pStyle w:val="Heading2"/>
      </w:pPr>
      <w:r>
        <w:t>5.2. Dónde se configura cada cosa</w:t>
      </w:r>
    </w:p>
    <w:p>
      <w:pPr>
        <w:spacing w:after="140"/>
      </w:pPr>
      <w:r>
        <w:t>Toda la configuración vive en un único archivo de entorno ubicado en la raíz del proyecto. El archivo PHP de configuración que existía en versiones anteriores quedó obsoleto y solo se conserva como recordatorio.</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val="clear" w:color="auto" w:fill="DCE6F1"/>
          </w:tcPr>
          <w:p>
            <w:pPr>
              <w:spacing w:after="0" w:before="0" w:line="259" w:lineRule="auto"/>
            </w:pPr>
            <w:r>
              <w:rPr>
                <w:b/>
                <w:color w:val="1F4E79"/>
                <w:sz w:val="19"/>
              </w:rPr>
              <w:t>Bloque</w:t>
            </w:r>
          </w:p>
        </w:tc>
        <w:tc>
          <w:tcPr>
            <w:tcW w:type="dxa" w:w="2608"/>
            <w:shd w:val="clear" w:color="auto" w:fill="DCE6F1"/>
          </w:tcPr>
          <w:p>
            <w:pPr>
              <w:spacing w:after="0" w:before="0" w:line="259" w:lineRule="auto"/>
            </w:pPr>
            <w:r>
              <w:rPr>
                <w:b/>
                <w:color w:val="1F4E79"/>
                <w:sz w:val="19"/>
              </w:rPr>
              <w:t>Variables</w:t>
            </w:r>
          </w:p>
        </w:tc>
        <w:tc>
          <w:tcPr>
            <w:tcW w:type="dxa" w:w="5329"/>
            <w:shd w:val="clear" w:color="auto" w:fill="DCE6F1"/>
          </w:tcPr>
          <w:p>
            <w:pPr>
              <w:spacing w:after="0" w:before="0" w:line="259" w:lineRule="auto"/>
            </w:pPr>
            <w:r>
              <w:rPr>
                <w:b/>
                <w:color w:val="1F4E79"/>
                <w:sz w:val="19"/>
              </w:rPr>
              <w:t>Para qué sirve</w:t>
            </w:r>
          </w:p>
        </w:tc>
      </w:tr>
      <w:tr>
        <w:tc>
          <w:tcPr>
            <w:tcW w:type="dxa" w:w="1701"/>
          </w:tcPr>
          <w:p>
            <w:pPr>
              <w:spacing w:after="0" w:before="0" w:line="259" w:lineRule="auto"/>
            </w:pPr>
            <w:r>
              <w:rPr>
                <w:sz w:val="19"/>
              </w:rPr>
              <w:t>Emisor</w:t>
            </w:r>
          </w:p>
        </w:tc>
        <w:tc>
          <w:tcPr>
            <w:tcW w:type="dxa" w:w="2608"/>
          </w:tcPr>
          <w:p>
            <w:pPr>
              <w:spacing w:after="0" w:before="0" w:line="259" w:lineRule="auto"/>
            </w:pPr>
            <w:r>
              <w:rPr>
                <w:rFonts w:ascii="Consolas" w:hAnsi="Consolas"/>
                <w:sz w:val="17"/>
              </w:rPr>
              <w:t>EMISOR_*</w:t>
            </w:r>
          </w:p>
        </w:tc>
        <w:tc>
          <w:tcPr>
            <w:tcW w:type="dxa" w:w="5329"/>
          </w:tcPr>
          <w:p>
            <w:pPr>
              <w:spacing w:after="0" w:before="0" w:line="259" w:lineRule="auto"/>
            </w:pPr>
            <w:r>
              <w:rPr>
                <w:sz w:val="19"/>
              </w:rPr>
              <w:t>Identidad fiscal de la empresa: RUC y dígito verificador, razón social, nombre de fantasía, dirección, códigos de departamento, distrito y ciudad, actividad económica, timbrado con su vigencia, y establecimiento y punto de expedición por defecto.</w:t>
            </w:r>
          </w:p>
        </w:tc>
      </w:tr>
      <w:tr>
        <w:tc>
          <w:tcPr>
            <w:tcW w:type="dxa" w:w="1701"/>
            <w:shd w:val="clear" w:color="auto" w:fill="F7F9FC"/>
          </w:tcPr>
          <w:p>
            <w:pPr>
              <w:spacing w:after="0" w:before="0" w:line="259" w:lineRule="auto"/>
            </w:pPr>
            <w:r>
              <w:rPr>
                <w:sz w:val="19"/>
              </w:rPr>
              <w:t>Código QR</w:t>
            </w:r>
          </w:p>
        </w:tc>
        <w:tc>
          <w:tcPr>
            <w:tcW w:type="dxa" w:w="2608"/>
            <w:shd w:val="clear" w:color="auto" w:fill="F7F9FC"/>
          </w:tcPr>
          <w:p>
            <w:pPr>
              <w:spacing w:after="0" w:before="0" w:line="259" w:lineRule="auto"/>
            </w:pPr>
            <w:r>
              <w:rPr>
                <w:rFonts w:ascii="Consolas" w:hAnsi="Consolas"/>
                <w:sz w:val="17"/>
              </w:rPr>
              <w:t>SIFEN_ID_CSC, SIFEN_CSC</w:t>
            </w:r>
          </w:p>
        </w:tc>
        <w:tc>
          <w:tcPr>
            <w:tcW w:type="dxa" w:w="5329"/>
            <w:shd w:val="clear" w:color="auto" w:fill="F7F9FC"/>
          </w:tcPr>
          <w:p>
            <w:pPr>
              <w:spacing w:after="0" w:before="0" w:line="259" w:lineRule="auto"/>
            </w:pPr>
            <w:r>
              <w:rPr>
                <w:sz w:val="19"/>
              </w:rPr>
              <w:t>Credenciales entregadas por la DNIT para firmar el contenido del código QR.</w:t>
            </w:r>
          </w:p>
        </w:tc>
      </w:tr>
      <w:tr>
        <w:tc>
          <w:tcPr>
            <w:tcW w:type="dxa" w:w="1701"/>
          </w:tcPr>
          <w:p>
            <w:pPr>
              <w:spacing w:after="0" w:before="0" w:line="259" w:lineRule="auto"/>
            </w:pPr>
            <w:r>
              <w:rPr>
                <w:sz w:val="19"/>
              </w:rPr>
              <w:t>Modo de emisión</w:t>
            </w:r>
          </w:p>
        </w:tc>
        <w:tc>
          <w:tcPr>
            <w:tcW w:type="dxa" w:w="2608"/>
          </w:tcPr>
          <w:p>
            <w:pPr>
              <w:spacing w:after="0" w:before="0" w:line="259" w:lineRule="auto"/>
            </w:pPr>
            <w:r>
              <w:rPr>
                <w:rFonts w:ascii="Consolas" w:hAnsi="Consolas"/>
                <w:sz w:val="17"/>
              </w:rPr>
              <w:t>SIFEN_MODE</w:t>
            </w:r>
          </w:p>
        </w:tc>
        <w:tc>
          <w:tcPr>
            <w:tcW w:type="dxa" w:w="5329"/>
          </w:tcPr>
          <w:p>
            <w:pPr>
              <w:spacing w:after="0" w:before="0" w:line="259" w:lineRule="auto"/>
            </w:pPr>
            <w:r>
              <w:rPr>
                <w:sz w:val="19"/>
              </w:rPr>
              <w:t xml:space="preserve">Elige entre </w:t>
            </w:r>
            <w:r>
              <w:rPr>
                <w:rFonts w:ascii="Consolas" w:hAnsi="Consolas"/>
                <w:color w:val="A31515"/>
                <w:sz w:val="19"/>
              </w:rPr>
              <w:t>mock</w:t>
            </w:r>
            <w:r>
              <w:rPr>
                <w:sz w:val="19"/>
              </w:rPr>
              <w:t xml:space="preserve">, </w:t>
            </w:r>
            <w:r>
              <w:rPr>
                <w:rFonts w:ascii="Consolas" w:hAnsi="Consolas"/>
                <w:color w:val="A31515"/>
                <w:sz w:val="19"/>
              </w:rPr>
              <w:t>test</w:t>
            </w:r>
            <w:r>
              <w:rPr>
                <w:sz w:val="19"/>
              </w:rPr>
              <w:t xml:space="preserve"> y </w:t>
            </w:r>
            <w:r>
              <w:rPr>
                <w:rFonts w:ascii="Consolas" w:hAnsi="Consolas"/>
                <w:color w:val="A31515"/>
                <w:sz w:val="19"/>
              </w:rPr>
              <w:t>prod</w:t>
            </w:r>
            <w:r>
              <w:rPr>
                <w:sz w:val="19"/>
              </w:rPr>
              <w:t>. Ver el capítulo 7.</w:t>
            </w:r>
          </w:p>
        </w:tc>
      </w:tr>
      <w:tr>
        <w:tc>
          <w:tcPr>
            <w:tcW w:type="dxa" w:w="1701"/>
            <w:shd w:val="clear" w:color="auto" w:fill="F7F9FC"/>
          </w:tcPr>
          <w:p>
            <w:pPr>
              <w:spacing w:after="0" w:before="0" w:line="259" w:lineRule="auto"/>
            </w:pPr>
            <w:r>
              <w:rPr>
                <w:sz w:val="19"/>
              </w:rPr>
              <w:t>Certificado</w:t>
            </w:r>
          </w:p>
        </w:tc>
        <w:tc>
          <w:tcPr>
            <w:tcW w:type="dxa" w:w="2608"/>
            <w:shd w:val="clear" w:color="auto" w:fill="F7F9FC"/>
          </w:tcPr>
          <w:p>
            <w:pPr>
              <w:spacing w:after="0" w:before="0" w:line="259" w:lineRule="auto"/>
            </w:pPr>
            <w:r>
              <w:rPr>
                <w:rFonts w:ascii="Consolas" w:hAnsi="Consolas"/>
                <w:sz w:val="17"/>
              </w:rPr>
              <w:t>SIFEN_CERT_</w:t>
            </w:r>
            <w:r>
              <w:rPr>
                <w:rFonts w:ascii="Consolas" w:hAnsi="Consolas"/>
                <w:i/>
                <w:sz w:val="17"/>
              </w:rPr>
              <w:br/>
              <w:t>SIFEN_PRIVATE_KEY_</w:t>
            </w:r>
          </w:p>
        </w:tc>
        <w:tc>
          <w:tcPr>
            <w:tcW w:type="dxa" w:w="5329"/>
            <w:shd w:val="clear" w:color="auto" w:fill="F7F9FC"/>
          </w:tcPr>
          <w:p>
            <w:pPr>
              <w:spacing w:after="0" w:before="0" w:line="259" w:lineRule="auto"/>
            </w:pPr>
            <w:r>
              <w:rPr>
                <w:sz w:val="19"/>
              </w:rPr>
              <w:t xml:space="preserve">Ubicación y contraseña del certificado digital. Solo se usa en modo </w:t>
            </w:r>
            <w:r>
              <w:rPr>
                <w:rFonts w:ascii="Consolas" w:hAnsi="Consolas"/>
                <w:color w:val="A31515"/>
                <w:sz w:val="19"/>
              </w:rPr>
              <w:t>test</w:t>
            </w:r>
            <w:r>
              <w:rPr>
                <w:sz w:val="19"/>
              </w:rPr>
              <w:t xml:space="preserve"> y </w:t>
            </w:r>
            <w:r>
              <w:rPr>
                <w:rFonts w:ascii="Consolas" w:hAnsi="Consolas"/>
                <w:color w:val="A31515"/>
                <w:sz w:val="19"/>
              </w:rPr>
              <w:t>prod</w:t>
            </w:r>
            <w:r>
              <w:rPr>
                <w:sz w:val="19"/>
              </w:rPr>
              <w:t>.</w:t>
            </w:r>
          </w:p>
        </w:tc>
      </w:tr>
      <w:tr>
        <w:tc>
          <w:tcPr>
            <w:tcW w:type="dxa" w:w="1701"/>
          </w:tcPr>
          <w:p>
            <w:pPr>
              <w:spacing w:after="0" w:before="0" w:line="259" w:lineRule="auto"/>
            </w:pPr>
            <w:r>
              <w:rPr>
                <w:sz w:val="19"/>
              </w:rPr>
              <w:t>Web services</w:t>
            </w:r>
          </w:p>
        </w:tc>
        <w:tc>
          <w:tcPr>
            <w:tcW w:type="dxa" w:w="2608"/>
          </w:tcPr>
          <w:p>
            <w:pPr>
              <w:spacing w:after="0" w:before="0" w:line="259" w:lineRule="auto"/>
            </w:pPr>
            <w:r>
              <w:rPr>
                <w:rFonts w:ascii="Consolas" w:hAnsi="Consolas"/>
                <w:sz w:val="17"/>
              </w:rPr>
              <w:t>SIFEN_URL_*</w:t>
            </w:r>
          </w:p>
        </w:tc>
        <w:tc>
          <w:tcPr>
            <w:tcW w:type="dxa" w:w="5329"/>
          </w:tcPr>
          <w:p>
            <w:pPr>
              <w:spacing w:after="0" w:before="0" w:line="259" w:lineRule="auto"/>
            </w:pPr>
            <w:r>
              <w:rPr>
                <w:sz w:val="19"/>
              </w:rPr>
              <w:t>Direcciones de los servicios de recepción y consulta de la DNIT.</w:t>
            </w:r>
          </w:p>
        </w:tc>
      </w:tr>
      <w:tr>
        <w:tc>
          <w:tcPr>
            <w:tcW w:type="dxa" w:w="1701"/>
            <w:shd w:val="clear" w:color="auto" w:fill="F7F9FC"/>
          </w:tcPr>
          <w:p>
            <w:pPr>
              <w:spacing w:after="0" w:before="0" w:line="259" w:lineRule="auto"/>
            </w:pPr>
            <w:r>
              <w:rPr>
                <w:sz w:val="19"/>
              </w:rPr>
              <w:t>Endpoint HTTP</w:t>
            </w:r>
          </w:p>
        </w:tc>
        <w:tc>
          <w:tcPr>
            <w:tcW w:type="dxa" w:w="2608"/>
            <w:shd w:val="clear" w:color="auto" w:fill="F7F9FC"/>
          </w:tcPr>
          <w:p>
            <w:pPr>
              <w:spacing w:after="0" w:before="0" w:line="259" w:lineRule="auto"/>
            </w:pPr>
            <w:r>
              <w:rPr>
                <w:rFonts w:ascii="Consolas" w:hAnsi="Consolas"/>
                <w:sz w:val="17"/>
              </w:rPr>
              <w:t>APP_URL, SIFEN_API_TOKEN</w:t>
            </w:r>
          </w:p>
        </w:tc>
        <w:tc>
          <w:tcPr>
            <w:tcW w:type="dxa" w:w="5329"/>
            <w:shd w:val="clear" w:color="auto" w:fill="F7F9FC"/>
          </w:tcPr>
          <w:p>
            <w:pPr>
              <w:spacing w:after="0" w:before="0" w:line="259" w:lineRule="auto"/>
            </w:pPr>
            <w:r>
              <w:rPr>
                <w:sz w:val="19"/>
              </w:rPr>
              <w:t xml:space="preserve">URL pública donde queda publicada la carpeta </w:t>
            </w:r>
            <w:r>
              <w:rPr>
                <w:rFonts w:ascii="Consolas" w:hAnsi="Consolas"/>
                <w:color w:val="A31515"/>
                <w:sz w:val="19"/>
              </w:rPr>
              <w:t>public/</w:t>
            </w:r>
            <w:r>
              <w:rPr>
                <w:sz w:val="19"/>
              </w:rPr>
              <w:t xml:space="preserve"> y token que protege la API.</w:t>
            </w:r>
          </w:p>
        </w:tc>
      </w:tr>
      <w:tr>
        <w:tc>
          <w:tcPr>
            <w:tcW w:type="dxa" w:w="1701"/>
          </w:tcPr>
          <w:p>
            <w:pPr>
              <w:spacing w:after="0" w:before="0" w:line="259" w:lineRule="auto"/>
            </w:pPr>
            <w:r>
              <w:rPr>
                <w:sz w:val="19"/>
              </w:rPr>
              <w:t>Correo</w:t>
            </w:r>
          </w:p>
        </w:tc>
        <w:tc>
          <w:tcPr>
            <w:tcW w:type="dxa" w:w="2608"/>
          </w:tcPr>
          <w:p>
            <w:pPr>
              <w:spacing w:after="0" w:before="0" w:line="259" w:lineRule="auto"/>
            </w:pPr>
            <w:r>
              <w:rPr>
                <w:rFonts w:ascii="Consolas" w:hAnsi="Consolas"/>
                <w:sz w:val="17"/>
              </w:rPr>
              <w:t>MAIL_*</w:t>
            </w:r>
          </w:p>
        </w:tc>
        <w:tc>
          <w:tcPr>
            <w:tcW w:type="dxa" w:w="5329"/>
          </w:tcPr>
          <w:p>
            <w:pPr>
              <w:spacing w:after="0" w:before="0" w:line="259" w:lineRule="auto"/>
            </w:pPr>
            <w:r>
              <w:rPr>
                <w:sz w:val="19"/>
              </w:rPr>
              <w:t>Servidor SMTP y remitente con el que se envía el comprobante al cliente.</w:t>
            </w:r>
          </w:p>
        </w:tc>
      </w:tr>
    </w:tbl>
    <w:p>
      <w:pPr>
        <w:spacing w:after="80" w:before="0"/>
      </w:pPr>
    </w:p>
    <w:p>
      <w:pPr>
        <w:pBdr>
          <w:top w:val="single" w:sz="4" w:space="6" w:color="EDF7ED"/>
          <w:left w:val="single" w:sz="18" w:space="8" w:color="4CAF50"/>
          <w:bottom w:val="single" w:sz="4" w:space="6" w:color="EDF7ED"/>
          <w:right w:val="single" w:sz="4" w:space="6" w:color="EDF7ED"/>
        </w:pBdr>
        <w:shd w:val="clear" w:color="auto" w:fill="EDF7ED"/>
        <w:spacing w:before="160" w:after="200" w:line="276" w:lineRule="auto"/>
        <w:ind w:left="227" w:right="170"/>
      </w:pPr>
      <w:r>
        <w:rPr>
          <w:b/>
          <w:color w:val="1E5B22"/>
        </w:rPr>
        <w:t xml:space="preserve">SUGERENCIA  </w:t>
      </w:r>
      <w:r>
        <w:t xml:space="preserve">si </w:t>
      </w:r>
      <w:r>
        <w:rPr>
          <w:rFonts w:ascii="Consolas" w:hAnsi="Consolas"/>
          <w:color w:val="A31515"/>
          <w:sz w:val="19"/>
        </w:rPr>
        <w:t>MAIL_FROM_EMAIL</w:t>
      </w:r>
      <w:r>
        <w:t xml:space="preserve"> se deja vacío, el envío de correos se omite en silencio y el resto del proceso continúa con normalidad. Es la forma recomendada de trabajar mientras se hacen pruebas.</w:t>
      </w:r>
    </w:p>
    <w:p>
      <w:pPr>
        <w:pStyle w:val="Heading1"/>
      </w:pPr>
      <w:r>
        <w:t>6. Formas de operar</w:t>
      </w:r>
    </w:p>
    <w:p>
      <w:pPr>
        <w:spacing w:after="140"/>
      </w:pPr>
      <w:r>
        <w:t>El automatizador ofrece tres maneras de recibir trabajo. No son excluyentes: pueden convivir en la misma instalación y, de hecho, es habitual combinar el endpoint HTTP para la operación normal con el cron como red de contención.</w:t>
      </w:r>
    </w:p>
    <w:p>
      <w:pPr>
        <w:pStyle w:val="Heading2"/>
      </w:pPr>
      <w:r>
        <w:t>6.1. Comparación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val="clear" w:color="auto" w:fill="DCE6F1"/>
          </w:tcPr>
          <w:p>
            <w:pPr>
              <w:spacing w:after="0" w:before="0" w:line="259" w:lineRule="auto"/>
            </w:pPr>
            <w:r>
              <w:rPr>
                <w:b/>
                <w:color w:val="1F4E79"/>
                <w:sz w:val="19"/>
              </w:rPr>
              <w:t>Modalidad</w:t>
            </w:r>
          </w:p>
        </w:tc>
        <w:tc>
          <w:tcPr>
            <w:tcW w:type="dxa" w:w="2381"/>
            <w:shd w:val="clear" w:color="auto" w:fill="DCE6F1"/>
          </w:tcPr>
          <w:p>
            <w:pPr>
              <w:spacing w:after="0" w:before="0" w:line="259" w:lineRule="auto"/>
            </w:pPr>
            <w:r>
              <w:rPr>
                <w:b/>
                <w:color w:val="1F4E79"/>
                <w:sz w:val="19"/>
              </w:rPr>
              <w:t>Cómo recibe el trabajo</w:t>
            </w:r>
          </w:p>
        </w:tc>
        <w:tc>
          <w:tcPr>
            <w:tcW w:type="dxa" w:w="3061"/>
            <w:shd w:val="clear" w:color="auto" w:fill="DCE6F1"/>
          </w:tcPr>
          <w:p>
            <w:pPr>
              <w:spacing w:after="0" w:before="0" w:line="259" w:lineRule="auto"/>
            </w:pPr>
            <w:r>
              <w:rPr>
                <w:b/>
                <w:color w:val="1F4E79"/>
                <w:sz w:val="19"/>
              </w:rPr>
              <w:t>Cuándo conviene</w:t>
            </w:r>
          </w:p>
        </w:tc>
        <w:tc>
          <w:tcPr>
            <w:tcW w:type="dxa" w:w="2494"/>
            <w:shd w:val="clear" w:color="auto" w:fill="DCE6F1"/>
          </w:tcPr>
          <w:p>
            <w:pPr>
              <w:spacing w:after="0" w:before="0" w:line="259" w:lineRule="auto"/>
            </w:pPr>
            <w:r>
              <w:rPr>
                <w:b/>
                <w:color w:val="1F4E79"/>
                <w:sz w:val="19"/>
              </w:rPr>
              <w:t>Latencia</w:t>
            </w:r>
          </w:p>
        </w:tc>
      </w:tr>
      <w:tr>
        <w:tc>
          <w:tcPr>
            <w:tcW w:type="dxa" w:w="1701"/>
          </w:tcPr>
          <w:p>
            <w:pPr>
              <w:spacing w:after="0" w:before="0" w:line="259" w:lineRule="auto"/>
            </w:pPr>
            <w:r>
              <w:rPr>
                <w:sz w:val="19"/>
              </w:rPr>
              <w:t>Endpoint HTTP</w:t>
            </w:r>
          </w:p>
        </w:tc>
        <w:tc>
          <w:tcPr>
            <w:tcW w:type="dxa" w:w="2381"/>
          </w:tcPr>
          <w:p>
            <w:pPr>
              <w:spacing w:after="0" w:before="0" w:line="259" w:lineRule="auto"/>
            </w:pPr>
            <w:r>
              <w:rPr>
                <w:sz w:val="19"/>
              </w:rPr>
              <w:t xml:space="preserve">El sistema externo hace un POST con el contenido del </w:t>
            </w:r>
            <w:r>
              <w:rPr>
                <w:rFonts w:ascii="Consolas" w:hAnsi="Consolas"/>
                <w:color w:val="A31515"/>
                <w:sz w:val="19"/>
              </w:rPr>
              <w:t>.txt</w:t>
            </w:r>
          </w:p>
        </w:tc>
        <w:tc>
          <w:tcPr>
            <w:tcW w:type="dxa" w:w="3061"/>
          </w:tcPr>
          <w:p>
            <w:pPr>
              <w:spacing w:after="0" w:before="0" w:line="259" w:lineRule="auto"/>
            </w:pPr>
            <w:r>
              <w:rPr>
                <w:sz w:val="19"/>
              </w:rPr>
              <w:t>Cuando el sistema de gestión necesita el CDC en el momento, para mostrarlo en pantalla o guardarlo en su base de datos</w:t>
            </w:r>
          </w:p>
        </w:tc>
        <w:tc>
          <w:tcPr>
            <w:tcW w:type="dxa" w:w="2494"/>
          </w:tcPr>
          <w:p>
            <w:pPr>
              <w:spacing w:after="0" w:before="0" w:line="259" w:lineRule="auto"/>
            </w:pPr>
            <w:r>
              <w:rPr>
                <w:sz w:val="19"/>
              </w:rPr>
              <w:t>Inmediata: responde con el resultado en la misma llamada</w:t>
            </w:r>
          </w:p>
        </w:tc>
      </w:tr>
      <w:tr>
        <w:tc>
          <w:tcPr>
            <w:tcW w:type="dxa" w:w="1701"/>
            <w:shd w:val="clear" w:color="auto" w:fill="F7F9FC"/>
          </w:tcPr>
          <w:p>
            <w:pPr>
              <w:spacing w:after="0" w:before="0" w:line="259" w:lineRule="auto"/>
            </w:pPr>
            <w:r>
              <w:rPr>
                <w:sz w:val="19"/>
              </w:rPr>
              <w:t>Cron</w:t>
            </w:r>
          </w:p>
        </w:tc>
        <w:tc>
          <w:tcPr>
            <w:tcW w:type="dxa" w:w="2381"/>
            <w:shd w:val="clear" w:color="auto" w:fill="F7F9FC"/>
          </w:tcPr>
          <w:p>
            <w:pPr>
              <w:spacing w:after="0" w:before="0" w:line="259" w:lineRule="auto"/>
            </w:pPr>
            <w:r>
              <w:rPr>
                <w:sz w:val="19"/>
              </w:rPr>
              <w:t xml:space="preserve">Lee periódicamente la carpeta </w:t>
            </w:r>
            <w:r>
              <w:rPr>
                <w:rFonts w:ascii="Consolas" w:hAnsi="Consolas"/>
                <w:color w:val="A31515"/>
                <w:sz w:val="19"/>
              </w:rPr>
              <w:t>entrada/</w:t>
            </w:r>
          </w:p>
        </w:tc>
        <w:tc>
          <w:tcPr>
            <w:tcW w:type="dxa" w:w="3061"/>
            <w:shd w:val="clear" w:color="auto" w:fill="F7F9FC"/>
          </w:tcPr>
          <w:p>
            <w:pPr>
              <w:spacing w:after="0" w:before="0" w:line="259" w:lineRule="auto"/>
            </w:pPr>
            <w:r>
              <w:rPr>
                <w:sz w:val="19"/>
              </w:rPr>
              <w:t>En hosting compartido, donde no se pueden dejar procesos corriendo. Es la opción más simple y robusta</w:t>
            </w:r>
          </w:p>
        </w:tc>
        <w:tc>
          <w:tcPr>
            <w:tcW w:type="dxa" w:w="2494"/>
            <w:shd w:val="clear" w:color="auto" w:fill="F7F9FC"/>
          </w:tcPr>
          <w:p>
            <w:pPr>
              <w:spacing w:after="0" w:before="0" w:line="259" w:lineRule="auto"/>
            </w:pPr>
            <w:r>
              <w:rPr>
                <w:sz w:val="19"/>
              </w:rPr>
              <w:t>Hasta un minuto, según la frecuencia del cron</w:t>
            </w:r>
          </w:p>
        </w:tc>
      </w:tr>
      <w:tr>
        <w:tc>
          <w:tcPr>
            <w:tcW w:type="dxa" w:w="1701"/>
          </w:tcPr>
          <w:p>
            <w:pPr>
              <w:spacing w:after="0" w:before="0" w:line="259" w:lineRule="auto"/>
            </w:pPr>
            <w:r>
              <w:rPr>
                <w:sz w:val="19"/>
              </w:rPr>
              <w:t>Watcher</w:t>
            </w:r>
          </w:p>
        </w:tc>
        <w:tc>
          <w:tcPr>
            <w:tcW w:type="dxa" w:w="2381"/>
          </w:tcPr>
          <w:p>
            <w:pPr>
              <w:spacing w:after="0" w:before="0" w:line="259" w:lineRule="auto"/>
            </w:pPr>
            <w:r>
              <w:rPr>
                <w:sz w:val="19"/>
              </w:rPr>
              <w:t xml:space="preserve">Proceso permanente que vigila </w:t>
            </w:r>
            <w:r>
              <w:rPr>
                <w:rFonts w:ascii="Consolas" w:hAnsi="Consolas"/>
                <w:color w:val="A31515"/>
                <w:sz w:val="19"/>
              </w:rPr>
              <w:t>entrada/</w:t>
            </w:r>
          </w:p>
        </w:tc>
        <w:tc>
          <w:tcPr>
            <w:tcW w:type="dxa" w:w="3061"/>
          </w:tcPr>
          <w:p>
            <w:pPr>
              <w:spacing w:after="0" w:before="0" w:line="259" w:lineRule="auto"/>
            </w:pPr>
            <w:r>
              <w:rPr>
                <w:sz w:val="19"/>
              </w:rPr>
              <w:t>En servidores propios o VPS, cuando se busca la reacción más rápida posible sin usar HTTP</w:t>
            </w:r>
          </w:p>
        </w:tc>
        <w:tc>
          <w:tcPr>
            <w:tcW w:type="dxa" w:w="2494"/>
          </w:tcPr>
          <w:p>
            <w:pPr>
              <w:spacing w:after="0" w:before="0" w:line="259" w:lineRule="auto"/>
            </w:pPr>
            <w:r>
              <w:rPr>
                <w:sz w:val="19"/>
              </w:rPr>
              <w:t>De uno a pocos segundos</w:t>
            </w:r>
          </w:p>
        </w:tc>
      </w:tr>
    </w:tbl>
    <w:p>
      <w:pPr>
        <w:spacing w:after="80" w:before="0"/>
      </w:pPr>
    </w:p>
    <w:p>
      <w:pPr>
        <w:pStyle w:val="Heading2"/>
      </w:pPr>
      <w:r>
        <w:t>6.2. Endpoint HTTP</w:t>
      </w:r>
    </w:p>
    <w:p>
      <w:pPr>
        <w:spacing w:after="140"/>
      </w:pPr>
      <w:r>
        <w:t xml:space="preserve">Es la modalidad recomendada cuando el sistema externo puede hacer llamadas HTTP. El automatizador queda publicado como un servicio que recibe el contenido del archivo, procesa las facturas en el acto y devuelve un JSON con el CDC, el estado y los enlaces de descarga del XML y del PDF. El procedimiento completo de publicación, autenticación y consumo se detalla en el documento </w:t>
      </w:r>
      <w:r>
        <w:rPr>
          <w:i/>
        </w:rPr>
        <w:t>Despliegue en cPanel</w:t>
      </w:r>
      <w:r>
        <w:t>.</w:t>
      </w:r>
    </w:p>
    <w:p>
      <w:pPr>
        <w:pStyle w:val="Heading2"/>
      </w:pPr>
      <w:r>
        <w:t>6.3. Corrida única mediante cron</w:t>
      </w:r>
    </w:p>
    <w:p>
      <w:pPr>
        <w:spacing w:after="140"/>
      </w:pPr>
      <w:r>
        <w:t>El script de corrida única procesa todos los archivos que encuentre en la carpeta de entrada y termina. No queda residente en memoria, por lo que es la opción natural para un hosting compartido. Programado cada minuto, el retraso máximo es de sesenta segundos.</w:t>
      </w:r>
    </w:p>
    <w:p>
      <w:pPr>
        <w:keepNext/>
        <w:spacing w:before="120" w:after="40"/>
      </w:pPr>
      <w:r>
        <w:rPr>
          <w:b/>
          <w:color w:val="595959"/>
          <w:sz w:val="18"/>
        </w:rPr>
        <w:t>Entrada del crontab (una sola línea)</w:t>
      </w:r>
    </w:p>
    <w:p>
      <w:pPr>
        <w:keepNext w:val="0"/>
        <w:pBdr>
          <w:left w:val="single" w:sz="12" w:space="6" w:color="2E74B5"/>
        </w:pBdr>
        <w:shd w:val="clear" w:color="auto" w:fill="F2F4F7"/>
        <w:spacing w:before="80" w:after="160" w:line="240" w:lineRule="auto"/>
        <w:ind w:left="227" w:right="113"/>
      </w:pPr>
      <w:r>
        <w:rPr>
          <w:rFonts w:ascii="Consolas" w:hAnsi="Consolas"/>
          <w:sz w:val="17"/>
        </w:rPr>
        <w:t>* * * * * /usr/bin/php /home/usuario/sifen_automatizador/bin/procesar.php &gt;&gt; /home/usuario/sifen_automatizador/logs/cron.log 2&gt;&amp;1</w:t>
      </w:r>
    </w:p>
    <w:p>
      <w:pPr>
        <w:spacing w:after="140"/>
      </w:pPr>
      <w:r>
        <w:t xml:space="preserve">El script devuelve código de salida </w:t>
      </w:r>
      <w:r>
        <w:rPr>
          <w:rFonts w:ascii="Consolas" w:hAnsi="Consolas"/>
          <w:color w:val="A31515"/>
          <w:sz w:val="19"/>
        </w:rPr>
        <w:t>0</w:t>
      </w:r>
      <w:r>
        <w:t xml:space="preserve"> si todos los archivos se procesaron sin error y </w:t>
      </w:r>
      <w:r>
        <w:rPr>
          <w:rFonts w:ascii="Consolas" w:hAnsi="Consolas"/>
          <w:color w:val="A31515"/>
          <w:sz w:val="19"/>
        </w:rPr>
        <w:t>1</w:t>
      </w:r>
      <w:r>
        <w:t xml:space="preserve"> si al menos uno falló, lo que permite encadenarlo con herramientas de monitoreo.</w:t>
      </w:r>
    </w:p>
    <w:p>
      <w:pPr>
        <w:pStyle w:val="Heading2"/>
      </w:pPr>
      <w:r>
        <w:t>6.4. Watcher permanente</w:t>
      </w:r>
    </w:p>
    <w:p>
      <w:pPr>
        <w:spacing w:after="140"/>
      </w:pPr>
      <w:r>
        <w:t>El watcher es un proceso que se queda vivo revisando la carpeta de entrada cada pocos segundos. Antes de tomar un archivo comprueba dos veces su tamaño, con una breve pausa entre ambas mediciones: si el tamaño cambió, entiende que todavía se está escribiendo y lo deja para la vuelta siguiente. Así se evita procesar archivos incompletos. También atiende las señales de interrupción y de terminación para cerrarse de forma ordenada.</w:t>
      </w:r>
    </w:p>
    <w:p>
      <w:pPr>
        <w:keepNext/>
        <w:pBdr>
          <w:left w:val="single" w:sz="12" w:space="6" w:color="2E74B5"/>
        </w:pBdr>
        <w:shd w:val="clear" w:color="auto" w:fill="F2F4F7"/>
        <w:spacing w:before="80" w:after="0" w:line="240" w:lineRule="auto"/>
        <w:ind w:left="227" w:right="113"/>
      </w:pPr>
      <w:r>
        <w:rPr>
          <w:rFonts w:ascii="Consolas" w:hAnsi="Consolas"/>
          <w:sz w:val="17"/>
        </w:rPr>
        <w:t>php bin/vigilar.php          # revisa cada 1 segundo (valor por defecto)</w:t>
      </w:r>
    </w:p>
    <w:p>
      <w:pPr>
        <w:keepNext/>
        <w:pBdr>
          <w:left w:val="single" w:sz="12" w:space="6" w:color="2E74B5"/>
        </w:pBdr>
        <w:shd w:val="clear" w:color="auto" w:fill="F2F4F7"/>
        <w:spacing w:before="0" w:after="0" w:line="240" w:lineRule="auto"/>
        <w:ind w:left="227" w:right="113"/>
      </w:pPr>
      <w:r>
        <w:rPr>
          <w:rFonts w:ascii="Consolas" w:hAnsi="Consolas"/>
          <w:sz w:val="17"/>
        </w:rPr>
        <w:t>php bin/vigilar.php 5        # revisa cada 5 segundos</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w:t>
      </w:r>
    </w:p>
    <w:p>
      <w:pPr>
        <w:keepNext/>
        <w:pBdr>
          <w:left w:val="single" w:sz="12" w:space="6" w:color="2E74B5"/>
        </w:pBdr>
        <w:shd w:val="clear" w:color="auto" w:fill="F2F4F7"/>
        <w:spacing w:before="0" w:after="0" w:line="240" w:lineRule="auto"/>
        <w:ind w:left="227" w:right="113"/>
      </w:pPr>
      <w:r>
        <w:rPr>
          <w:rFonts w:ascii="Consolas" w:hAnsi="Consolas"/>
          <w:sz w:val="17"/>
        </w:rPr>
        <w:t>bash bin/arrancar.sh         # lo deja corriendo en segundo plano y guarda el PID</w:t>
      </w:r>
    </w:p>
    <w:p>
      <w:pPr>
        <w:keepNext w:val="0"/>
        <w:pBdr>
          <w:left w:val="single" w:sz="12" w:space="6" w:color="2E74B5"/>
        </w:pBdr>
        <w:shd w:val="clear" w:color="auto" w:fill="F2F4F7"/>
        <w:spacing w:before="0" w:after="160" w:line="240" w:lineRule="auto"/>
        <w:ind w:left="227" w:right="113"/>
      </w:pPr>
      <w:r>
        <w:rPr>
          <w:rFonts w:ascii="Consolas" w:hAnsi="Consolas"/>
          <w:sz w:val="17"/>
        </w:rPr>
        <w:t>bash bin/detener.sh          # lo detiene usando ese PID</w:t>
      </w:r>
    </w:p>
    <w:p>
      <w:pPr>
        <w:pBdr>
          <w:top w:val="single" w:sz="4" w:space="6" w:color="FFF7E6"/>
          <w:left w:val="single" w:sz="18" w:space="8" w:color="E0A500"/>
          <w:bottom w:val="single" w:sz="4" w:space="6" w:color="FFF7E6"/>
          <w:right w:val="single" w:sz="4" w:space="6" w:color="FFF7E6"/>
        </w:pBdr>
        <w:shd w:val="clear" w:color="auto" w:fill="FFF7E6"/>
        <w:spacing w:before="160" w:after="200" w:line="276" w:lineRule="auto"/>
        <w:ind w:left="227" w:right="170"/>
      </w:pPr>
      <w:r>
        <w:rPr>
          <w:b/>
          <w:color w:val="7A4F00"/>
        </w:rPr>
        <w:t xml:space="preserve">ATENCIÓN  </w:t>
      </w:r>
      <w:r>
        <w:t xml:space="preserve">no conviene ejecutar el watcher y el cron sobre la misma carpeta de entrada al mismo tiempo. Aunque el renombrado a </w:t>
      </w:r>
      <w:r>
        <w:rPr>
          <w:rFonts w:ascii="Consolas" w:hAnsi="Consolas"/>
          <w:color w:val="A31515"/>
          <w:sz w:val="19"/>
        </w:rPr>
        <w:t>.procesando</w:t>
      </w:r>
      <w:r>
        <w:t xml:space="preserve"> actúa como bloqueo y evita la doble emisión, tener dos procesos compitiendo complica la lectura de la bitácora.</w:t>
      </w:r>
    </w:p>
    <w:p>
      <w:pPr>
        <w:pStyle w:val="Heading1"/>
      </w:pPr>
      <w:r>
        <w:t>7. Modos de emisión</w:t>
      </w:r>
    </w:p>
    <w:p>
      <w:pPr>
        <w:spacing w:after="140"/>
      </w:pPr>
      <w:r>
        <w:t>El modo de emisión determina qué se hace con el documento una vez firmado. Se controla con una sola variable de configuración y es el interruptor más importante del sistema: separa las pruebas de la operación real.</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247"/>
            <w:shd w:val="clear" w:color="auto" w:fill="DCE6F1"/>
          </w:tcPr>
          <w:p>
            <w:pPr>
              <w:spacing w:after="0" w:before="0" w:line="259" w:lineRule="auto"/>
            </w:pPr>
            <w:r>
              <w:rPr>
                <w:b/>
                <w:color w:val="1F4E79"/>
                <w:sz w:val="19"/>
              </w:rPr>
              <w:t>Modo</w:t>
            </w:r>
          </w:p>
        </w:tc>
        <w:tc>
          <w:tcPr>
            <w:tcW w:type="dxa" w:w="4195"/>
            <w:shd w:val="clear" w:color="auto" w:fill="DCE6F1"/>
          </w:tcPr>
          <w:p>
            <w:pPr>
              <w:spacing w:after="0" w:before="0" w:line="259" w:lineRule="auto"/>
            </w:pPr>
            <w:r>
              <w:rPr>
                <w:b/>
                <w:color w:val="1F4E79"/>
                <w:sz w:val="19"/>
              </w:rPr>
              <w:t>Comportamiento</w:t>
            </w:r>
          </w:p>
        </w:tc>
        <w:tc>
          <w:tcPr>
            <w:tcW w:type="dxa" w:w="4195"/>
            <w:shd w:val="clear" w:color="auto" w:fill="DCE6F1"/>
          </w:tcPr>
          <w:p>
            <w:pPr>
              <w:spacing w:after="0" w:before="0" w:line="259" w:lineRule="auto"/>
            </w:pPr>
            <w:r>
              <w:rPr>
                <w:b/>
                <w:color w:val="1F4E79"/>
                <w:sz w:val="19"/>
              </w:rPr>
              <w:t>Requisitos y advertencias</w:t>
            </w:r>
          </w:p>
        </w:tc>
      </w:tr>
      <w:tr>
        <w:tc>
          <w:tcPr>
            <w:tcW w:type="dxa" w:w="1247"/>
          </w:tcPr>
          <w:p>
            <w:pPr>
              <w:spacing w:after="0" w:before="0" w:line="259" w:lineRule="auto"/>
            </w:pPr>
            <w:r>
              <w:rPr>
                <w:rFonts w:ascii="Consolas" w:hAnsi="Consolas"/>
                <w:sz w:val="17"/>
              </w:rPr>
              <w:t>mock</w:t>
            </w:r>
          </w:p>
        </w:tc>
        <w:tc>
          <w:tcPr>
            <w:tcW w:type="dxa" w:w="4195"/>
          </w:tcPr>
          <w:p>
            <w:pPr>
              <w:spacing w:after="0" w:before="0" w:line="259" w:lineRule="auto"/>
            </w:pPr>
            <w:r>
              <w:rPr>
                <w:sz w:val="19"/>
              </w:rPr>
              <w:t>Genera el CDC, construye el XML, lo firma con un certificado de demostración, calcula el QR, produce el KuDE y da el documento por aprobado localmente. Nunca sale de la máquina.</w:t>
            </w:r>
          </w:p>
        </w:tc>
        <w:tc>
          <w:tcPr>
            <w:tcW w:type="dxa" w:w="4195"/>
          </w:tcPr>
          <w:p>
            <w:pPr>
              <w:spacing w:after="0" w:before="0" w:line="259" w:lineRule="auto"/>
            </w:pPr>
            <w:r>
              <w:rPr>
                <w:b/>
                <w:sz w:val="19"/>
              </w:rPr>
              <w:t>Sin valor fiscal.</w:t>
            </w:r>
            <w:r>
              <w:rPr>
                <w:sz w:val="19"/>
              </w:rPr>
              <w:t xml:space="preserve"> No requiere certificado real ni conexión con la DNIT. Es el modo obligatorio para la primera prueba y para desarrollar la integración.</w:t>
            </w:r>
          </w:p>
        </w:tc>
      </w:tr>
      <w:tr>
        <w:tc>
          <w:tcPr>
            <w:tcW w:type="dxa" w:w="1247"/>
            <w:shd w:val="clear" w:color="auto" w:fill="F7F9FC"/>
          </w:tcPr>
          <w:p>
            <w:pPr>
              <w:spacing w:after="0" w:before="0" w:line="259" w:lineRule="auto"/>
            </w:pPr>
            <w:r>
              <w:rPr>
                <w:rFonts w:ascii="Consolas" w:hAnsi="Consolas"/>
                <w:sz w:val="17"/>
              </w:rPr>
              <w:t>test</w:t>
            </w:r>
          </w:p>
        </w:tc>
        <w:tc>
          <w:tcPr>
            <w:tcW w:type="dxa" w:w="4195"/>
            <w:shd w:val="clear" w:color="auto" w:fill="F7F9FC"/>
          </w:tcPr>
          <w:p>
            <w:pPr>
              <w:spacing w:after="0" w:before="0" w:line="259" w:lineRule="auto"/>
            </w:pPr>
            <w:r>
              <w:rPr>
                <w:sz w:val="19"/>
              </w:rPr>
              <w:t>Envía el documento al ambiente de pruebas de la DNIT y espera su respuesta real, incluidos los rechazos por validación.</w:t>
            </w:r>
          </w:p>
        </w:tc>
        <w:tc>
          <w:tcPr>
            <w:tcW w:type="dxa" w:w="4195"/>
            <w:shd w:val="clear" w:color="auto" w:fill="F7F9FC"/>
          </w:tcPr>
          <w:p>
            <w:pPr>
              <w:spacing w:after="0" w:before="0" w:line="259" w:lineRule="auto"/>
            </w:pPr>
            <w:r>
              <w:rPr>
                <w:sz w:val="19"/>
              </w:rPr>
              <w:t>Requiere certificado digital y las URL del ambiente de pruebas. Sirve para verificar que los datos del emisor y los catálogos son aceptados antes de pasar a producción.</w:t>
            </w:r>
          </w:p>
        </w:tc>
      </w:tr>
      <w:tr>
        <w:tc>
          <w:tcPr>
            <w:tcW w:type="dxa" w:w="1247"/>
          </w:tcPr>
          <w:p>
            <w:pPr>
              <w:spacing w:after="0" w:before="0" w:line="259" w:lineRule="auto"/>
            </w:pPr>
            <w:r>
              <w:rPr>
                <w:rFonts w:ascii="Consolas" w:hAnsi="Consolas"/>
                <w:sz w:val="17"/>
              </w:rPr>
              <w:t>prod</w:t>
            </w:r>
          </w:p>
        </w:tc>
        <w:tc>
          <w:tcPr>
            <w:tcW w:type="dxa" w:w="4195"/>
          </w:tcPr>
          <w:p>
            <w:pPr>
              <w:spacing w:after="0" w:before="0" w:line="259" w:lineRule="auto"/>
            </w:pPr>
            <w:r>
              <w:rPr>
                <w:sz w:val="19"/>
              </w:rPr>
              <w:t>Envía el documento al ambiente productivo de la DNIT. Los documentos aprobados tienen plena validez fiscal.</w:t>
            </w:r>
          </w:p>
        </w:tc>
        <w:tc>
          <w:tcPr>
            <w:tcW w:type="dxa" w:w="4195"/>
          </w:tcPr>
          <w:p>
            <w:pPr>
              <w:spacing w:after="0" w:before="0" w:line="259" w:lineRule="auto"/>
            </w:pPr>
            <w:r>
              <w:rPr>
                <w:sz w:val="19"/>
              </w:rPr>
              <w:t>Requiere certificado habilitado, timbrado vigente y CSC de producción. Todo lo emitido aquí es real: un error se corrige con una nota de crédito o un evento de cancelación, nunca borrando archivos.</w:t>
            </w:r>
          </w:p>
        </w:tc>
      </w:tr>
    </w:tbl>
    <w:p>
      <w:pPr>
        <w:spacing w:after="80" w:before="0"/>
      </w:pPr>
    </w:p>
    <w:p>
      <w:pPr>
        <w:pBdr>
          <w:top w:val="single" w:sz="4" w:space="6" w:color="EDF7ED"/>
          <w:left w:val="single" w:sz="18" w:space="8" w:color="4CAF50"/>
          <w:bottom w:val="single" w:sz="4" w:space="6" w:color="EDF7ED"/>
          <w:right w:val="single" w:sz="4" w:space="6" w:color="EDF7ED"/>
        </w:pBdr>
        <w:shd w:val="clear" w:color="auto" w:fill="EDF7ED"/>
        <w:spacing w:before="160" w:after="200" w:line="276" w:lineRule="auto"/>
        <w:ind w:left="227" w:right="170"/>
      </w:pPr>
      <w:r>
        <w:rPr>
          <w:b/>
          <w:color w:val="1E5B22"/>
        </w:rPr>
        <w:t xml:space="preserve">RECOMENDACIÓN  </w:t>
      </w:r>
      <w:r>
        <w:t xml:space="preserve">recorrer siempre la secuencia </w:t>
      </w:r>
      <w:r>
        <w:rPr>
          <w:b/>
        </w:rPr>
        <w:t>mock → test → prod</w:t>
      </w:r>
      <w:r>
        <w:t>. Pasar a producción sin haber aprobado al menos una factura en el ambiente de pruebas es la causa más frecuente de rechazos masivos en la puesta en marcha.</w:t>
      </w:r>
    </w:p>
    <w:p>
      <w:pPr>
        <w:pStyle w:val="Heading1"/>
      </w:pPr>
      <w:r>
        <w:t>8. El archivo de entrada</w:t>
      </w:r>
    </w:p>
    <w:p>
      <w:pPr>
        <w:spacing w:after="140"/>
      </w:pPr>
      <w:r>
        <w:t xml:space="preserve">El formato del archivo de texto se documenta en detalle en </w:t>
      </w:r>
      <w:r>
        <w:rPr>
          <w:i/>
        </w:rPr>
        <w:t>Formato del archivo TXT</w:t>
      </w:r>
      <w:r>
        <w:t>, que incluye la descripción campo por campo, los valores admitidos y el catálogo completo de mensajes de error. A modo de referencia rápida, esta es su estructura:</w:t>
      </w:r>
    </w:p>
    <w:p>
      <w:pPr>
        <w:keepNext/>
        <w:pBdr>
          <w:left w:val="single" w:sz="12" w:space="6" w:color="2E74B5"/>
        </w:pBdr>
        <w:shd w:val="clear" w:color="auto" w:fill="F2F4F7"/>
        <w:spacing w:before="80" w:after="0" w:line="240" w:lineRule="auto"/>
        <w:ind w:left="227" w:right="113"/>
      </w:pPr>
      <w:r>
        <w:rPr>
          <w:rFonts w:ascii="Consolas" w:hAnsi="Consolas"/>
          <w:sz w:val="17"/>
        </w:rPr>
        <w:t>FAC|establecimiento|punto|numero|fecha|condicion|moneda</w:t>
      </w:r>
    </w:p>
    <w:p>
      <w:pPr>
        <w:keepNext/>
        <w:pBdr>
          <w:left w:val="single" w:sz="12" w:space="6" w:color="2E74B5"/>
        </w:pBdr>
        <w:shd w:val="clear" w:color="auto" w:fill="F2F4F7"/>
        <w:spacing w:before="0" w:after="0" w:line="240" w:lineRule="auto"/>
        <w:ind w:left="227" w:right="113"/>
      </w:pPr>
      <w:r>
        <w:rPr>
          <w:rFonts w:ascii="Consolas" w:hAnsi="Consolas"/>
          <w:sz w:val="17"/>
        </w:rPr>
        <w:t>CLI|tipo|documento|nombre|email|direccion|telefono</w:t>
      </w:r>
    </w:p>
    <w:p>
      <w:pPr>
        <w:keepNext/>
        <w:pBdr>
          <w:left w:val="single" w:sz="12" w:space="6" w:color="2E74B5"/>
        </w:pBdr>
        <w:shd w:val="clear" w:color="auto" w:fill="F2F4F7"/>
        <w:spacing w:before="0" w:after="0" w:line="240" w:lineRule="auto"/>
        <w:ind w:left="227" w:right="113"/>
      </w:pPr>
      <w:r>
        <w:rPr>
          <w:rFonts w:ascii="Consolas" w:hAnsi="Consolas"/>
          <w:sz w:val="17"/>
        </w:rPr>
        <w:t>ITM|codigo|descripcion|cantidad|precio_unitario|iva      &lt;- una linea por item</w:t>
      </w:r>
    </w:p>
    <w:p>
      <w:pPr>
        <w:keepNext w:val="0"/>
        <w:pBdr>
          <w:left w:val="single" w:sz="12" w:space="6" w:color="2E74B5"/>
        </w:pBdr>
        <w:shd w:val="clear" w:color="auto" w:fill="F2F4F7"/>
        <w:spacing w:before="0" w:after="160" w:line="240" w:lineRule="auto"/>
        <w:ind w:left="227" w:right="113"/>
      </w:pPr>
      <w:r>
        <w:rPr>
          <w:rFonts w:ascii="Consolas" w:hAnsi="Consolas"/>
          <w:sz w:val="17"/>
        </w:rPr>
        <w:t>===                                                      &lt;- separa una factura de la siguiente</w:t>
      </w:r>
    </w:p>
    <w:p>
      <w:pPr>
        <w:spacing w:after="140"/>
      </w:pPr>
      <w:r>
        <w:t>Tres tipos de línea bastan para emitir. El medio de pago es opcional: si no se indica ninguno y la operación es al contado, el sistema asigna efectivo por el total. Los importes tampoco se escriben, se calculan a partir de los ítems, lo que elimina de raíz los errores de digitación y las diferencias de redondeo entre el sistema externo y la factura electrónica.</w:t>
      </w:r>
    </w:p>
    <w:p>
      <w:pPr>
        <w:spacing w:after="140"/>
      </w:pPr>
      <w:r>
        <w:t xml:space="preserve">Los ejemplos completos y listos para usar se mantienen como archivos de texto plano dentro de la carpeta </w:t>
      </w:r>
      <w:r>
        <w:rPr>
          <w:rFonts w:ascii="Consolas" w:hAnsi="Consolas"/>
          <w:color w:val="A31515"/>
          <w:sz w:val="19"/>
        </w:rPr>
        <w:t>ejemplos/</w:t>
      </w:r>
      <w:r>
        <w:t xml:space="preserve">, de modo que puedan copiarse directamente a </w:t>
      </w:r>
      <w:r>
        <w:rPr>
          <w:rFonts w:ascii="Consolas" w:hAnsi="Consolas"/>
          <w:color w:val="A31515"/>
          <w:sz w:val="19"/>
        </w:rPr>
        <w:t>entrada/</w:t>
      </w:r>
      <w:r>
        <w:t xml:space="preserve"> sin ningún tipo de conversión.</w:t>
      </w:r>
    </w:p>
    <w:p>
      <w:pPr>
        <w:pStyle w:val="Heading1"/>
      </w:pPr>
      <w:r>
        <w:t>9. Resultados del procesamiento</w:t>
      </w:r>
    </w:p>
    <w:p>
      <w:pPr>
        <w:pStyle w:val="Heading2"/>
      </w:pPr>
      <w:r>
        <w:t>9.1. Archivos generados</w:t>
      </w:r>
    </w:p>
    <w:p>
      <w:pPr>
        <w:spacing w:after="140"/>
      </w:pPr>
      <w:r>
        <w:t>Por cada factura aprobada, el automatizador deja en la carpeta de salida dos archivos nombrados con el CDC, más un resumen por cada archivo de entrada procesado:</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721"/>
            <w:shd w:val="clear" w:color="auto" w:fill="DCE6F1"/>
          </w:tcPr>
          <w:p>
            <w:pPr>
              <w:spacing w:after="0" w:before="0" w:line="259" w:lineRule="auto"/>
            </w:pPr>
            <w:r>
              <w:rPr>
                <w:b/>
                <w:color w:val="1F4E79"/>
                <w:sz w:val="19"/>
              </w:rPr>
              <w:t>Archivo</w:t>
            </w:r>
          </w:p>
        </w:tc>
        <w:tc>
          <w:tcPr>
            <w:tcW w:type="dxa" w:w="6917"/>
            <w:shd w:val="clear" w:color="auto" w:fill="DCE6F1"/>
          </w:tcPr>
          <w:p>
            <w:pPr>
              <w:spacing w:after="0" w:before="0" w:line="259" w:lineRule="auto"/>
            </w:pPr>
            <w:r>
              <w:rPr>
                <w:b/>
                <w:color w:val="1F4E79"/>
                <w:sz w:val="19"/>
              </w:rPr>
              <w:t>Contenido</w:t>
            </w:r>
          </w:p>
        </w:tc>
      </w:tr>
      <w:tr>
        <w:tc>
          <w:tcPr>
            <w:tcW w:type="dxa" w:w="2721"/>
          </w:tcPr>
          <w:p>
            <w:pPr>
              <w:spacing w:after="0" w:before="0" w:line="259" w:lineRule="auto"/>
            </w:pPr>
            <w:r>
              <w:rPr>
                <w:rFonts w:ascii="Consolas" w:hAnsi="Consolas"/>
                <w:sz w:val="17"/>
              </w:rPr>
              <w:t>&lt;CDC&gt;.xml</w:t>
            </w:r>
          </w:p>
        </w:tc>
        <w:tc>
          <w:tcPr>
            <w:tcW w:type="dxa" w:w="6917"/>
          </w:tcPr>
          <w:p>
            <w:pPr>
              <w:spacing w:after="0" w:before="0" w:line="259" w:lineRule="auto"/>
            </w:pPr>
            <w:r>
              <w:rPr>
                <w:sz w:val="19"/>
              </w:rPr>
              <w:t>El documento electrónico firmado. Es el original con valor legal y el que debe conservarse durante el plazo que exige la normativa.</w:t>
            </w:r>
          </w:p>
        </w:tc>
      </w:tr>
      <w:tr>
        <w:tc>
          <w:tcPr>
            <w:tcW w:type="dxa" w:w="2721"/>
            <w:shd w:val="clear" w:color="auto" w:fill="F7F9FC"/>
          </w:tcPr>
          <w:p>
            <w:pPr>
              <w:spacing w:after="0" w:before="0" w:line="259" w:lineRule="auto"/>
            </w:pPr>
            <w:r>
              <w:rPr>
                <w:rFonts w:ascii="Consolas" w:hAnsi="Consolas"/>
                <w:sz w:val="17"/>
              </w:rPr>
              <w:t>&lt;CDC&gt;.pdf</w:t>
            </w:r>
          </w:p>
        </w:tc>
        <w:tc>
          <w:tcPr>
            <w:tcW w:type="dxa" w:w="6917"/>
            <w:shd w:val="clear" w:color="auto" w:fill="F7F9FC"/>
          </w:tcPr>
          <w:p>
            <w:pPr>
              <w:spacing w:after="0" w:before="0" w:line="259" w:lineRule="auto"/>
            </w:pPr>
            <w:r>
              <w:rPr>
                <w:sz w:val="19"/>
              </w:rPr>
              <w:t>El KuDE: representación gráfica del documento, con el código QR incrustado y numeración de páginas automática cuando los ítems ocupan más de una hoja.</w:t>
            </w:r>
          </w:p>
        </w:tc>
      </w:tr>
      <w:tr>
        <w:tc>
          <w:tcPr>
            <w:tcW w:type="dxa" w:w="2721"/>
          </w:tcPr>
          <w:p>
            <w:pPr>
              <w:spacing w:after="0" w:before="0" w:line="259" w:lineRule="auto"/>
            </w:pPr>
            <w:r>
              <w:rPr>
                <w:rFonts w:ascii="Consolas" w:hAnsi="Consolas"/>
                <w:sz w:val="17"/>
              </w:rPr>
              <w:t>&lt;archivo&gt;_&lt;fecha&gt;.json</w:t>
            </w:r>
          </w:p>
        </w:tc>
        <w:tc>
          <w:tcPr>
            <w:tcW w:type="dxa" w:w="6917"/>
          </w:tcPr>
          <w:p>
            <w:pPr>
              <w:spacing w:after="0" w:before="0" w:line="259" w:lineRule="auto"/>
            </w:pPr>
            <w:r>
              <w:rPr>
                <w:sz w:val="19"/>
              </w:rPr>
              <w:t>Resumen de la corrida: nombre del archivo original, momento del procesamiento, modo de emisión utilizado y, por cada factura, su número de orden, CDC, estado, identificador de seguimiento, rutas del XML y del PDF, y si se envió el correo.</w:t>
            </w:r>
          </w:p>
        </w:tc>
      </w:tr>
    </w:tbl>
    <w:p>
      <w:pPr>
        <w:spacing w:after="80" w:before="0"/>
      </w:pPr>
    </w:p>
    <w:p>
      <w:pPr>
        <w:pStyle w:val="Heading2"/>
      </w:pPr>
      <w:r>
        <w:t>9.2. El resumen en formato JSON</w:t>
      </w:r>
    </w:p>
    <w:p>
      <w:pPr>
        <w:spacing w:after="140"/>
      </w:pPr>
      <w:r>
        <w:t>Este archivo es el punto de integración más cómodo para que el sistema externo actualice su base de datos cuando se trabaja con carpetas en lugar del endpoint HTTP: basta leerlo y guardar el CDC junto a la venta correspondiente.</w:t>
      </w:r>
    </w:p>
    <w:p>
      <w:pPr>
        <w:keepNext/>
        <w:pBdr>
          <w:left w:val="single" w:sz="12" w:space="6" w:color="2E74B5"/>
        </w:pBdr>
        <w:shd w:val="clear" w:color="auto" w:fill="F2F4F7"/>
        <w:spacing w:before="80" w:after="0" w:line="240" w:lineRule="auto"/>
        <w:ind w:left="227" w:right="113"/>
      </w:pPr>
      <w:r>
        <w:rPr>
          <w:rFonts w:ascii="Consolas" w:hAnsi="Consolas"/>
          <w:sz w:val="17"/>
        </w:rPr>
        <w:t>{</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"archivo": "ventas_del_dia.txt",</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"procesado": "2026-06-21T14:35:02-04:00",</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"modo": "prod",</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"facturas":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"factura": 1,</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"cdc": "01800123456001001000012320260621...",</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"estado": "APROBADO",</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"xml": "/home/usuario/sifen_automatizador/salida/018001....xml",</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"kude": "/home/usuario/sifen_automatizador/salida/018001....pdf",</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"track_id": "1234567890",</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"mail_enviado": true</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w:t>
      </w:r>
    </w:p>
    <w:p>
      <w:pPr>
        <w:keepNext/>
        <w:pBdr>
          <w:left w:val="single" w:sz="12" w:space="6" w:color="2E74B5"/>
        </w:pBdr>
        <w:shd w:val="clear" w:color="auto" w:fill="F2F4F7"/>
        <w:spacing w:before="0" w:after="0" w:line="240" w:lineRule="auto"/>
        <w:ind w:left="227" w:right="113"/>
      </w:pPr>
      <w:r>
        <w:rPr>
          <w:rFonts w:ascii="Consolas" w:hAnsi="Consolas"/>
          <w:sz w:val="17"/>
        </w:rPr>
        <w:t xml:space="preserve">  ]</w:t>
      </w:r>
    </w:p>
    <w:p>
      <w:pPr>
        <w:keepNext w:val="0"/>
        <w:pBdr>
          <w:left w:val="single" w:sz="12" w:space="6" w:color="2E74B5"/>
        </w:pBdr>
        <w:shd w:val="clear" w:color="auto" w:fill="F2F4F7"/>
        <w:spacing w:before="0" w:after="160" w:line="240" w:lineRule="auto"/>
        <w:ind w:left="227" w:right="113"/>
      </w:pPr>
      <w:r>
        <w:rPr>
          <w:rFonts w:ascii="Consolas" w:hAnsi="Consolas"/>
          <w:sz w:val="17"/>
        </w:rPr>
        <w:t>}</w:t>
      </w:r>
    </w:p>
    <w:p>
      <w:pPr>
        <w:pStyle w:val="Heading2"/>
      </w:pPr>
      <w:r>
        <w:t>9.3. La bitácora</w:t>
      </w:r>
    </w:p>
    <w:p>
      <w:pPr>
        <w:spacing w:after="140"/>
      </w:pPr>
      <w:r>
        <w:t>Cada ejecución escribe en la carpeta de registros un archivo diario con el detalle de lo ocurrido: qué archivo se tomó, qué CDC se obtuvo por cada factura, con qué estado, si el correo salió y, cuando algo falla, el mensaje exacto del error. Ante cualquier duda operativa, la bitácora del día es el primer lugar donde mirar.</w:t>
      </w:r>
    </w:p>
    <w:p>
      <w:pPr>
        <w:pStyle w:val="Heading2"/>
      </w:pPr>
      <w:r>
        <w:t>9.4. Envío de comprobantes por correo</w:t>
      </w:r>
    </w:p>
    <w:p>
      <w:pPr>
        <w:spacing w:after="140"/>
      </w:pPr>
      <w:r>
        <w:t>Si la línea del cliente incluye una dirección de correo y el bloque de correo está configurado, el automatizador envía el comprobante con el PDF y el XML adjuntos, usando la plantilla del motor. El envío nunca interrumpe la emisión: si el servidor de correo no responde, la factura ya emitida sigue siendo válida, el fallo queda anotado en la bitácora y el campo correspondiente del resumen indica que el correo no salió. Si el cliente no tiene correo informado, simplemente no se envía nada y también se deja constancia.</w:t>
      </w:r>
    </w:p>
    <w:p>
      <w:pPr>
        <w:pStyle w:val="Heading1"/>
      </w:pPr>
      <w:r>
        <w:t>10. Seguridad</w:t>
      </w:r>
    </w:p>
    <w:p>
      <w:pPr>
        <w:spacing w:after="140"/>
      </w:pPr>
      <w:r>
        <w:t>El automatizador maneja tres tipos de material sensible: el certificado digital de la empresa, el CSC de la DNIT y los documentos fiscales ya emitidos. Las siguientes medidas son mínimas, no opcionales.</w:t>
      </w:r>
    </w:p>
    <w:p>
      <w:pPr>
        <w:pStyle w:val="ListBullet"/>
        <w:spacing w:after="80" w:line="276" w:lineRule="auto"/>
      </w:pPr>
      <w:r>
        <w:rPr>
          <w:b/>
        </w:rPr>
        <w:t>Mantener el proyecto fuera del directorio público.</w:t>
      </w:r>
      <w:r>
        <w:t xml:space="preserve"> Solo la carpeta </w:t>
      </w:r>
      <w:r>
        <w:rPr>
          <w:rFonts w:ascii="Consolas" w:hAnsi="Consolas"/>
          <w:color w:val="A31515"/>
          <w:sz w:val="19"/>
        </w:rPr>
        <w:t>public/</w:t>
      </w:r>
      <w:r>
        <w:t xml:space="preserve"> debe ser alcanzable desde internet, y únicamente si se usa el endpoint HTTP.</w:t>
      </w:r>
    </w:p>
    <w:p>
      <w:pPr>
        <w:pStyle w:val="ListBullet"/>
        <w:spacing w:after="80" w:line="276" w:lineRule="auto"/>
      </w:pPr>
      <w:r>
        <w:rPr>
          <w:b/>
        </w:rPr>
        <w:t xml:space="preserve">Conservar el </w:t>
      </w:r>
      <w:r>
        <w:rPr>
          <w:rFonts w:ascii="Consolas" w:hAnsi="Consolas"/>
          <w:b/>
          <w:color w:val="A31515"/>
          <w:sz w:val="19"/>
        </w:rPr>
        <w:t>.htaccess</w:t>
      </w:r>
      <w:r>
        <w:rPr>
          <w:b/>
        </w:rPr>
        <w:t xml:space="preserve"> de la raíz.</w:t>
      </w:r>
      <w:r>
        <w:t xml:space="preserve"> Bloquea el listado de directorios y el acceso directo al archivo de configuración, al motor, al código fuente, a los certificados y a las carpetas de datos.</w:t>
      </w:r>
    </w:p>
    <w:p>
      <w:pPr>
        <w:pStyle w:val="ListBullet"/>
        <w:spacing w:after="80" w:line="276" w:lineRule="auto"/>
      </w:pPr>
      <w:r>
        <w:rPr>
          <w:b/>
        </w:rPr>
        <w:t xml:space="preserve">No versionar el </w:t>
      </w:r>
      <w:r>
        <w:rPr>
          <w:rFonts w:ascii="Consolas" w:hAnsi="Consolas"/>
          <w:b/>
          <w:color w:val="A31515"/>
          <w:sz w:val="19"/>
        </w:rPr>
        <w:t>.env</w:t>
      </w:r>
      <w:r>
        <w:rPr>
          <w:b/>
        </w:rPr>
        <w:t xml:space="preserve"> ni los certificados.</w:t>
      </w:r>
      <w:r>
        <w:t xml:space="preserve"> Contienen contraseñas y credenciales fiscales. La plantilla </w:t>
      </w:r>
      <w:r>
        <w:rPr>
          <w:rFonts w:ascii="Consolas" w:hAnsi="Consolas"/>
          <w:color w:val="A31515"/>
          <w:sz w:val="19"/>
        </w:rPr>
        <w:t>.env.example</w:t>
      </w:r>
      <w:r>
        <w:t xml:space="preserve"> existe precisamente para poder versionar la estructura sin los valores.</w:t>
      </w:r>
    </w:p>
    <w:p>
      <w:pPr>
        <w:pStyle w:val="ListBullet"/>
        <w:spacing w:after="80" w:line="276" w:lineRule="auto"/>
      </w:pPr>
      <w:r>
        <w:rPr>
          <w:b/>
        </w:rPr>
        <w:t>Definir siempre un token de API.</w:t>
      </w:r>
      <w:r>
        <w:t xml:space="preserve"> Si la variable del token queda vacía, el endpoint HTTP acepta peticiones de cualquiera. Debe usarse un valor largo y aleatorio, y transportarse siempre sobre HTTPS.</w:t>
      </w:r>
    </w:p>
    <w:p>
      <w:pPr>
        <w:pStyle w:val="ListBullet"/>
        <w:spacing w:after="80" w:line="276" w:lineRule="auto"/>
      </w:pPr>
      <w:r>
        <w:rPr>
          <w:b/>
        </w:rPr>
        <w:t>Restringir la carpeta de certificados.</w:t>
      </w:r>
      <w:r>
        <w:t xml:space="preserve"> Debe ser legible por el usuario que ejecuta PHP y por nadie más.</w:t>
      </w:r>
    </w:p>
    <w:p>
      <w:pPr>
        <w:pStyle w:val="ListBullet"/>
        <w:spacing w:after="80" w:line="276" w:lineRule="auto"/>
      </w:pPr>
      <w:r>
        <w:rPr>
          <w:b/>
        </w:rPr>
        <w:t>Tratar la carpeta de salida como archivo fiscal.</w:t>
      </w:r>
      <w:r>
        <w:t xml:space="preserve"> Los XML firmados son los originales con valor legal: conviene incluirlos en la política de respaldos de la empresa.</w:t>
      </w:r>
    </w:p>
    <w:p>
      <w:pPr>
        <w:pStyle w:val="Heading1"/>
      </w:pPr>
      <w:r>
        <w:t>11. Diagnóstico de problemas frecuentes</w:t>
      </w:r>
    </w:p>
    <w:p>
      <w:pPr>
        <w:spacing w:after="140"/>
      </w:pPr>
      <w:r>
        <w:t xml:space="preserve">La mayoría de las incidencias se resuelven leyendo dos cosas: el archivo </w:t>
      </w:r>
      <w:r>
        <w:rPr>
          <w:rFonts w:ascii="Consolas" w:hAnsi="Consolas"/>
          <w:color w:val="A31515"/>
          <w:sz w:val="19"/>
        </w:rPr>
        <w:t>.error.txt</w:t>
      </w:r>
      <w:r>
        <w:t xml:space="preserve"> que acompaña a la entrada rechazada y la bitácora del día. Esta tabla reúne las situaciones más habituales.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835"/>
            <w:shd w:val="clear" w:color="auto" w:fill="DCE6F1"/>
          </w:tcPr>
          <w:p>
            <w:pPr>
              <w:spacing w:after="0" w:before="0" w:line="259" w:lineRule="auto"/>
            </w:pPr>
            <w:r>
              <w:rPr>
                <w:b/>
                <w:color w:val="1F4E79"/>
                <w:sz w:val="19"/>
              </w:rPr>
              <w:t>Síntoma</w:t>
            </w:r>
          </w:p>
        </w:tc>
        <w:tc>
          <w:tcPr>
            <w:tcW w:type="dxa" w:w="2835"/>
            <w:shd w:val="clear" w:color="auto" w:fill="DCE6F1"/>
          </w:tcPr>
          <w:p>
            <w:pPr>
              <w:spacing w:after="0" w:before="0" w:line="259" w:lineRule="auto"/>
            </w:pPr>
            <w:r>
              <w:rPr>
                <w:b/>
                <w:color w:val="1F4E79"/>
                <w:sz w:val="19"/>
              </w:rPr>
              <w:t>Causa probable</w:t>
            </w:r>
          </w:p>
        </w:tc>
        <w:tc>
          <w:tcPr>
            <w:tcW w:type="dxa" w:w="3969"/>
            <w:shd w:val="clear" w:color="auto" w:fill="DCE6F1"/>
          </w:tcPr>
          <w:p>
            <w:pPr>
              <w:spacing w:after="0" w:before="0" w:line="259" w:lineRule="auto"/>
            </w:pPr>
            <w:r>
              <w:rPr>
                <w:b/>
                <w:color w:val="1F4E79"/>
                <w:sz w:val="19"/>
              </w:rPr>
              <w:t>Cómo resolverlo</w:t>
            </w:r>
          </w:p>
        </w:tc>
      </w:tr>
      <w:tr>
        <w:tc>
          <w:tcPr>
            <w:tcW w:type="dxa" w:w="2835"/>
          </w:tcPr>
          <w:p>
            <w:pPr>
              <w:spacing w:after="0" w:before="0" w:line="259" w:lineRule="auto"/>
            </w:pPr>
            <w:r>
              <w:rPr>
                <w:sz w:val="19"/>
              </w:rPr>
              <w:t xml:space="preserve">Los archivos se acumulan en </w:t>
            </w:r>
            <w:r>
              <w:rPr>
                <w:rFonts w:ascii="Consolas" w:hAnsi="Consolas"/>
                <w:color w:val="A31515"/>
                <w:sz w:val="19"/>
              </w:rPr>
              <w:t>entrada/</w:t>
            </w:r>
            <w:r>
              <w:rPr>
                <w:sz w:val="19"/>
              </w:rPr>
              <w:t xml:space="preserve"> y no ocurre nada</w:t>
            </w:r>
          </w:p>
        </w:tc>
        <w:tc>
          <w:tcPr>
            <w:tcW w:type="dxa" w:w="2835"/>
          </w:tcPr>
          <w:p>
            <w:pPr>
              <w:spacing w:after="0" w:before="0" w:line="259" w:lineRule="auto"/>
            </w:pPr>
            <w:r>
              <w:rPr>
                <w:sz w:val="19"/>
              </w:rPr>
              <w:t>El cron no está programado o el watcher se cayó</w:t>
            </w:r>
          </w:p>
        </w:tc>
        <w:tc>
          <w:tcPr>
            <w:tcW w:type="dxa" w:w="3969"/>
          </w:tcPr>
          <w:p>
            <w:pPr>
              <w:spacing w:after="0" w:before="0" w:line="259" w:lineRule="auto"/>
            </w:pPr>
            <w:r>
              <w:rPr>
                <w:sz w:val="19"/>
              </w:rPr>
              <w:t>Verificar la entrada del crontab y la ruta absoluta de PHP; o revisar si el proceso del watcher sigue vivo y volver a arrancarlo.</w:t>
            </w:r>
          </w:p>
        </w:tc>
      </w:tr>
      <w:tr>
        <w:tc>
          <w:tcPr>
            <w:tcW w:type="dxa" w:w="2835"/>
            <w:shd w:val="clear" w:color="auto" w:fill="F7F9FC"/>
          </w:tcPr>
          <w:p>
            <w:pPr>
              <w:spacing w:after="0" w:before="0" w:line="259" w:lineRule="auto"/>
            </w:pPr>
            <w:r>
              <w:rPr>
                <w:sz w:val="19"/>
              </w:rPr>
              <w:t xml:space="preserve">Un archivo quedó con el sufijo </w:t>
            </w:r>
            <w:r>
              <w:rPr>
                <w:rFonts w:ascii="Consolas" w:hAnsi="Consolas"/>
                <w:color w:val="A31515"/>
                <w:sz w:val="19"/>
              </w:rPr>
              <w:t>.procesando</w:t>
            </w:r>
          </w:p>
        </w:tc>
        <w:tc>
          <w:tcPr>
            <w:tcW w:type="dxa" w:w="2835"/>
            <w:shd w:val="clear" w:color="auto" w:fill="F7F9FC"/>
          </w:tcPr>
          <w:p>
            <w:pPr>
              <w:spacing w:after="0" w:before="0" w:line="259" w:lineRule="auto"/>
            </w:pPr>
            <w:r>
              <w:rPr>
                <w:sz w:val="19"/>
              </w:rPr>
              <w:t>El proceso se interrumpió a mitad de camino</w:t>
            </w:r>
          </w:p>
        </w:tc>
        <w:tc>
          <w:tcPr>
            <w:tcW w:type="dxa" w:w="3969"/>
            <w:shd w:val="clear" w:color="auto" w:fill="F7F9FC"/>
          </w:tcPr>
          <w:p>
            <w:pPr>
              <w:spacing w:after="0" w:before="0" w:line="259" w:lineRule="auto"/>
            </w:pPr>
            <w:r>
              <w:rPr>
                <w:sz w:val="19"/>
              </w:rPr>
              <w:t xml:space="preserve">Revisar la bitácora para saber si las facturas llegaron a emitirse. Si no se emitieron, quitar el sufijo para que se vuelva a tomar; si se emitieron, moverlo manualmente a </w:t>
            </w:r>
            <w:r>
              <w:rPr>
                <w:rFonts w:ascii="Consolas" w:hAnsi="Consolas"/>
                <w:color w:val="A31515"/>
                <w:sz w:val="19"/>
              </w:rPr>
              <w:t>procesados/</w:t>
            </w:r>
            <w:r>
              <w:rPr>
                <w:sz w:val="19"/>
              </w:rPr>
              <w:t xml:space="preserve"> para no duplicar.</w:t>
            </w:r>
          </w:p>
        </w:tc>
      </w:tr>
      <w:tr>
        <w:tc>
          <w:tcPr>
            <w:tcW w:type="dxa" w:w="2835"/>
          </w:tcPr>
          <w:p>
            <w:pPr>
              <w:spacing w:after="0" w:before="0" w:line="259" w:lineRule="auto"/>
            </w:pPr>
            <w:r>
              <w:rPr>
                <w:sz w:val="19"/>
              </w:rPr>
              <w:t>«No se pudo bloquear» el archivo</w:t>
            </w:r>
          </w:p>
        </w:tc>
        <w:tc>
          <w:tcPr>
            <w:tcW w:type="dxa" w:w="2835"/>
          </w:tcPr>
          <w:p>
            <w:pPr>
              <w:spacing w:after="0" w:before="0" w:line="259" w:lineRule="auto"/>
            </w:pPr>
            <w:r>
              <w:rPr>
                <w:sz w:val="19"/>
              </w:rPr>
              <w:t>Permisos insuficientes sobre la carpeta de entrada</w:t>
            </w:r>
          </w:p>
        </w:tc>
        <w:tc>
          <w:tcPr>
            <w:tcW w:type="dxa" w:w="3969"/>
          </w:tcPr>
          <w:p>
            <w:pPr>
              <w:spacing w:after="0" w:before="0" w:line="259" w:lineRule="auto"/>
            </w:pPr>
            <w:r>
              <w:rPr>
                <w:sz w:val="19"/>
              </w:rPr>
              <w:t xml:space="preserve">Dar permiso de escritura al usuario que ejecuta PHP sobre </w:t>
            </w:r>
            <w:r>
              <w:rPr>
                <w:rFonts w:ascii="Consolas" w:hAnsi="Consolas"/>
                <w:color w:val="A31515"/>
                <w:sz w:val="19"/>
              </w:rPr>
              <w:t>entrada/</w:t>
            </w:r>
            <w:r>
              <w:rPr>
                <w:sz w:val="19"/>
              </w:rPr>
              <w:t xml:space="preserve"> y sobre el resto de las carpetas de trabajo.</w:t>
            </w:r>
          </w:p>
        </w:tc>
      </w:tr>
      <w:tr>
        <w:tc>
          <w:tcPr>
            <w:tcW w:type="dxa" w:w="2835"/>
            <w:shd w:val="clear" w:color="auto" w:fill="F7F9FC"/>
          </w:tcPr>
          <w:p>
            <w:pPr>
              <w:spacing w:after="0" w:before="0" w:line="259" w:lineRule="auto"/>
            </w:pPr>
            <w:r>
              <w:rPr>
                <w:sz w:val="19"/>
              </w:rPr>
              <w:t>«Falta el dato del emisor»</w:t>
            </w:r>
          </w:p>
        </w:tc>
        <w:tc>
          <w:tcPr>
            <w:tcW w:type="dxa" w:w="2835"/>
            <w:shd w:val="clear" w:color="auto" w:fill="F7F9FC"/>
          </w:tcPr>
          <w:p>
            <w:pPr>
              <w:spacing w:after="0" w:before="0" w:line="259" w:lineRule="auto"/>
            </w:pPr>
            <w:r>
              <w:rPr>
                <w:sz w:val="19"/>
              </w:rPr>
              <w:t xml:space="preserve">El </w:t>
            </w:r>
            <w:r>
              <w:rPr>
                <w:rFonts w:ascii="Consolas" w:hAnsi="Consolas"/>
                <w:color w:val="A31515"/>
                <w:sz w:val="19"/>
              </w:rPr>
              <w:t>.env</w:t>
            </w:r>
            <w:r>
              <w:rPr>
                <w:sz w:val="19"/>
              </w:rPr>
              <w:t xml:space="preserve"> está incompleto</w:t>
            </w:r>
          </w:p>
        </w:tc>
        <w:tc>
          <w:tcPr>
            <w:tcW w:type="dxa" w:w="3969"/>
            <w:shd w:val="clear" w:color="auto" w:fill="F7F9FC"/>
          </w:tcPr>
          <w:p>
            <w:pPr>
              <w:spacing w:after="0" w:before="0" w:line="259" w:lineRule="auto"/>
            </w:pPr>
            <w:r>
              <w:rPr>
                <w:sz w:val="19"/>
              </w:rPr>
              <w:t>Completar RUC, dígito verificador, razón social y número de timbrado, que son obligatorios para poder construir el documento.</w:t>
            </w:r>
          </w:p>
        </w:tc>
      </w:tr>
      <w:tr>
        <w:tc>
          <w:tcPr>
            <w:tcW w:type="dxa" w:w="2835"/>
          </w:tcPr>
          <w:p>
            <w:pPr>
              <w:spacing w:after="0" w:before="0" w:line="259" w:lineRule="auto"/>
            </w:pPr>
            <w:r>
              <w:rPr>
                <w:sz w:val="19"/>
              </w:rPr>
              <w:t>La DNIT rechaza el documento</w:t>
            </w:r>
          </w:p>
        </w:tc>
        <w:tc>
          <w:tcPr>
            <w:tcW w:type="dxa" w:w="2835"/>
          </w:tcPr>
          <w:p>
            <w:pPr>
              <w:spacing w:after="0" w:before="0" w:line="259" w:lineRule="auto"/>
            </w:pPr>
            <w:r>
              <w:rPr>
                <w:sz w:val="19"/>
              </w:rPr>
              <w:t>Datos del emisor, timbrado o catálogos inconsistentes</w:t>
            </w:r>
          </w:p>
        </w:tc>
        <w:tc>
          <w:tcPr>
            <w:tcW w:type="dxa" w:w="3969"/>
          </w:tcPr>
          <w:p>
            <w:pPr>
              <w:spacing w:after="0" w:before="0" w:line="259" w:lineRule="auto"/>
            </w:pPr>
            <w:r>
              <w:rPr>
                <w:sz w:val="19"/>
              </w:rPr>
              <w:t xml:space="preserve">Leer el mensaje devuelto por la DNIT en el </w:t>
            </w:r>
            <w:r>
              <w:rPr>
                <w:rFonts w:ascii="Consolas" w:hAnsi="Consolas"/>
                <w:color w:val="A31515"/>
                <w:sz w:val="19"/>
              </w:rPr>
              <w:t>.error.txt</w:t>
            </w:r>
            <w:r>
              <w:rPr>
                <w:sz w:val="19"/>
              </w:rPr>
              <w:t>: identifica el campo. Comprobar la vigencia del timbrado y los códigos geográficos y de actividad.</w:t>
            </w:r>
          </w:p>
        </w:tc>
      </w:tr>
      <w:tr>
        <w:tc>
          <w:tcPr>
            <w:tcW w:type="dxa" w:w="2835"/>
            <w:shd w:val="clear" w:color="auto" w:fill="F7F9FC"/>
          </w:tcPr>
          <w:p>
            <w:pPr>
              <w:spacing w:after="0" w:before="0" w:line="259" w:lineRule="auto"/>
            </w:pPr>
            <w:r>
              <w:rPr>
                <w:sz w:val="19"/>
              </w:rPr>
              <w:t>El PDF sale bien pero no llega el correo</w:t>
            </w:r>
          </w:p>
        </w:tc>
        <w:tc>
          <w:tcPr>
            <w:tcW w:type="dxa" w:w="2835"/>
            <w:shd w:val="clear" w:color="auto" w:fill="F7F9FC"/>
          </w:tcPr>
          <w:p>
            <w:pPr>
              <w:spacing w:after="0" w:before="0" w:line="259" w:lineRule="auto"/>
            </w:pPr>
            <w:r>
              <w:rPr>
                <w:sz w:val="19"/>
              </w:rPr>
              <w:t>Bloque de correo incompleto o SMTP inaccesible</w:t>
            </w:r>
          </w:p>
        </w:tc>
        <w:tc>
          <w:tcPr>
            <w:tcW w:type="dxa" w:w="3969"/>
            <w:shd w:val="clear" w:color="auto" w:fill="F7F9FC"/>
          </w:tcPr>
          <w:p>
            <w:pPr>
              <w:spacing w:after="0" w:before="0" w:line="259" w:lineRule="auto"/>
            </w:pPr>
            <w:r>
              <w:rPr>
                <w:sz w:val="19"/>
              </w:rPr>
              <w:t>La factura es válida igualmente. Revisar las credenciales SMTP; para probar sin enviar, usar el transporte de archivo, que deja una copia del mensaje en la carpeta de registros.</w:t>
            </w:r>
          </w:p>
        </w:tc>
      </w:tr>
      <w:tr>
        <w:tc>
          <w:tcPr>
            <w:tcW w:type="dxa" w:w="2835"/>
          </w:tcPr>
          <w:p>
            <w:pPr>
              <w:spacing w:after="0" w:before="0" w:line="259" w:lineRule="auto"/>
            </w:pPr>
            <w:r>
              <w:rPr>
                <w:sz w:val="19"/>
              </w:rPr>
              <w:t>Los enlaces de descarga devuelven «No autorizado»</w:t>
            </w:r>
          </w:p>
        </w:tc>
        <w:tc>
          <w:tcPr>
            <w:tcW w:type="dxa" w:w="2835"/>
          </w:tcPr>
          <w:p>
            <w:pPr>
              <w:spacing w:after="0" w:before="0" w:line="259" w:lineRule="auto"/>
            </w:pPr>
            <w:r>
              <w:rPr>
                <w:sz w:val="19"/>
              </w:rPr>
              <w:t>Hay token configurado y no se está enviando</w:t>
            </w:r>
          </w:p>
        </w:tc>
        <w:tc>
          <w:tcPr>
            <w:tcW w:type="dxa" w:w="3969"/>
          </w:tcPr>
          <w:p>
            <w:pPr>
              <w:spacing w:after="0" w:before="0" w:line="259" w:lineRule="auto"/>
            </w:pPr>
            <w:r>
              <w:rPr>
                <w:sz w:val="19"/>
              </w:rPr>
              <w:t>Agregar el token a la petición de descarga, como parámetro en la dirección o como cabecera. Ver el documento de despliegue.</w:t>
            </w:r>
          </w:p>
        </w:tc>
      </w:tr>
    </w:tbl>
    <w:p>
      <w:pPr>
        <w:spacing w:after="80" w:before="0"/>
      </w:pPr>
    </w:p>
    <w:p>
      <w:pPr>
        <w:pStyle w:val="Heading1"/>
      </w:pPr>
      <w:r>
        <w:t>12. Glosario</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28"/>
            <w:shd w:val="clear" w:color="auto" w:fill="DCE6F1"/>
          </w:tcPr>
          <w:p>
            <w:pPr>
              <w:spacing w:after="0" w:before="0" w:line="259" w:lineRule="auto"/>
            </w:pPr>
            <w:r>
              <w:rPr>
                <w:b/>
                <w:color w:val="1F4E79"/>
                <w:sz w:val="19"/>
              </w:rPr>
              <w:t>Término</w:t>
            </w:r>
          </w:p>
        </w:tc>
        <w:tc>
          <w:tcPr>
            <w:tcW w:type="dxa" w:w="7710"/>
            <w:shd w:val="clear" w:color="auto" w:fill="DCE6F1"/>
          </w:tcPr>
          <w:p>
            <w:pPr>
              <w:spacing w:after="0" w:before="0" w:line="259" w:lineRule="auto"/>
            </w:pPr>
            <w:r>
              <w:rPr>
                <w:b/>
                <w:color w:val="1F4E79"/>
                <w:sz w:val="19"/>
              </w:rPr>
              <w:t>Significado</w:t>
            </w:r>
          </w:p>
        </w:tc>
      </w:tr>
      <w:tr>
        <w:tc>
          <w:tcPr>
            <w:tcW w:type="dxa" w:w="1928"/>
          </w:tcPr>
          <w:p>
            <w:pPr>
              <w:spacing w:after="0" w:before="0" w:line="259" w:lineRule="auto"/>
            </w:pPr>
            <w:r>
              <w:rPr>
                <w:sz w:val="19"/>
              </w:rPr>
              <w:t>SIFEN</w:t>
            </w:r>
          </w:p>
        </w:tc>
        <w:tc>
          <w:tcPr>
            <w:tcW w:type="dxa" w:w="7710"/>
          </w:tcPr>
          <w:p>
            <w:pPr>
              <w:spacing w:after="0" w:before="0" w:line="259" w:lineRule="auto"/>
            </w:pPr>
            <w:r>
              <w:rPr>
                <w:sz w:val="19"/>
              </w:rPr>
              <w:t>Sistema Integrado de Facturación Electrónica Nacional: la plataforma de la administración tributaria paraguaya que recibe, valida y almacena los documentos electrónicos.</w:t>
            </w:r>
          </w:p>
        </w:tc>
      </w:tr>
      <w:tr>
        <w:tc>
          <w:tcPr>
            <w:tcW w:type="dxa" w:w="1928"/>
            <w:shd w:val="clear" w:color="auto" w:fill="F7F9FC"/>
          </w:tcPr>
          <w:p>
            <w:pPr>
              <w:spacing w:after="0" w:before="0" w:line="259" w:lineRule="auto"/>
            </w:pPr>
            <w:r>
              <w:rPr>
                <w:sz w:val="19"/>
              </w:rPr>
              <w:t>DNIT</w:t>
            </w:r>
          </w:p>
        </w:tc>
        <w:tc>
          <w:tcPr>
            <w:tcW w:type="dxa" w:w="7710"/>
            <w:shd w:val="clear" w:color="auto" w:fill="F7F9FC"/>
          </w:tcPr>
          <w:p>
            <w:pPr>
              <w:spacing w:after="0" w:before="0" w:line="259" w:lineRule="auto"/>
            </w:pPr>
            <w:r>
              <w:rPr>
                <w:sz w:val="19"/>
              </w:rPr>
              <w:t>Dirección Nacional de Ingresos Tributarios, organismo que absorbió las funciones de la antigua SET. Es el destinatario de los documentos.</w:t>
            </w:r>
          </w:p>
        </w:tc>
      </w:tr>
      <w:tr>
        <w:tc>
          <w:tcPr>
            <w:tcW w:type="dxa" w:w="1928"/>
          </w:tcPr>
          <w:p>
            <w:pPr>
              <w:spacing w:after="0" w:before="0" w:line="259" w:lineRule="auto"/>
            </w:pPr>
            <w:r>
              <w:rPr>
                <w:sz w:val="19"/>
              </w:rPr>
              <w:t>DE / DTE</w:t>
            </w:r>
          </w:p>
        </w:tc>
        <w:tc>
          <w:tcPr>
            <w:tcW w:type="dxa" w:w="7710"/>
          </w:tcPr>
          <w:p>
            <w:pPr>
              <w:spacing w:after="0" w:before="0" w:line="259" w:lineRule="auto"/>
            </w:pPr>
            <w:r>
              <w:rPr>
                <w:sz w:val="19"/>
              </w:rPr>
              <w:t>Documento Electrónico y Documento Tributario Electrónico. El primero es el XML emitido; el segundo, ese mismo documento una vez aprobado por la DNIT.</w:t>
            </w:r>
          </w:p>
        </w:tc>
      </w:tr>
      <w:tr>
        <w:tc>
          <w:tcPr>
            <w:tcW w:type="dxa" w:w="1928"/>
            <w:shd w:val="clear" w:color="auto" w:fill="F7F9FC"/>
          </w:tcPr>
          <w:p>
            <w:pPr>
              <w:spacing w:after="0" w:before="0" w:line="259" w:lineRule="auto"/>
            </w:pPr>
            <w:r>
              <w:rPr>
                <w:sz w:val="19"/>
              </w:rPr>
              <w:t>CDC</w:t>
            </w:r>
          </w:p>
        </w:tc>
        <w:tc>
          <w:tcPr>
            <w:tcW w:type="dxa" w:w="7710"/>
            <w:shd w:val="clear" w:color="auto" w:fill="F7F9FC"/>
          </w:tcPr>
          <w:p>
            <w:pPr>
              <w:spacing w:after="0" w:before="0" w:line="259" w:lineRule="auto"/>
            </w:pPr>
            <w:r>
              <w:rPr>
                <w:sz w:val="19"/>
              </w:rPr>
              <w:t>Código de Control: identificador único de 44 dígitos que resume el tipo de documento, el RUC del emisor, el punto de expedición, el número, la fecha y un dígito verificador calculado por módulo 11.</w:t>
            </w:r>
          </w:p>
        </w:tc>
      </w:tr>
      <w:tr>
        <w:tc>
          <w:tcPr>
            <w:tcW w:type="dxa" w:w="1928"/>
          </w:tcPr>
          <w:p>
            <w:pPr>
              <w:spacing w:after="0" w:before="0" w:line="259" w:lineRule="auto"/>
            </w:pPr>
            <w:r>
              <w:rPr>
                <w:sz w:val="19"/>
              </w:rPr>
              <w:t>KuDE</w:t>
            </w:r>
          </w:p>
        </w:tc>
        <w:tc>
          <w:tcPr>
            <w:tcW w:type="dxa" w:w="7710"/>
          </w:tcPr>
          <w:p>
            <w:pPr>
              <w:spacing w:after="0" w:before="0" w:line="259" w:lineRule="auto"/>
            </w:pPr>
            <w:r>
              <w:rPr>
                <w:sz w:val="19"/>
              </w:rPr>
              <w:t>Representación gráfica, impresa o en PDF, del documento electrónico. No reemplaza al XML: es su versión legible, con el código QR que permite verificar el documento.</w:t>
            </w:r>
          </w:p>
        </w:tc>
      </w:tr>
      <w:tr>
        <w:tc>
          <w:tcPr>
            <w:tcW w:type="dxa" w:w="1928"/>
            <w:shd w:val="clear" w:color="auto" w:fill="F7F9FC"/>
          </w:tcPr>
          <w:p>
            <w:pPr>
              <w:spacing w:after="0" w:before="0" w:line="259" w:lineRule="auto"/>
            </w:pPr>
            <w:r>
              <w:rPr>
                <w:sz w:val="19"/>
              </w:rPr>
              <w:t>CSC</w:t>
            </w:r>
          </w:p>
        </w:tc>
        <w:tc>
          <w:tcPr>
            <w:tcW w:type="dxa" w:w="7710"/>
            <w:shd w:val="clear" w:color="auto" w:fill="F7F9FC"/>
          </w:tcPr>
          <w:p>
            <w:pPr>
              <w:spacing w:after="0" w:before="0" w:line="259" w:lineRule="auto"/>
            </w:pPr>
            <w:r>
              <w:rPr>
                <w:sz w:val="19"/>
              </w:rPr>
              <w:t>Código de Seguridad del Contribuyente, entregado por la DNIT. Se combina con los datos del documento para firmar el contenido del código QR.</w:t>
            </w:r>
          </w:p>
        </w:tc>
      </w:tr>
      <w:tr>
        <w:tc>
          <w:tcPr>
            <w:tcW w:type="dxa" w:w="1928"/>
          </w:tcPr>
          <w:p>
            <w:pPr>
              <w:spacing w:after="0" w:before="0" w:line="259" w:lineRule="auto"/>
            </w:pPr>
            <w:r>
              <w:rPr>
                <w:sz w:val="19"/>
              </w:rPr>
              <w:t>Timbrado</w:t>
            </w:r>
          </w:p>
        </w:tc>
        <w:tc>
          <w:tcPr>
            <w:tcW w:type="dxa" w:w="7710"/>
          </w:tcPr>
          <w:p>
            <w:pPr>
              <w:spacing w:after="0" w:before="0" w:line="259" w:lineRule="auto"/>
            </w:pPr>
            <w:r>
              <w:rPr>
                <w:sz w:val="19"/>
              </w:rPr>
              <w:t>Autorización de la administración tributaria para emitir comprobantes, con número y período de vigencia. Un timbrado vencido invalida la emisión.</w:t>
            </w:r>
          </w:p>
        </w:tc>
      </w:tr>
      <w:tr>
        <w:tc>
          <w:tcPr>
            <w:tcW w:type="dxa" w:w="1928"/>
            <w:shd w:val="clear" w:color="auto" w:fill="F7F9FC"/>
          </w:tcPr>
          <w:p>
            <w:pPr>
              <w:spacing w:after="0" w:before="0" w:line="259" w:lineRule="auto"/>
            </w:pPr>
            <w:r>
              <w:rPr>
                <w:sz w:val="19"/>
              </w:rPr>
              <w:t>XMLDSIG</w:t>
            </w:r>
          </w:p>
        </w:tc>
        <w:tc>
          <w:tcPr>
            <w:tcW w:type="dxa" w:w="7710"/>
            <w:shd w:val="clear" w:color="auto" w:fill="F7F9FC"/>
          </w:tcPr>
          <w:p>
            <w:pPr>
              <w:spacing w:after="0" w:before="0" w:line="259" w:lineRule="auto"/>
            </w:pPr>
            <w:r>
              <w:rPr>
                <w:sz w:val="19"/>
              </w:rPr>
              <w:t>Estándar de firma digital para documentos XML. Garantiza que el documento no fue alterado después de firmado y que proviene del emisor declarado.</w:t>
            </w:r>
          </w:p>
        </w:tc>
      </w:tr>
      <w:tr>
        <w:tc>
          <w:tcPr>
            <w:tcW w:type="dxa" w:w="1928"/>
          </w:tcPr>
          <w:p>
            <w:pPr>
              <w:spacing w:after="0" w:before="0" w:line="259" w:lineRule="auto"/>
            </w:pPr>
            <w:r>
              <w:rPr>
                <w:sz w:val="19"/>
              </w:rPr>
              <w:t>Track ID</w:t>
            </w:r>
          </w:p>
        </w:tc>
        <w:tc>
          <w:tcPr>
            <w:tcW w:type="dxa" w:w="7710"/>
          </w:tcPr>
          <w:p>
            <w:pPr>
              <w:spacing w:after="0" w:before="0" w:line="259" w:lineRule="auto"/>
            </w:pPr>
            <w:r>
              <w:rPr>
                <w:sz w:val="19"/>
              </w:rPr>
              <w:t>Identificador de seguimiento devuelto por la DNIT al recibir el documento. Permite consultar después su estado.</w:t>
            </w:r>
          </w:p>
        </w:tc>
      </w:tr>
      <w:tr>
        <w:tc>
          <w:tcPr>
            <w:tcW w:type="dxa" w:w="1928"/>
            <w:shd w:val="clear" w:color="auto" w:fill="F7F9FC"/>
          </w:tcPr>
          <w:p>
            <w:pPr>
              <w:spacing w:after="0" w:before="0" w:line="259" w:lineRule="auto"/>
            </w:pPr>
            <w:r>
              <w:rPr>
                <w:sz w:val="19"/>
              </w:rPr>
              <w:t>Watcher</w:t>
            </w:r>
          </w:p>
        </w:tc>
        <w:tc>
          <w:tcPr>
            <w:tcW w:type="dxa" w:w="7710"/>
            <w:shd w:val="clear" w:color="auto" w:fill="F7F9FC"/>
          </w:tcPr>
          <w:p>
            <w:pPr>
              <w:spacing w:after="0" w:before="0" w:line="259" w:lineRule="auto"/>
            </w:pPr>
            <w:r>
              <w:rPr>
                <w:sz w:val="19"/>
              </w:rPr>
              <w:t>Proceso residente que vigila una carpeta y reacciona en cuanto aparece un archivo nuevo.</w:t>
            </w:r>
          </w:p>
        </w:tc>
      </w:tr>
    </w:tbl>
    <w:p>
      <w:pPr>
        <w:spacing w:after="80" w:before="0"/>
      </w:pPr>
    </w:p>
    <w:p>
      <w:pPr>
        <w:spacing w:after="0"/>
      </w:pPr>
    </w:p>
    <w:p>
      <w:pPr>
        <w:jc w:val="center"/>
      </w:pPr>
      <w:r>
        <w:rPr>
          <w:i/>
          <w:color w:val="8C8C8C"/>
          <w:sz w:val="18"/>
        </w:rPr>
        <w:t>Fin del documento</w:t>
      </w:r>
    </w:p>
    <w:sectPr w:rsidR="00FC693F" w:rsidRPr="0006063C" w:rsidSect="00034616">
      <w:footerReference w:type="default" r:id="rId9"/>
      <w:pgSz w:w="11906" w:h="16838"/>
      <w:pgMar w:top="1134" w:right="1134" w:bottom="1134" w:left="1134"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6"/>
      </w:rPr>
      <w:t xml:space="preserve">Automatizador SIFEN — Manual General   ·   Pág. </w:t>
    </w:r>
    <w:r>
      <w:fldChar w:fldCharType="begin"/>
    </w:r>
    <w:r>
      <w:instrText xml:space="preserve">PAGE</w:instrText>
    </w:r>
    <w:r>
      <w:fldChar w:fldCharType="separate"/>
    </w:r>
    <w:r>
      <w:rPr>
        <w:color w:val="8C8C8C"/>
        <w:sz w:val="16"/>
      </w:rPr>
      <w:t>1</w:t>
    </w:r>
    <w:r>
      <w:fldChar w:fldCharType="end"/>
    </w:r>
    <w:r>
      <w:rPr>
        <w:color w:val="8C8C8C"/>
        <w:sz w:val="16"/>
      </w:rPr>
      <w:t xml:space="preserve"> de </w:t>
    </w:r>
    <w:r>
      <w:fldChar w:fldCharType="begin"/>
    </w:r>
    <w:r>
      <w:instrText xml:space="preserve">NUMPAGES</w:instrText>
    </w:r>
    <w:r>
      <w:fldChar w:fldCharType="separate"/>
    </w:r>
    <w:r>
      <w:rPr>
        <w:color w:val="8C8C8C"/>
        <w:sz w:val="16"/>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Automatizador SIFEN — Manual General</dc:title>
  <dc:subject>Manual general del Automatizador de Facturacion Electronica SIFEN</dc:subject>
  <dc:creator>Automatizador SIFEN</dc:creator>
  <cp:keywords/>
  <dc:description>generated by python-docx</dc:description>
  <cp:lastModifiedBy/>
  <cp:revision>1</cp:revision>
  <dcterms:created xsi:type="dcterms:W3CDTF">2013-12-23T23:15:00Z</dcterms:created>
  <dcterms:modified xsi:type="dcterms:W3CDTF">2013-12-23T23:15:00Z</dcterms:modified>
  <cp:category>Documentacion tecnica</cp:category>
</cp:coreProperties>
</file>