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80"/>
        <w:jc w:val="center"/>
      </w:pPr>
      <w:r>
        <w:rPr>
          <w:b/>
          <w:color w:val="2E74B5"/>
          <w:sz w:val="26"/>
        </w:rPr>
        <w:t>AUTOMATIZADOR SIFEN</w:t>
      </w:r>
    </w:p>
    <w:p>
      <w:pPr>
        <w:spacing w:after="80"/>
        <w:jc w:val="center"/>
      </w:pPr>
      <w:r>
        <w:rPr>
          <w:b/>
          <w:color w:val="1F4E79"/>
          <w:sz w:val="60"/>
        </w:rPr>
        <w:t>Despliegue en cPanel</w:t>
      </w:r>
    </w:p>
    <w:p>
      <w:pPr>
        <w:pBdr>
          <w:bottom w:val="single" w:sz="8" w:space="12" w:color="2E74B5"/>
        </w:pBdr>
        <w:spacing w:after="320"/>
        <w:jc w:val="center"/>
      </w:pPr>
      <w:r>
        <w:rPr>
          <w:color w:val="595959"/>
          <w:sz w:val="28"/>
        </w:rPr>
        <w:t>Publicación del servicio y consumo de la API</w:t>
      </w:r>
    </w:p>
    <w:p>
      <w:pPr>
        <w:spacing w:after="40"/>
        <w:jc w:val="center"/>
      </w:pPr>
      <w:r>
        <w:rPr>
          <w:i/>
          <w:color w:val="595959"/>
          <w:sz w:val="22"/>
        </w:rPr>
        <w:t>Guía para dejar el automatizador funcionando en el servidor</w:t>
      </w:r>
    </w:p>
    <w:p>
      <w:pPr>
        <w:spacing w:after="40"/>
        <w:jc w:val="center"/>
      </w:pPr>
      <w:r>
        <w:rPr>
          <w:i/>
          <w:color w:val="595959"/>
          <w:sz w:val="22"/>
        </w:rPr>
        <w:t>y para integrarlo desde el sistema de gestión.</w:t>
      </w:r>
    </w:p>
    <w:p>
      <w:pPr>
        <w:spacing w:after="0"/>
      </w:pPr>
    </w:p>
    <w:p>
      <w:pPr>
        <w:spacing w:after="0"/>
      </w:pPr>
    </w:p>
    <w:p>
      <w:pPr>
        <w:spacing w:after="0"/>
      </w:pPr>
    </w:p>
    <w:p>
      <w:pPr>
        <w:spacing w:after="0"/>
      </w:pPr>
    </w:p>
    <w:p>
      <w:pPr>
        <w:spacing w:after="0"/>
      </w:pPr>
    </w:p>
    <w:p>
      <w:pPr>
        <w:spacing w:after="0"/>
      </w:pPr>
    </w:p>
    <w:p>
      <w:pPr>
        <w:spacing w:after="40"/>
        <w:jc w:val="center"/>
      </w:pPr>
      <w:r>
        <w:rPr>
          <w:color w:val="595959"/>
          <w:sz w:val="20"/>
        </w:rPr>
        <w:t>Versión del documento: 2.0</w:t>
      </w:r>
    </w:p>
    <w:p>
      <w:pPr>
        <w:spacing w:after="40"/>
        <w:jc w:val="center"/>
      </w:pPr>
      <w:r>
        <w:rPr>
          <w:color w:val="595959"/>
          <w:sz w:val="20"/>
        </w:rPr>
        <w:t>Hosting con cPanel · PHP 8.1 o superior</w:t>
      </w:r>
    </w:p>
    <w:p>
      <w:pPr>
        <w:spacing w:after="40"/>
        <w:jc w:val="center"/>
      </w:pPr>
      <w:r>
        <w:rPr>
          <w:color w:val="595959"/>
          <w:sz w:val="20"/>
        </w:rPr>
        <w:t>Modalidades: endpoint HTTP y carpeta vigilada por cron</w:t>
      </w:r>
    </w:p>
    <w:p>
      <w:r>
        <w:br w:type="page"/>
      </w:r>
    </w:p>
    <w:p>
      <w:pPr>
        <w:spacing w:after="160"/>
      </w:pPr>
      <w:r>
        <w:rPr>
          <w:b/>
          <w:color w:val="1F4E79"/>
          <w:sz w:val="32"/>
        </w:rPr>
        <w:t>Contenido</w:t>
      </w:r>
    </w:p>
    <w:p>
      <w:r>
        <w:fldChar w:fldCharType="begin"/>
      </w:r>
      <w:r>
        <w:instrText xml:space="preserve">TOC \o "1-2" \h \z \u</w:instrText>
      </w:r>
      <w:r>
        <w:fldChar w:fldCharType="separate"/>
      </w:r>
      <w:r>
        <w:rPr>
          <w:i/>
          <w:color w:val="595959"/>
          <w:sz w:val="19"/>
        </w:rPr>
        <w:t>El índice se completa al abrir el documento en Word. Si aparece este texto, seleccionelo y presione F9 para actualizarlo.</w:t>
      </w:r>
      <w:r>
        <w:fldChar w:fldCharType="end"/>
      </w:r>
    </w:p>
    <w:p>
      <w:r>
        <w:br w:type="page"/>
      </w:r>
    </w:p>
    <w:p>
      <w:pPr>
        <w:pStyle w:val="Heading1"/>
      </w:pPr>
      <w:r>
        <w:t>1. Qué se va a montar</w:t>
      </w:r>
    </w:p>
    <w:p>
      <w:pPr>
        <w:spacing w:after="140"/>
      </w:pPr>
      <w:r>
        <w:t>Desplegar el automatizador significa dejarlo «viviendo» en el servidor, listo para recibir facturas sin que nadie tenga que ejecutar nada a mano. Hay dos arquitecturas posibles y ambas pueden convivir en la misma instalación.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val="clear" w:color="auto" w:fill="DCE6F1"/>
          </w:tcPr>
          <w:p>
            <w:pPr>
              <w:spacing w:after="0" w:before="0" w:line="259" w:lineRule="auto"/>
            </w:pPr>
            <w:r>
              <w:rPr>
                <w:b/>
                <w:color w:val="1F4E79"/>
                <w:sz w:val="19"/>
              </w:rPr>
              <w:t>Arquitectura</w:t>
            </w:r>
          </w:p>
        </w:tc>
        <w:tc>
          <w:tcPr>
            <w:tcW w:type="dxa" w:w="3685"/>
            <w:shd w:val="clear" w:color="auto" w:fill="DCE6F1"/>
          </w:tcPr>
          <w:p>
            <w:pPr>
              <w:spacing w:after="0" w:before="0" w:line="259" w:lineRule="auto"/>
            </w:pPr>
            <w:r>
              <w:rPr>
                <w:b/>
                <w:color w:val="1F4E79"/>
                <w:sz w:val="19"/>
              </w:rPr>
              <w:t>Cómo llega la factura</w:t>
            </w:r>
          </w:p>
        </w:tc>
        <w:tc>
          <w:tcPr>
            <w:tcW w:type="dxa" w:w="3685"/>
            <w:shd w:val="clear" w:color="auto" w:fill="DCE6F1"/>
          </w:tcPr>
          <w:p>
            <w:pPr>
              <w:spacing w:after="0" w:before="0" w:line="259" w:lineRule="auto"/>
            </w:pPr>
            <w:r>
              <w:rPr>
                <w:b/>
                <w:color w:val="1F4E79"/>
                <w:sz w:val="19"/>
              </w:rPr>
              <w:t>Cuándo elegirla</w:t>
            </w:r>
          </w:p>
        </w:tc>
      </w:tr>
      <w:tr>
        <w:tc>
          <w:tcPr>
            <w:tcW w:type="dxa" w:w="2268"/>
          </w:tcPr>
          <w:p>
            <w:pPr>
              <w:spacing w:after="0" w:before="0" w:line="259" w:lineRule="auto"/>
            </w:pPr>
            <w:r>
              <w:rPr>
                <w:sz w:val="19"/>
              </w:rPr>
              <w:t>Endpoint HTTP</w:t>
            </w:r>
          </w:p>
        </w:tc>
        <w:tc>
          <w:tcPr>
            <w:tcW w:type="dxa" w:w="3685"/>
          </w:tcPr>
          <w:p>
            <w:pPr>
              <w:spacing w:after="0" w:before="0" w:line="259" w:lineRule="auto"/>
            </w:pPr>
            <w:r>
              <w:rPr>
                <w:sz w:val="19"/>
              </w:rPr>
              <w:t>El sistema externo hace una petición POST con el contenido del archivo y recibe el resultado en la misma llamada.</w:t>
            </w:r>
          </w:p>
        </w:tc>
        <w:tc>
          <w:tcPr>
            <w:tcW w:type="dxa" w:w="3685"/>
          </w:tcPr>
          <w:p>
            <w:pPr>
              <w:spacing w:after="0" w:before="0" w:line="259" w:lineRule="auto"/>
            </w:pPr>
            <w:r>
              <w:rPr>
                <w:sz w:val="19"/>
              </w:rPr>
              <w:t>Cuando el sistema de gestión necesita el CDC en el acto para mostrarlo en pantalla, imprimirlo o guardarlo junto a la venta. Es la opción recomendada.</w:t>
            </w:r>
          </w:p>
        </w:tc>
      </w:tr>
      <w:tr>
        <w:tc>
          <w:tcPr>
            <w:tcW w:type="dxa" w:w="2268"/>
            <w:shd w:val="clear" w:color="auto" w:fill="F7F9FC"/>
          </w:tcPr>
          <w:p>
            <w:pPr>
              <w:spacing w:after="0" w:before="0" w:line="259" w:lineRule="auto"/>
            </w:pPr>
            <w:r>
              <w:rPr>
                <w:sz w:val="19"/>
              </w:rPr>
              <w:t>Carpeta + cron</w:t>
            </w:r>
          </w:p>
        </w:tc>
        <w:tc>
          <w:tcPr>
            <w:tcW w:type="dxa" w:w="3685"/>
            <w:shd w:val="clear" w:color="auto" w:fill="F7F9FC"/>
          </w:tcPr>
          <w:p>
            <w:pPr>
              <w:spacing w:after="0" w:before="0" w:line="259" w:lineRule="auto"/>
            </w:pPr>
            <w:r>
              <w:rPr>
                <w:sz w:val="19"/>
              </w:rPr>
              <w:t xml:space="preserve">El sistema externo deposita archivos </w:t>
            </w:r>
            <w:r>
              <w:rPr>
                <w:rFonts w:ascii="Consolas" w:hAnsi="Consolas"/>
                <w:color w:val="A31515"/>
                <w:sz w:val="19"/>
              </w:rPr>
              <w:t>.txt</w:t>
            </w:r>
            <w:r>
              <w:rPr>
                <w:sz w:val="19"/>
              </w:rPr>
              <w:t xml:space="preserve"> en </w:t>
            </w:r>
            <w:r>
              <w:rPr>
                <w:rFonts w:ascii="Consolas" w:hAnsi="Consolas"/>
                <w:color w:val="A31515"/>
                <w:sz w:val="19"/>
              </w:rPr>
              <w:t>entrada/</w:t>
            </w:r>
            <w:r>
              <w:rPr>
                <w:sz w:val="19"/>
              </w:rPr>
              <w:t xml:space="preserve"> (por FTP, disco compartido o sincronización) y una tarea programada los procesa.</w:t>
            </w:r>
          </w:p>
        </w:tc>
        <w:tc>
          <w:tcPr>
            <w:tcW w:type="dxa" w:w="3685"/>
            <w:shd w:val="clear" w:color="auto" w:fill="F7F9FC"/>
          </w:tcPr>
          <w:p>
            <w:pPr>
              <w:spacing w:after="0" w:before="0" w:line="259" w:lineRule="auto"/>
            </w:pPr>
            <w:r>
              <w:rPr>
                <w:sz w:val="19"/>
              </w:rPr>
              <w:t>Cuando el sistema externo no puede hacer llamadas HTTP, o como red de contención junto al endpoint.</w:t>
            </w:r>
          </w:p>
        </w:tc>
      </w:tr>
    </w:tbl>
    <w:p>
      <w:pPr>
        <w:spacing w:after="80" w:before="0"/>
      </w:pPr>
    </w:p>
    <w:p>
      <w:pPr>
        <w:spacing w:after="140"/>
      </w:pPr>
      <w:r>
        <w:t>En ambos casos el resultado es el mismo: XML firmado, KuDE en PDF, correo al cliente y trazabilidad completa. Lo único que cambia es cómo entra el trabajo y con cuánta demora.</w:t>
      </w:r>
    </w:p>
    <w:p>
      <w:pPr>
        <w:pStyle w:val="Heading1"/>
      </w:pPr>
      <w:r>
        <w:t>2. Requisitos en el servidor</w:t>
      </w:r>
    </w:p>
    <w:p>
      <w:pPr>
        <w:pStyle w:val="ListBullet"/>
        <w:spacing w:after="80" w:line="276" w:lineRule="auto"/>
      </w:pPr>
      <w:r>
        <w:rPr>
          <w:b/>
        </w:rPr>
        <w:t>PHP 8.1 o superior</w:t>
      </w:r>
      <w:r>
        <w:t xml:space="preserve">, con las extensiones </w:t>
      </w:r>
      <w:r>
        <w:rPr>
          <w:rFonts w:ascii="Consolas" w:hAnsi="Consolas"/>
          <w:color w:val="A31515"/>
          <w:sz w:val="19"/>
        </w:rPr>
        <w:t>openssl</w:t>
      </w:r>
      <w:r>
        <w:t xml:space="preserve">, </w:t>
      </w:r>
      <w:r>
        <w:rPr>
          <w:rFonts w:ascii="Consolas" w:hAnsi="Consolas"/>
          <w:color w:val="A31515"/>
          <w:sz w:val="19"/>
        </w:rPr>
        <w:t>dom</w:t>
      </w:r>
      <w:r>
        <w:t xml:space="preserve"> y </w:t>
      </w:r>
      <w:r>
        <w:rPr>
          <w:rFonts w:ascii="Consolas" w:hAnsi="Consolas"/>
          <w:color w:val="A31515"/>
          <w:sz w:val="19"/>
        </w:rPr>
        <w:t>mbstring</w:t>
      </w:r>
      <w:r>
        <w:t xml:space="preserve"> habilitadas. En cPanel se configura desde </w:t>
      </w:r>
      <w:r>
        <w:rPr>
          <w:i/>
        </w:rPr>
        <w:t>Select PHP Version</w:t>
      </w:r>
      <w:r>
        <w:t>.</w:t>
      </w:r>
    </w:p>
    <w:p>
      <w:pPr>
        <w:pStyle w:val="ListBullet"/>
        <w:spacing w:after="80" w:line="276" w:lineRule="auto"/>
      </w:pPr>
      <w:r>
        <w:rPr>
          <w:b/>
        </w:rPr>
        <w:t>Un dominio o subdominio disponible</w:t>
      </w:r>
      <w:r>
        <w:t xml:space="preserve"> si se va a usar el endpoint HTTP, preferentemente con certificado SSL activo.</w:t>
      </w:r>
    </w:p>
    <w:p>
      <w:pPr>
        <w:pStyle w:val="ListBullet"/>
        <w:spacing w:after="80" w:line="276" w:lineRule="auto"/>
      </w:pPr>
      <w:r>
        <w:rPr>
          <w:b/>
        </w:rPr>
        <w:t>Acceso a la programación de tareas</w:t>
      </w:r>
      <w:r>
        <w:t xml:space="preserve"> (</w:t>
      </w:r>
      <w:r>
        <w:rPr>
          <w:i/>
        </w:rPr>
        <w:t>Cron Jobs</w:t>
      </w:r>
      <w:r>
        <w:t>) si se va a usar la modalidad de carpeta.</w:t>
      </w:r>
    </w:p>
    <w:p>
      <w:pPr>
        <w:pStyle w:val="ListBullet"/>
        <w:spacing w:after="80" w:line="276" w:lineRule="auto"/>
      </w:pPr>
      <w:r>
        <w:rPr>
          <w:b/>
        </w:rPr>
        <w:t>Acceso saliente por HTTPS</w:t>
      </w:r>
      <w:r>
        <w:t xml:space="preserve"> hacia los web services de la DNIT, para los modos </w:t>
      </w:r>
      <w:r>
        <w:rPr>
          <w:rFonts w:ascii="Consolas" w:hAnsi="Consolas"/>
          <w:color w:val="A31515"/>
          <w:sz w:val="19"/>
        </w:rPr>
        <w:t>test</w:t>
      </w:r>
      <w:r>
        <w:t xml:space="preserve"> y </w:t>
      </w:r>
      <w:r>
        <w:rPr>
          <w:rFonts w:ascii="Consolas" w:hAnsi="Consolas"/>
          <w:color w:val="A31515"/>
          <w:sz w:val="19"/>
        </w:rPr>
        <w:t>prod</w:t>
      </w:r>
      <w:r>
        <w:t>.</w:t>
      </w:r>
    </w:p>
    <w:p>
      <w:pPr>
        <w:pStyle w:val="ListBullet"/>
        <w:spacing w:after="80" w:line="276" w:lineRule="auto"/>
      </w:pPr>
      <w:r>
        <w:rPr>
          <w:b/>
        </w:rPr>
        <w:t>El certificado digital de la empresa</w:t>
      </w:r>
      <w:r>
        <w:t xml:space="preserve">, que se copiará dentro de la carpeta </w:t>
      </w:r>
      <w:r>
        <w:rPr>
          <w:rFonts w:ascii="Consolas" w:hAnsi="Consolas"/>
          <w:color w:val="A31515"/>
          <w:sz w:val="19"/>
        </w:rPr>
        <w:t>certs/</w:t>
      </w:r>
      <w:r>
        <w:t>.</w:t>
      </w:r>
    </w:p>
    <w:p>
      <w:pPr>
        <w:pStyle w:val="Heading1"/>
      </w:pPr>
      <w:r>
        <w:t>3. Instalación paso a paso</w:t>
      </w:r>
    </w:p>
    <w:p>
      <w:pPr>
        <w:pStyle w:val="Heading2"/>
      </w:pPr>
      <w:r>
        <w:t>3.1. Subir el proyecto fuera del directorio público</w:t>
      </w:r>
    </w:p>
    <w:p>
      <w:pPr>
        <w:spacing w:after="140"/>
      </w:pPr>
      <w:r>
        <w:t xml:space="preserve">La carpeta completa del automatizador debe quedar </w:t>
      </w:r>
      <w:r>
        <w:rPr>
          <w:b/>
        </w:rPr>
        <w:t>fuera</w:t>
      </w:r>
      <w:r>
        <w:t xml:space="preserve"> de </w:t>
      </w:r>
      <w:r>
        <w:rPr>
          <w:rFonts w:ascii="Consolas" w:hAnsi="Consolas"/>
          <w:color w:val="A31515"/>
          <w:sz w:val="19"/>
        </w:rPr>
        <w:t>public_html</w:t>
      </w:r>
      <w:r>
        <w:t>. Una ubicación habitual es el directorio personal del usuario:</w:t>
      </w:r>
    </w:p>
    <w:p>
      <w:pPr>
        <w:keepNext w:val="0"/>
        <w:pBdr>
          <w:left w:val="single" w:sz="12" w:space="6" w:color="2E74B5"/>
        </w:pBdr>
        <w:shd w:val="clear" w:color="auto" w:fill="F2F4F7"/>
        <w:spacing w:before="80" w:after="160" w:line="240" w:lineRule="auto"/>
        <w:ind w:left="227" w:right="113"/>
      </w:pPr>
      <w:r>
        <w:rPr>
          <w:rFonts w:ascii="Consolas" w:hAnsi="Consolas"/>
          <w:sz w:val="17"/>
        </w:rPr>
        <w:t>/home/usuario/sifen_automatizador</w:t>
      </w:r>
    </w:p>
    <w:p>
      <w:pPr>
        <w:spacing w:after="140"/>
      </w:pPr>
      <w:r>
        <w:t>Esto es una medida de seguridad, no una preferencia de organización: dentro del proyecto viven el archivo de configuración con las contraseñas, el certificado digital y los documentos fiscales ya emitidos. Nada de eso debe ser alcanzable desde un navegador.</w:t>
      </w:r>
    </w:p>
    <w:p>
      <w:pPr>
        <w:pStyle w:val="Heading2"/>
      </w:pPr>
      <w:r>
        <w:t>3.2. Publicar únicamente la carpeta public/</w:t>
      </w:r>
    </w:p>
    <w:p>
      <w:pPr>
        <w:spacing w:after="140"/>
      </w:pPr>
      <w:r>
        <w:t xml:space="preserve">En cPanel, en la sección </w:t>
      </w:r>
      <w:r>
        <w:rPr>
          <w:i/>
        </w:rPr>
        <w:t>Domains</w:t>
      </w:r>
      <w:r>
        <w:t xml:space="preserve"> o </w:t>
      </w:r>
      <w:r>
        <w:rPr>
          <w:i/>
        </w:rPr>
        <w:t>Subdomains</w:t>
      </w:r>
      <w:r>
        <w:t xml:space="preserve">, se crea el subdominio que atenderá las peticiones —por ejemplo </w:t>
      </w:r>
      <w:r>
        <w:rPr>
          <w:rFonts w:ascii="Consolas" w:hAnsi="Consolas"/>
          <w:color w:val="A31515"/>
          <w:sz w:val="19"/>
        </w:rPr>
        <w:t>facturacion.tudominio.com</w:t>
      </w:r>
      <w:r>
        <w:t xml:space="preserve">— y se le asigna como </w:t>
      </w:r>
      <w:r>
        <w:rPr>
          <w:b/>
        </w:rPr>
        <w:t>Document Root</w:t>
      </w:r>
      <w:r>
        <w:t xml:space="preserve"> la subcarpeta pública del proyecto:</w:t>
      </w:r>
    </w:p>
    <w:p>
      <w:pPr>
        <w:keepNext w:val="0"/>
        <w:pBdr>
          <w:left w:val="single" w:sz="12" w:space="6" w:color="2E74B5"/>
        </w:pBdr>
        <w:shd w:val="clear" w:color="auto" w:fill="F2F4F7"/>
        <w:spacing w:before="80" w:after="160" w:line="240" w:lineRule="auto"/>
        <w:ind w:left="227" w:right="113"/>
      </w:pPr>
      <w:r>
        <w:rPr>
          <w:rFonts w:ascii="Consolas" w:hAnsi="Consolas"/>
          <w:sz w:val="17"/>
        </w:rPr>
        <w:t>/home/usuario/sifen_automatizador/public</w:t>
      </w:r>
    </w:p>
    <w:p>
      <w:pPr>
        <w:spacing w:after="140"/>
      </w:pPr>
      <w:r>
        <w:t>Con esta configuración solo quedan accesibles los dos archivos que deben estarlo: el que recibe las facturas y el que entrega las descargas. Todo lo demás —motor, código fuente, configuración, certificados, carpetas de datos— queda por encima de la raíz web y, por lo tanto, fuera del alcance de cualquier visitante.</w:t>
      </w:r>
    </w:p>
    <w:p>
      <w:pPr>
        <w:pBdr>
          <w:top w:val="single" w:sz="4" w:space="6" w:color="EAF4FB"/>
          <w:left w:val="single" w:sz="18" w:space="8" w:color="2E74B5"/>
          <w:bottom w:val="single" w:sz="4" w:space="6" w:color="EAF4FB"/>
          <w:right w:val="single" w:sz="4" w:space="6" w:color="EAF4FB"/>
        </w:pBdr>
        <w:shd w:val="clear" w:color="auto" w:fill="EAF4FB"/>
        <w:spacing w:before="160" w:after="200" w:line="276" w:lineRule="auto"/>
        <w:ind w:left="227" w:right="170"/>
      </w:pPr>
      <w:r>
        <w:rPr>
          <w:b/>
          <w:color w:val="1F4E79"/>
        </w:rPr>
        <w:t xml:space="preserve">REFUERZO  </w:t>
      </w:r>
      <w:r>
        <w:t xml:space="preserve">el proyecto incluye un </w:t>
      </w:r>
      <w:r>
        <w:rPr>
          <w:rFonts w:ascii="Consolas" w:hAnsi="Consolas"/>
          <w:color w:val="A31515"/>
          <w:sz w:val="19"/>
        </w:rPr>
        <w:t>.htaccess</w:t>
      </w:r>
      <w:r>
        <w:t xml:space="preserve"> en su raíz que bloquea el listado de directorios y niega el acceso directo al archivo de configuración, al código y a las carpetas de datos. Conviene conservarlo aunque el proyecto ya esté fuera de </w:t>
      </w:r>
      <w:r>
        <w:rPr>
          <w:rFonts w:ascii="Consolas" w:hAnsi="Consolas"/>
          <w:color w:val="A31515"/>
          <w:sz w:val="19"/>
        </w:rPr>
        <w:t>public_html</w:t>
      </w:r>
      <w:r>
        <w:t>: funciona como segunda línea de defensa si alguien mueve la instalación.</w:t>
      </w:r>
    </w:p>
    <w:p>
      <w:pPr>
        <w:pStyle w:val="Heading2"/>
      </w:pPr>
      <w:r>
        <w:t>3.3. Crear y completar el archivo de configuración</w:t>
      </w:r>
    </w:p>
    <w:p>
      <w:pPr>
        <w:keepNext/>
        <w:pBdr>
          <w:left w:val="single" w:sz="12" w:space="6" w:color="2E74B5"/>
        </w:pBdr>
        <w:shd w:val="clear" w:color="auto" w:fill="F2F4F7"/>
        <w:spacing w:before="80" w:after="0" w:line="240" w:lineRule="auto"/>
        <w:ind w:left="227" w:right="113"/>
      </w:pPr>
      <w:r>
        <w:rPr>
          <w:rFonts w:ascii="Consolas" w:hAnsi="Consolas"/>
          <w:sz w:val="17"/>
        </w:rPr>
        <w:t>cd /home/usuario/sifen_automatizador</w:t>
      </w:r>
    </w:p>
    <w:p>
      <w:pPr>
        <w:keepNext w:val="0"/>
        <w:pBdr>
          <w:left w:val="single" w:sz="12" w:space="6" w:color="2E74B5"/>
        </w:pBdr>
        <w:shd w:val="clear" w:color="auto" w:fill="F2F4F7"/>
        <w:spacing w:before="0" w:after="160" w:line="240" w:lineRule="auto"/>
        <w:ind w:left="227" w:right="113"/>
      </w:pPr>
      <w:r>
        <w:rPr>
          <w:rFonts w:ascii="Consolas" w:hAnsi="Consolas"/>
          <w:sz w:val="17"/>
        </w:rPr>
        <w:t>cp .env.example .env</w:t>
      </w:r>
    </w:p>
    <w:p>
      <w:pPr>
        <w:spacing w:after="140"/>
      </w:pPr>
      <w:r>
        <w:t xml:space="preserve">Después hay que editar el </w:t>
      </w:r>
      <w:r>
        <w:rPr>
          <w:rFonts w:ascii="Consolas" w:hAnsi="Consolas"/>
          <w:color w:val="A31515"/>
          <w:sz w:val="19"/>
        </w:rPr>
        <w:t>.env</w:t>
      </w:r>
      <w:r>
        <w:t xml:space="preserve"> y completar, como mínimo: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08"/>
            <w:shd w:val="clear" w:color="auto" w:fill="DCE6F1"/>
          </w:tcPr>
          <w:p>
            <w:pPr>
              <w:spacing w:after="0" w:before="0" w:line="259" w:lineRule="auto"/>
            </w:pPr>
            <w:r>
              <w:rPr>
                <w:b/>
                <w:color w:val="1F4E79"/>
                <w:sz w:val="19"/>
              </w:rPr>
              <w:t>Variables</w:t>
            </w:r>
          </w:p>
        </w:tc>
        <w:tc>
          <w:tcPr>
            <w:tcW w:type="dxa" w:w="7030"/>
            <w:shd w:val="clear" w:color="auto" w:fill="DCE6F1"/>
          </w:tcPr>
          <w:p>
            <w:pPr>
              <w:spacing w:after="0" w:before="0" w:line="259" w:lineRule="auto"/>
            </w:pPr>
            <w:r>
              <w:rPr>
                <w:b/>
                <w:color w:val="1F4E79"/>
                <w:sz w:val="19"/>
              </w:rPr>
              <w:t>Qué se completa</w:t>
            </w:r>
          </w:p>
        </w:tc>
      </w:tr>
      <w:tr>
        <w:tc>
          <w:tcPr>
            <w:tcW w:type="dxa" w:w="2608"/>
          </w:tcPr>
          <w:p>
            <w:pPr>
              <w:spacing w:after="0" w:before="0" w:line="259" w:lineRule="auto"/>
            </w:pPr>
            <w:r>
              <w:rPr>
                <w:rFonts w:ascii="Consolas" w:hAnsi="Consolas"/>
                <w:sz w:val="17"/>
              </w:rPr>
              <w:t>EMISOR_*</w:t>
            </w:r>
          </w:p>
        </w:tc>
        <w:tc>
          <w:tcPr>
            <w:tcW w:type="dxa" w:w="7030"/>
          </w:tcPr>
          <w:p>
            <w:pPr>
              <w:spacing w:after="0" w:before="0" w:line="259" w:lineRule="auto"/>
            </w:pPr>
            <w:r>
              <w:rPr>
                <w:sz w:val="19"/>
              </w:rPr>
              <w:t>Todos los datos fiscales de la empresa: RUC y dígito verificador, razón social, nombre de fantasía, dirección y número, códigos y descripciones de departamento, distrito y ciudad, teléfono, correo, código y descripción de actividad económica, número de timbrado con sus fechas de vigencia, y establecimiento y punto de expedición.</w:t>
            </w:r>
          </w:p>
        </w:tc>
      </w:tr>
      <w:tr>
        <w:tc>
          <w:tcPr>
            <w:tcW w:type="dxa" w:w="2608"/>
            <w:shd w:val="clear" w:color="auto" w:fill="F7F9FC"/>
          </w:tcPr>
          <w:p>
            <w:pPr>
              <w:spacing w:after="0" w:before="0" w:line="259" w:lineRule="auto"/>
            </w:pPr>
            <w:r>
              <w:rPr>
                <w:rFonts w:ascii="Consolas" w:hAnsi="Consolas"/>
                <w:sz w:val="17"/>
              </w:rPr>
              <w:t>SIFEN_ID_CSC</w:t>
              <w:br/>
              <w:t>SIFEN_CSC</w:t>
            </w:r>
          </w:p>
        </w:tc>
        <w:tc>
          <w:tcPr>
            <w:tcW w:type="dxa" w:w="7030"/>
            <w:shd w:val="clear" w:color="auto" w:fill="F7F9FC"/>
          </w:tcPr>
          <w:p>
            <w:pPr>
              <w:spacing w:after="0" w:before="0" w:line="259" w:lineRule="auto"/>
            </w:pPr>
            <w:r>
              <w:rPr>
                <w:sz w:val="19"/>
              </w:rPr>
              <w:t>Identificador y Código de Seguridad del Contribuyente entregados por la DNIT, usados para firmar el contenido del código QR.</w:t>
            </w:r>
          </w:p>
        </w:tc>
      </w:tr>
      <w:tr>
        <w:tc>
          <w:tcPr>
            <w:tcW w:type="dxa" w:w="2608"/>
          </w:tcPr>
          <w:p>
            <w:pPr>
              <w:spacing w:after="0" w:before="0" w:line="259" w:lineRule="auto"/>
            </w:pPr>
            <w:r>
              <w:rPr>
                <w:rFonts w:ascii="Consolas" w:hAnsi="Consolas"/>
                <w:sz w:val="17"/>
              </w:rPr>
              <w:t>APP_URL</w:t>
            </w:r>
          </w:p>
        </w:tc>
        <w:tc>
          <w:tcPr>
            <w:tcW w:type="dxa" w:w="7030"/>
          </w:tcPr>
          <w:p>
            <w:pPr>
              <w:spacing w:after="0" w:before="0" w:line="259" w:lineRule="auto"/>
            </w:pPr>
            <w:r>
              <w:rPr>
                <w:sz w:val="19"/>
              </w:rPr>
              <w:t xml:space="preserve">La dirección pública del subdominio, por ejemplo </w:t>
            </w:r>
            <w:r>
              <w:rPr>
                <w:rFonts w:ascii="Consolas" w:hAnsi="Consolas"/>
                <w:color w:val="A31515"/>
                <w:sz w:val="19"/>
              </w:rPr>
              <w:t>https://facturacion.tudominio.com</w:t>
            </w:r>
            <w:r>
              <w:rPr>
                <w:sz w:val="19"/>
              </w:rPr>
              <w:t>. Con ella se arman los enlaces de descarga que devuelve la API.</w:t>
            </w:r>
          </w:p>
        </w:tc>
      </w:tr>
      <w:tr>
        <w:tc>
          <w:tcPr>
            <w:tcW w:type="dxa" w:w="2608"/>
            <w:shd w:val="clear" w:color="auto" w:fill="F7F9FC"/>
          </w:tcPr>
          <w:p>
            <w:pPr>
              <w:spacing w:after="0" w:before="0" w:line="259" w:lineRule="auto"/>
            </w:pPr>
            <w:r>
              <w:rPr>
                <w:rFonts w:ascii="Consolas" w:hAnsi="Consolas"/>
                <w:sz w:val="17"/>
              </w:rPr>
              <w:t>SIFEN_API_TOKEN</w:t>
            </w:r>
          </w:p>
        </w:tc>
        <w:tc>
          <w:tcPr>
            <w:tcW w:type="dxa" w:w="7030"/>
            <w:shd w:val="clear" w:color="auto" w:fill="F7F9FC"/>
          </w:tcPr>
          <w:p>
            <w:pPr>
              <w:spacing w:after="0" w:before="0" w:line="259" w:lineRule="auto"/>
            </w:pPr>
            <w:r>
              <w:rPr>
                <w:sz w:val="19"/>
              </w:rPr>
              <w:t xml:space="preserve">Una cadena larga y aleatoria que protegerá la API. </w:t>
            </w:r>
            <w:r>
              <w:rPr>
                <w:b/>
                <w:sz w:val="19"/>
              </w:rPr>
              <w:t>Si se deja vacía, el endpoint queda abierto a cualquiera.</w:t>
            </w:r>
          </w:p>
        </w:tc>
      </w:tr>
      <w:tr>
        <w:tc>
          <w:tcPr>
            <w:tcW w:type="dxa" w:w="2608"/>
          </w:tcPr>
          <w:p>
            <w:pPr>
              <w:spacing w:after="0" w:before="0" w:line="259" w:lineRule="auto"/>
            </w:pPr>
            <w:r>
              <w:rPr>
                <w:rFonts w:ascii="Consolas" w:hAnsi="Consolas"/>
                <w:sz w:val="17"/>
              </w:rPr>
              <w:t>SIFEN_MODE</w:t>
            </w:r>
          </w:p>
        </w:tc>
        <w:tc>
          <w:tcPr>
            <w:tcW w:type="dxa" w:w="7030"/>
          </w:tcPr>
          <w:p>
            <w:pPr>
              <w:spacing w:after="0" w:before="0" w:line="259" w:lineRule="auto"/>
            </w:pPr>
            <w:r>
              <w:rPr>
                <w:sz w:val="19"/>
              </w:rPr>
              <w:t xml:space="preserve">El modo de emisión: </w:t>
            </w:r>
            <w:r>
              <w:rPr>
                <w:rFonts w:ascii="Consolas" w:hAnsi="Consolas"/>
                <w:color w:val="A31515"/>
                <w:sz w:val="19"/>
              </w:rPr>
              <w:t>mock</w:t>
            </w:r>
            <w:r>
              <w:rPr>
                <w:sz w:val="19"/>
              </w:rPr>
              <w:t xml:space="preserve"> para las primeras pruebas, </w:t>
            </w:r>
            <w:r>
              <w:rPr>
                <w:rFonts w:ascii="Consolas" w:hAnsi="Consolas"/>
                <w:color w:val="A31515"/>
                <w:sz w:val="19"/>
              </w:rPr>
              <w:t>test</w:t>
            </w:r>
            <w:r>
              <w:rPr>
                <w:sz w:val="19"/>
              </w:rPr>
              <w:t xml:space="preserve"> para el ambiente de pruebas de la DNIT y </w:t>
            </w:r>
            <w:r>
              <w:rPr>
                <w:rFonts w:ascii="Consolas" w:hAnsi="Consolas"/>
                <w:color w:val="A31515"/>
                <w:sz w:val="19"/>
              </w:rPr>
              <w:t>prod</w:t>
            </w:r>
            <w:r>
              <w:rPr>
                <w:sz w:val="19"/>
              </w:rPr>
              <w:t xml:space="preserve"> para producción.</w:t>
            </w:r>
          </w:p>
        </w:tc>
      </w:tr>
      <w:tr>
        <w:tc>
          <w:tcPr>
            <w:tcW w:type="dxa" w:w="2608"/>
            <w:shd w:val="clear" w:color="auto" w:fill="F7F9FC"/>
          </w:tcPr>
          <w:p>
            <w:pPr>
              <w:spacing w:after="0" w:before="0" w:line="259" w:lineRule="auto"/>
            </w:pPr>
            <w:r>
              <w:rPr>
                <w:rFonts w:ascii="Consolas" w:hAnsi="Consolas"/>
                <w:sz w:val="17"/>
              </w:rPr>
              <w:t>SIFEN_CERT_</w:t>
            </w:r>
            <w:r>
              <w:rPr>
                <w:rFonts w:ascii="Consolas" w:hAnsi="Consolas"/>
                <w:i/>
                <w:sz w:val="17"/>
              </w:rPr>
              <w:br/>
              <w:t>SIFEN_PRIVATE_KEY_</w:t>
            </w:r>
          </w:p>
        </w:tc>
        <w:tc>
          <w:tcPr>
            <w:tcW w:type="dxa" w:w="7030"/>
            <w:shd w:val="clear" w:color="auto" w:fill="F7F9FC"/>
          </w:tcPr>
          <w:p>
            <w:pPr>
              <w:spacing w:after="0" w:before="0" w:line="259" w:lineRule="auto"/>
            </w:pPr>
            <w:r>
              <w:rPr>
                <w:sz w:val="19"/>
              </w:rPr>
              <w:t xml:space="preserve">Ruta y contraseña del certificado digital. Solo se completan en los modos </w:t>
            </w:r>
            <w:r>
              <w:rPr>
                <w:rFonts w:ascii="Consolas" w:hAnsi="Consolas"/>
                <w:color w:val="A31515"/>
                <w:sz w:val="19"/>
              </w:rPr>
              <w:t>test</w:t>
            </w:r>
            <w:r>
              <w:rPr>
                <w:sz w:val="19"/>
              </w:rPr>
              <w:t xml:space="preserve"> y </w:t>
            </w:r>
            <w:r>
              <w:rPr>
                <w:rFonts w:ascii="Consolas" w:hAnsi="Consolas"/>
                <w:color w:val="A31515"/>
                <w:sz w:val="19"/>
              </w:rPr>
              <w:t>prod</w:t>
            </w:r>
            <w:r>
              <w:rPr>
                <w:sz w:val="19"/>
              </w:rPr>
              <w:t>.</w:t>
            </w:r>
          </w:p>
        </w:tc>
      </w:tr>
      <w:tr>
        <w:tc>
          <w:tcPr>
            <w:tcW w:type="dxa" w:w="2608"/>
          </w:tcPr>
          <w:p>
            <w:pPr>
              <w:spacing w:after="0" w:before="0" w:line="259" w:lineRule="auto"/>
            </w:pPr>
            <w:r>
              <w:rPr>
                <w:rFonts w:ascii="Consolas" w:hAnsi="Consolas"/>
                <w:sz w:val="17"/>
              </w:rPr>
              <w:t>SIFEN_URL_*</w:t>
            </w:r>
          </w:p>
        </w:tc>
        <w:tc>
          <w:tcPr>
            <w:tcW w:type="dxa" w:w="7030"/>
          </w:tcPr>
          <w:p>
            <w:pPr>
              <w:spacing w:after="0" w:before="0" w:line="259" w:lineRule="auto"/>
            </w:pPr>
            <w:r>
              <w:rPr>
                <w:sz w:val="19"/>
              </w:rPr>
              <w:t>Direcciones de los web services de recepción y consulta de la DNIT, según el ambiente.</w:t>
            </w:r>
          </w:p>
        </w:tc>
      </w:tr>
      <w:tr>
        <w:tc>
          <w:tcPr>
            <w:tcW w:type="dxa" w:w="2608"/>
            <w:shd w:val="clear" w:color="auto" w:fill="F7F9FC"/>
          </w:tcPr>
          <w:p>
            <w:pPr>
              <w:spacing w:after="0" w:before="0" w:line="259" w:lineRule="auto"/>
            </w:pPr>
            <w:r>
              <w:rPr>
                <w:rFonts w:ascii="Consolas" w:hAnsi="Consolas"/>
                <w:sz w:val="17"/>
              </w:rPr>
              <w:t>MAIL_*</w:t>
            </w:r>
          </w:p>
        </w:tc>
        <w:tc>
          <w:tcPr>
            <w:tcW w:type="dxa" w:w="7030"/>
            <w:shd w:val="clear" w:color="auto" w:fill="F7F9FC"/>
          </w:tcPr>
          <w:p>
            <w:pPr>
              <w:spacing w:after="0" w:before="0" w:line="259" w:lineRule="auto"/>
            </w:pPr>
            <w:r>
              <w:rPr>
                <w:sz w:val="19"/>
              </w:rPr>
              <w:t xml:space="preserve">Servidor SMTP, credenciales y remitente para el envío de comprobantes. Si </w:t>
            </w:r>
            <w:r>
              <w:rPr>
                <w:rFonts w:ascii="Consolas" w:hAnsi="Consolas"/>
                <w:color w:val="A31515"/>
                <w:sz w:val="19"/>
              </w:rPr>
              <w:t>MAIL_FROM_EMAIL</w:t>
            </w:r>
            <w:r>
              <w:rPr>
                <w:sz w:val="19"/>
              </w:rPr>
              <w:t xml:space="preserve"> queda vacío, no se envían correos y el resto del proceso sigue funcionando.</w:t>
            </w:r>
          </w:p>
        </w:tc>
      </w:tr>
    </w:tbl>
    <w:p>
      <w:pPr>
        <w:spacing w:after="80" w:before="0"/>
      </w:pPr>
    </w:p>
    <w:p>
      <w:pPr>
        <w:pBdr>
          <w:top w:val="single" w:sz="4" w:space="6" w:color="EDF7ED"/>
          <w:left w:val="single" w:sz="18" w:space="8" w:color="4CAF50"/>
          <w:bottom w:val="single" w:sz="4" w:space="6" w:color="EDF7ED"/>
          <w:right w:val="single" w:sz="4" w:space="6" w:color="EDF7ED"/>
        </w:pBdr>
        <w:shd w:val="clear" w:color="auto" w:fill="EDF7ED"/>
        <w:spacing w:before="160" w:after="200" w:line="276" w:lineRule="auto"/>
        <w:ind w:left="227" w:right="170"/>
      </w:pPr>
      <w:r>
        <w:rPr>
          <w:b/>
          <w:color w:val="1E5B22"/>
        </w:rPr>
        <w:t xml:space="preserve">GENERAR EL TOKEN  </w:t>
      </w:r>
      <w:r>
        <w:t xml:space="preserve">un valor aleatorio de al menos 32 caracteres es suficiente. Por ejemplo, en el propio servidor: </w:t>
      </w:r>
      <w:r>
        <w:rPr>
          <w:rFonts w:ascii="Consolas" w:hAnsi="Consolas"/>
          <w:color w:val="A31515"/>
          <w:sz w:val="19"/>
        </w:rPr>
        <w:t>php -r "echo bin2hex(random_bytes(24));"</w:t>
      </w:r>
    </w:p>
    <w:p>
      <w:pPr>
        <w:pStyle w:val="Heading2"/>
      </w:pPr>
      <w:r>
        <w:t>3.4. Permisos de las carpetas</w:t>
      </w:r>
    </w:p>
    <w:p>
      <w:pPr>
        <w:spacing w:after="140"/>
      </w:pPr>
      <w:r>
        <w:t xml:space="preserve">El usuario con el que corre PHP debe poder escribir en las carpetas de trabajo. En un hosting con cPanel alcanza con permiso </w:t>
      </w:r>
      <w:r>
        <w:rPr>
          <w:rFonts w:ascii="Consolas" w:hAnsi="Consolas"/>
          <w:color w:val="A31515"/>
          <w:sz w:val="19"/>
        </w:rPr>
        <w:t>755</w:t>
      </w:r>
      <w:r>
        <w:t>:</w:t>
      </w:r>
    </w:p>
    <w:p>
      <w:pPr>
        <w:keepNext w:val="0"/>
        <w:pBdr>
          <w:left w:val="single" w:sz="12" w:space="6" w:color="2E74B5"/>
        </w:pBdr>
        <w:shd w:val="clear" w:color="auto" w:fill="F2F4F7"/>
        <w:spacing w:before="80" w:after="160" w:line="240" w:lineRule="auto"/>
        <w:ind w:left="227" w:right="113"/>
      </w:pPr>
      <w:r>
        <w:rPr>
          <w:rFonts w:ascii="Consolas" w:hAnsi="Consolas"/>
          <w:sz w:val="17"/>
        </w:rPr>
        <w:t>chmod 755 entrada procesados errores salida logs certs</w:t>
      </w:r>
    </w:p>
    <w:p>
      <w:pPr>
        <w:spacing w:after="140"/>
      </w:pPr>
      <w:r>
        <w:t>La carpeta de certificados es la más sensible: debe ser legible por el proceso de PHP y por nadie más. Si el hosting lo permite, conviene restringirla todavía más.</w:t>
      </w:r>
    </w:p>
    <w:p>
      <w:pPr>
        <w:pStyle w:val="Heading2"/>
      </w:pPr>
      <w:r>
        <w:t>3.5. Prueba de humo</w:t>
      </w:r>
    </w:p>
    <w:p>
      <w:pPr>
        <w:spacing w:after="140"/>
      </w:pPr>
      <w:r>
        <w:t xml:space="preserve">Antes de conectar el sistema externo conviene comprobar que la instalación responde, con el modo en </w:t>
      </w:r>
      <w:r>
        <w:rPr>
          <w:rFonts w:ascii="Consolas" w:hAnsi="Consolas"/>
          <w:color w:val="A31515"/>
          <w:sz w:val="19"/>
        </w:rPr>
        <w:t>mock</w:t>
      </w:r>
      <w:r>
        <w:t xml:space="preserve"> para no generar documentos con valor fiscal:</w:t>
      </w:r>
    </w:p>
    <w:p>
      <w:pPr>
        <w:keepNext/>
        <w:pBdr>
          <w:left w:val="single" w:sz="12" w:space="6" w:color="2E74B5"/>
        </w:pBdr>
        <w:shd w:val="clear" w:color="auto" w:fill="F2F4F7"/>
        <w:spacing w:before="80" w:after="0" w:line="240" w:lineRule="auto"/>
        <w:ind w:left="227" w:right="113"/>
      </w:pPr>
      <w:r>
        <w:rPr>
          <w:rFonts w:ascii="Consolas" w:hAnsi="Consolas"/>
          <w:sz w:val="17"/>
        </w:rPr>
        <w:t>cp ejemplos/factura_ejemplo.txt entrada/</w:t>
      </w:r>
    </w:p>
    <w:p>
      <w:pPr>
        <w:keepNext/>
        <w:pBdr>
          <w:left w:val="single" w:sz="12" w:space="6" w:color="2E74B5"/>
        </w:pBdr>
        <w:shd w:val="clear" w:color="auto" w:fill="F2F4F7"/>
        <w:spacing w:before="0" w:after="0" w:line="240" w:lineRule="auto"/>
        <w:ind w:left="227" w:right="113"/>
      </w:pPr>
      <w:r>
        <w:rPr>
          <w:rFonts w:ascii="Consolas" w:hAnsi="Consolas"/>
          <w:sz w:val="17"/>
        </w:rPr>
        <w:t>php bin/procesar.php</w:t>
      </w:r>
    </w:p>
    <w:p>
      <w:pPr>
        <w:keepNext w:val="0"/>
        <w:pBdr>
          <w:left w:val="single" w:sz="12" w:space="6" w:color="2E74B5"/>
        </w:pBdr>
        <w:shd w:val="clear" w:color="auto" w:fill="F2F4F7"/>
        <w:spacing w:before="0" w:after="160" w:line="240" w:lineRule="auto"/>
        <w:ind w:left="227" w:right="113"/>
      </w:pPr>
      <w:r>
        <w:rPr>
          <w:rFonts w:ascii="Consolas" w:hAnsi="Consolas"/>
          <w:sz w:val="17"/>
        </w:rPr>
        <w:t>ls salida/         # deben aparecer .xml, .pdf y .json</w:t>
      </w:r>
    </w:p>
    <w:p>
      <w:pPr>
        <w:spacing w:after="140"/>
      </w:pPr>
      <w:r>
        <w:t>Si el PDF se abre correctamente y los datos del emisor son los esperados, la instalación está lista.</w:t>
      </w:r>
    </w:p>
    <w:p>
      <w:pPr>
        <w:pStyle w:val="Heading1"/>
      </w:pPr>
      <w:r>
        <w:t>4. La API HTTP</w:t>
      </w:r>
    </w:p>
    <w:p>
      <w:pPr>
        <w:pStyle w:val="Heading2"/>
      </w:pPr>
      <w:r>
        <w:t>4.1. Principio general</w:t>
      </w:r>
    </w:p>
    <w:p>
      <w:pPr>
        <w:spacing w:after="140"/>
      </w:pPr>
      <w:r>
        <w:t xml:space="preserve">El endpoint acepta el contenido del archivo de tres maneras distintas y </w:t>
      </w:r>
      <w:r>
        <w:rPr>
          <w:b/>
        </w:rPr>
        <w:t>siempre responde el mismo JSON.</w:t>
      </w:r>
      <w:r>
        <w:t xml:space="preserve"> Esta flexibilidad existe para que el sistema externo pueda usar la forma que le resulte más natural, sin que eso cambie nada del lado del automatizador.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val="clear" w:color="auto" w:fill="DCE6F1"/>
          </w:tcPr>
          <w:p>
            <w:pPr>
              <w:spacing w:after="0" w:before="0" w:line="259" w:lineRule="auto"/>
            </w:pPr>
            <w:r>
              <w:rPr>
                <w:b/>
                <w:color w:val="1F4E79"/>
                <w:sz w:val="19"/>
              </w:rPr>
              <w:t>Concepto</w:t>
            </w:r>
          </w:p>
        </w:tc>
        <w:tc>
          <w:tcPr>
            <w:tcW w:type="dxa" w:w="2381"/>
            <w:shd w:val="clear" w:color="auto" w:fill="DCE6F1"/>
          </w:tcPr>
          <w:p>
            <w:pPr>
              <w:spacing w:after="0" w:before="0" w:line="259" w:lineRule="auto"/>
            </w:pPr>
            <w:r>
              <w:rPr>
                <w:b/>
                <w:color w:val="1F4E79"/>
                <w:sz w:val="19"/>
              </w:rPr>
              <w:t>Valor</w:t>
            </w:r>
          </w:p>
        </w:tc>
        <w:tc>
          <w:tcPr>
            <w:tcW w:type="dxa" w:w="5556"/>
            <w:shd w:val="clear" w:color="auto" w:fill="DCE6F1"/>
          </w:tcPr>
          <w:p>
            <w:pPr>
              <w:spacing w:after="0" w:before="0" w:line="259" w:lineRule="auto"/>
            </w:pPr>
            <w:r>
              <w:rPr>
                <w:b/>
                <w:color w:val="1F4E79"/>
                <w:sz w:val="19"/>
              </w:rPr>
              <w:t>Detalle</w:t>
            </w:r>
          </w:p>
        </w:tc>
      </w:tr>
      <w:tr>
        <w:tc>
          <w:tcPr>
            <w:tcW w:type="dxa" w:w="1701"/>
          </w:tcPr>
          <w:p>
            <w:pPr>
              <w:spacing w:after="0" w:before="0" w:line="259" w:lineRule="auto"/>
            </w:pPr>
            <w:r>
              <w:rPr>
                <w:sz w:val="19"/>
              </w:rPr>
              <w:t>Dirección</w:t>
            </w:r>
          </w:p>
        </w:tc>
        <w:tc>
          <w:tcPr>
            <w:tcW w:type="dxa" w:w="2381"/>
          </w:tcPr>
          <w:p>
            <w:pPr>
              <w:spacing w:after="0" w:before="0" w:line="259" w:lineRule="auto"/>
            </w:pPr>
            <w:r>
              <w:rPr>
                <w:sz w:val="19"/>
              </w:rPr>
              <w:t>La raíz del subdominio</w:t>
            </w:r>
          </w:p>
        </w:tc>
        <w:tc>
          <w:tcPr>
            <w:tcW w:type="dxa" w:w="5556"/>
          </w:tcPr>
          <w:p>
            <w:pPr>
              <w:spacing w:after="0" w:before="0" w:line="259" w:lineRule="auto"/>
            </w:pPr>
            <w:r>
              <w:rPr>
                <w:sz w:val="19"/>
              </w:rPr>
              <w:t xml:space="preserve">Por ejemplo </w:t>
            </w:r>
            <w:r>
              <w:rPr>
                <w:rFonts w:ascii="Consolas" w:hAnsi="Consolas"/>
                <w:color w:val="A31515"/>
                <w:sz w:val="19"/>
              </w:rPr>
              <w:t>https://facturacion.tudominio.com/</w:t>
            </w:r>
          </w:p>
        </w:tc>
      </w:tr>
      <w:tr>
        <w:tc>
          <w:tcPr>
            <w:tcW w:type="dxa" w:w="1701"/>
            <w:shd w:val="clear" w:color="auto" w:fill="F7F9FC"/>
          </w:tcPr>
          <w:p>
            <w:pPr>
              <w:spacing w:after="0" w:before="0" w:line="259" w:lineRule="auto"/>
            </w:pPr>
            <w:r>
              <w:rPr>
                <w:sz w:val="19"/>
              </w:rPr>
              <w:t>Método</w:t>
            </w:r>
          </w:p>
        </w:tc>
        <w:tc>
          <w:tcPr>
            <w:tcW w:type="dxa" w:w="2381"/>
            <w:shd w:val="clear" w:color="auto" w:fill="F7F9FC"/>
          </w:tcPr>
          <w:p>
            <w:pPr>
              <w:spacing w:after="0" w:before="0" w:line="259" w:lineRule="auto"/>
            </w:pPr>
            <w:r>
              <w:rPr>
                <w:sz w:val="19"/>
              </w:rPr>
              <w:t>POST</w:t>
            </w:r>
          </w:p>
        </w:tc>
        <w:tc>
          <w:tcPr>
            <w:tcW w:type="dxa" w:w="5556"/>
            <w:shd w:val="clear" w:color="auto" w:fill="F7F9FC"/>
          </w:tcPr>
          <w:p>
            <w:pPr>
              <w:spacing w:after="0" w:before="0" w:line="259" w:lineRule="auto"/>
            </w:pPr>
            <w:r>
              <w:rPr>
                <w:sz w:val="19"/>
              </w:rPr>
              <w:t>Cualquier otro método se rechaza con el código 405.</w:t>
            </w:r>
          </w:p>
        </w:tc>
      </w:tr>
      <w:tr>
        <w:tc>
          <w:tcPr>
            <w:tcW w:type="dxa" w:w="1701"/>
          </w:tcPr>
          <w:p>
            <w:pPr>
              <w:spacing w:after="0" w:before="0" w:line="259" w:lineRule="auto"/>
            </w:pPr>
            <w:r>
              <w:rPr>
                <w:sz w:val="19"/>
              </w:rPr>
              <w:t>Autenticación</w:t>
            </w:r>
          </w:p>
        </w:tc>
        <w:tc>
          <w:tcPr>
            <w:tcW w:type="dxa" w:w="2381"/>
          </w:tcPr>
          <w:p>
            <w:pPr>
              <w:spacing w:after="0" w:before="0" w:line="259" w:lineRule="auto"/>
            </w:pPr>
            <w:r>
              <w:rPr>
                <w:sz w:val="19"/>
              </w:rPr>
              <w:t xml:space="preserve">Cabecera </w:t>
            </w:r>
            <w:r>
              <w:rPr>
                <w:rFonts w:ascii="Consolas" w:hAnsi="Consolas"/>
                <w:color w:val="A31515"/>
                <w:sz w:val="19"/>
              </w:rPr>
              <w:t>X-API-Token</w:t>
            </w:r>
          </w:p>
        </w:tc>
        <w:tc>
          <w:tcPr>
            <w:tcW w:type="dxa" w:w="5556"/>
          </w:tcPr>
          <w:p>
            <w:pPr>
              <w:spacing w:after="0" w:before="0" w:line="259" w:lineRule="auto"/>
            </w:pPr>
            <w:r>
              <w:rPr>
                <w:sz w:val="19"/>
              </w:rPr>
              <w:t xml:space="preserve">Debe coincidir con el valor de </w:t>
            </w:r>
            <w:r>
              <w:rPr>
                <w:rFonts w:ascii="Consolas" w:hAnsi="Consolas"/>
                <w:color w:val="A31515"/>
                <w:sz w:val="19"/>
              </w:rPr>
              <w:t>SIFEN_API_TOKEN</w:t>
            </w:r>
            <w:r>
              <w:rPr>
                <w:sz w:val="19"/>
              </w:rPr>
              <w:t xml:space="preserve">. Si esa variable está vacía en el </w:t>
            </w:r>
            <w:r>
              <w:rPr>
                <w:rFonts w:ascii="Consolas" w:hAnsi="Consolas"/>
                <w:color w:val="A31515"/>
                <w:sz w:val="19"/>
              </w:rPr>
              <w:t>.env</w:t>
            </w:r>
            <w:r>
              <w:rPr>
                <w:sz w:val="19"/>
              </w:rPr>
              <w:t>, no se exige token y el endpoint queda público: solo aceptable en una red privada.</w:t>
            </w:r>
          </w:p>
        </w:tc>
      </w:tr>
      <w:tr>
        <w:tc>
          <w:tcPr>
            <w:tcW w:type="dxa" w:w="1701"/>
            <w:shd w:val="clear" w:color="auto" w:fill="F7F9FC"/>
          </w:tcPr>
          <w:p>
            <w:pPr>
              <w:spacing w:after="0" w:before="0" w:line="259" w:lineRule="auto"/>
            </w:pPr>
            <w:r>
              <w:rPr>
                <w:sz w:val="19"/>
              </w:rPr>
              <w:t>Respuesta</w:t>
            </w:r>
          </w:p>
        </w:tc>
        <w:tc>
          <w:tcPr>
            <w:tcW w:type="dxa" w:w="2381"/>
            <w:shd w:val="clear" w:color="auto" w:fill="F7F9FC"/>
          </w:tcPr>
          <w:p>
            <w:pPr>
              <w:spacing w:after="0" w:before="0" w:line="259" w:lineRule="auto"/>
            </w:pPr>
            <w:r>
              <w:rPr>
                <w:sz w:val="19"/>
              </w:rPr>
              <w:t>JSON</w:t>
            </w:r>
          </w:p>
        </w:tc>
        <w:tc>
          <w:tcPr>
            <w:tcW w:type="dxa" w:w="5556"/>
            <w:shd w:val="clear" w:color="auto" w:fill="F7F9FC"/>
          </w:tcPr>
          <w:p>
            <w:pPr>
              <w:spacing w:after="0" w:before="0" w:line="259" w:lineRule="auto"/>
            </w:pPr>
            <w:r>
              <w:rPr>
                <w:sz w:val="19"/>
              </w:rPr>
              <w:t xml:space="preserve">Con </w:t>
            </w:r>
            <w:r>
              <w:rPr>
                <w:rFonts w:ascii="Consolas" w:hAnsi="Consolas"/>
                <w:color w:val="A31515"/>
                <w:sz w:val="19"/>
              </w:rPr>
              <w:t>ok</w:t>
            </w:r>
            <w:r>
              <w:rPr>
                <w:sz w:val="19"/>
              </w:rPr>
              <w:t xml:space="preserve"> en verdadero y el detalle de cada factura, o con </w:t>
            </w:r>
            <w:r>
              <w:rPr>
                <w:rFonts w:ascii="Consolas" w:hAnsi="Consolas"/>
                <w:color w:val="A31515"/>
                <w:sz w:val="19"/>
              </w:rPr>
              <w:t>ok</w:t>
            </w:r>
            <w:r>
              <w:rPr>
                <w:sz w:val="19"/>
              </w:rPr>
              <w:t xml:space="preserve"> en falso y el mensaje de error.</w:t>
            </w:r>
          </w:p>
        </w:tc>
      </w:tr>
    </w:tbl>
    <w:p>
      <w:pPr>
        <w:spacing w:after="80" w:before="0"/>
      </w:pPr>
    </w:p>
    <w:p>
      <w:pPr>
        <w:pStyle w:val="Heading2"/>
      </w:pPr>
      <w:r>
        <w:t>4.2. Las tres formas de enviar el archivo</w:t>
      </w:r>
    </w:p>
    <w:p>
      <w:pPr>
        <w:pStyle w:val="Heading3"/>
      </w:pPr>
      <w:r>
        <w:t>A) Como archivo adjunto (multipart)</w:t>
      </w:r>
    </w:p>
    <w:p>
      <w:pPr>
        <w:spacing w:after="140"/>
      </w:pPr>
      <w:r>
        <w:t xml:space="preserve">Es la forma más parecida a subir un archivo desde un formulario. El contenido viaja en el campo </w:t>
      </w:r>
      <w:r>
        <w:rPr>
          <w:rFonts w:ascii="Consolas" w:hAnsi="Consolas"/>
          <w:color w:val="A31515"/>
          <w:sz w:val="19"/>
        </w:rPr>
        <w:t>archivo</w:t>
      </w:r>
      <w:r>
        <w:t>.</w:t>
      </w:r>
    </w:p>
    <w:p>
      <w:pPr>
        <w:keepNext/>
        <w:pBdr>
          <w:left w:val="single" w:sz="12" w:space="6" w:color="2E74B5"/>
        </w:pBdr>
        <w:shd w:val="clear" w:color="auto" w:fill="F2F4F7"/>
        <w:spacing w:before="80" w:after="0" w:line="240" w:lineRule="auto"/>
        <w:ind w:left="227" w:right="113"/>
      </w:pPr>
      <w:r>
        <w:rPr>
          <w:rFonts w:ascii="Consolas" w:hAnsi="Consolas"/>
          <w:sz w:val="17"/>
        </w:rPr>
        <w:t>curl -X POST https://facturacion.tudominio.com/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-H "X-API-Token: TU_TOKEN" \</w:t>
      </w:r>
    </w:p>
    <w:p>
      <w:pPr>
        <w:keepNext w:val="0"/>
        <w:pBdr>
          <w:left w:val="single" w:sz="12" w:space="6" w:color="2E74B5"/>
        </w:pBdr>
        <w:shd w:val="clear" w:color="auto" w:fill="F2F4F7"/>
        <w:spacing w:before="0" w:after="160" w:line="240" w:lineRule="auto"/>
        <w:ind w:left="227" w:right="113"/>
      </w:pPr>
      <w:r>
        <w:rPr>
          <w:rFonts w:ascii="Consolas" w:hAnsi="Consolas"/>
          <w:sz w:val="17"/>
        </w:rPr>
        <w:t xml:space="preserve">  -F "archivo=@factura.txt"</w:t>
      </w:r>
    </w:p>
    <w:p>
      <w:pPr>
        <w:pStyle w:val="Heading3"/>
      </w:pPr>
      <w:r>
        <w:t>B) Como campo de formulario</w:t>
      </w:r>
    </w:p>
    <w:p>
      <w:pPr>
        <w:spacing w:after="140"/>
      </w:pPr>
      <w:r>
        <w:t xml:space="preserve">El contenido del archivo viaja como texto en el campo </w:t>
      </w:r>
      <w:r>
        <w:rPr>
          <w:rFonts w:ascii="Consolas" w:hAnsi="Consolas"/>
          <w:color w:val="A31515"/>
          <w:sz w:val="19"/>
        </w:rPr>
        <w:t>contenido</w:t>
      </w:r>
      <w:r>
        <w:t>. Es cómodo cuando el sistema externo ya arma la cadena en memoria y no quiere escribir un archivo temporal.</w:t>
      </w:r>
    </w:p>
    <w:p>
      <w:pPr>
        <w:keepNext/>
        <w:pBdr>
          <w:left w:val="single" w:sz="12" w:space="6" w:color="2E74B5"/>
        </w:pBdr>
        <w:shd w:val="clear" w:color="auto" w:fill="F2F4F7"/>
        <w:spacing w:before="80" w:after="0" w:line="240" w:lineRule="auto"/>
        <w:ind w:left="227" w:right="113"/>
      </w:pPr>
      <w:r>
        <w:rPr>
          <w:rFonts w:ascii="Consolas" w:hAnsi="Consolas"/>
          <w:sz w:val="17"/>
        </w:rPr>
        <w:t>curl -X POST https://facturacion.tudominio.com/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-H "X-API-Token: TU_TOKEN"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--data-urlencode "contenido=FAC|001|001|0000123|2026-06-21|1|PYG</w:t>
      </w:r>
    </w:p>
    <w:p>
      <w:pPr>
        <w:keepNext/>
        <w:pBdr>
          <w:left w:val="single" w:sz="12" w:space="6" w:color="2E74B5"/>
        </w:pBdr>
        <w:shd w:val="clear" w:color="auto" w:fill="F2F4F7"/>
        <w:spacing w:before="0" w:after="0" w:line="240" w:lineRule="auto"/>
        <w:ind w:left="227" w:right="113"/>
      </w:pPr>
      <w:r>
        <w:rPr>
          <w:rFonts w:ascii="Consolas" w:hAnsi="Consolas"/>
          <w:sz w:val="17"/>
        </w:rPr>
        <w:t>CLI|RUC|80012345-6|Cliente S.A.|cliente@correo.com||</w:t>
      </w:r>
    </w:p>
    <w:p>
      <w:pPr>
        <w:keepNext w:val="0"/>
        <w:pBdr>
          <w:left w:val="single" w:sz="12" w:space="6" w:color="2E74B5"/>
        </w:pBdr>
        <w:shd w:val="clear" w:color="auto" w:fill="F2F4F7"/>
        <w:spacing w:before="0" w:after="160" w:line="240" w:lineRule="auto"/>
        <w:ind w:left="227" w:right="113"/>
      </w:pPr>
      <w:r>
        <w:rPr>
          <w:rFonts w:ascii="Consolas" w:hAnsi="Consolas"/>
          <w:sz w:val="17"/>
        </w:rPr>
        <w:t>ITM|P1|Producto|1|100000|10"</w:t>
      </w:r>
    </w:p>
    <w:p>
      <w:pPr>
        <w:pStyle w:val="Heading3"/>
      </w:pPr>
      <w:r>
        <w:t>C) Como cuerpo crudo</w:t>
      </w:r>
    </w:p>
    <w:p>
      <w:pPr>
        <w:spacing w:after="140"/>
      </w:pPr>
      <w:r>
        <w:t xml:space="preserve">La forma más directa: el cuerpo de la petición </w:t>
      </w:r>
      <w:r>
        <w:rPr>
          <w:i/>
        </w:rPr>
        <w:t>es</w:t>
      </w:r>
      <w:r>
        <w:t xml:space="preserve"> el contenido del archivo, con tipo de contenido </w:t>
      </w:r>
      <w:r>
        <w:rPr>
          <w:rFonts w:ascii="Consolas" w:hAnsi="Consolas"/>
          <w:color w:val="A31515"/>
          <w:sz w:val="19"/>
        </w:rPr>
        <w:t>text/plain</w:t>
      </w:r>
      <w:r>
        <w:t>. Es la opción recomendada para integraciones desde código.</w:t>
      </w:r>
    </w:p>
    <w:p>
      <w:pPr>
        <w:keepNext/>
        <w:pBdr>
          <w:left w:val="single" w:sz="12" w:space="6" w:color="2E74B5"/>
        </w:pBdr>
        <w:shd w:val="clear" w:color="auto" w:fill="F2F4F7"/>
        <w:spacing w:before="80" w:after="0" w:line="240" w:lineRule="auto"/>
        <w:ind w:left="227" w:right="113"/>
      </w:pPr>
      <w:r>
        <w:rPr>
          <w:rFonts w:ascii="Consolas" w:hAnsi="Consolas"/>
          <w:sz w:val="17"/>
        </w:rPr>
        <w:t>curl -X POST https://facturacion.tudominio.com/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-H "X-API-Token: TU_TOKEN"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-H "Content-Type: text/plain" \</w:t>
      </w:r>
    </w:p>
    <w:p>
      <w:pPr>
        <w:keepNext w:val="0"/>
        <w:pBdr>
          <w:left w:val="single" w:sz="12" w:space="6" w:color="2E74B5"/>
        </w:pBdr>
        <w:shd w:val="clear" w:color="auto" w:fill="F2F4F7"/>
        <w:spacing w:before="0" w:after="160" w:line="240" w:lineRule="auto"/>
        <w:ind w:left="227" w:right="113"/>
      </w:pPr>
      <w:r>
        <w:rPr>
          <w:rFonts w:ascii="Consolas" w:hAnsi="Consolas"/>
          <w:sz w:val="17"/>
        </w:rPr>
        <w:t xml:space="preserve">  --data-binary @factura.txt</w:t>
      </w:r>
    </w:p>
    <w:p>
      <w:pPr>
        <w:spacing w:after="140"/>
      </w:pPr>
      <w:r>
        <w:t xml:space="preserve">Los tres comandos completos, junto con la respuesta esperada, se distribuyen como texto plano en </w:t>
      </w:r>
      <w:r>
        <w:rPr>
          <w:rFonts w:ascii="Consolas" w:hAnsi="Consolas"/>
          <w:color w:val="A31515"/>
          <w:sz w:val="19"/>
        </w:rPr>
        <w:t>ejemplos/integracion_curl.txt</w:t>
      </w:r>
      <w:r>
        <w:t>.</w:t>
      </w:r>
    </w:p>
    <w:p>
      <w:pPr>
        <w:pStyle w:val="Heading2"/>
      </w:pPr>
      <w:r>
        <w:t>4.3. Respuesta cuando todo sale bien</w:t>
      </w:r>
    </w:p>
    <w:p>
      <w:pPr>
        <w:keepNext/>
        <w:pBdr>
          <w:left w:val="single" w:sz="12" w:space="6" w:color="2E74B5"/>
        </w:pBdr>
        <w:shd w:val="clear" w:color="auto" w:fill="F2F4F7"/>
        <w:spacing w:before="8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"ok": true,</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"facturas":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"factura": 1,</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"cdc": "01800123456001001000012320260621...",</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"estado": "APROBADO",</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"track_id": "1234567890",</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"xml_url": "https://facturacion.tudominio.com/descargar.php?f=&lt;CDC&gt;.xml",</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"kude_url": "https://facturacion.tudominio.com/descargar.php?f=&lt;CDC&gt;.pdf",</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"mail_enviado": true</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val="0"/>
        <w:pBdr>
          <w:left w:val="single" w:sz="12" w:space="6" w:color="2E74B5"/>
        </w:pBdr>
        <w:shd w:val="clear" w:color="auto" w:fill="F2F4F7"/>
        <w:spacing w:before="0" w:after="160" w:line="240" w:lineRule="auto"/>
        <w:ind w:left="227" w:right="113"/>
      </w:pPr>
      <w:r>
        <w:rPr>
          <w:rFonts w:ascii="Consolas" w:hAnsi="Consolas"/>
          <w:sz w:val="17"/>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DCE6F1"/>
          </w:tcPr>
          <w:p>
            <w:pPr>
              <w:spacing w:after="0" w:before="0" w:line="259" w:lineRule="auto"/>
            </w:pPr>
            <w:r>
              <w:rPr>
                <w:b/>
                <w:color w:val="1F4E79"/>
                <w:sz w:val="19"/>
              </w:rPr>
              <w:t>Campo</w:t>
            </w:r>
          </w:p>
        </w:tc>
        <w:tc>
          <w:tcPr>
            <w:tcW w:type="dxa" w:w="7710"/>
            <w:shd w:val="clear" w:color="auto" w:fill="DCE6F1"/>
          </w:tcPr>
          <w:p>
            <w:pPr>
              <w:spacing w:after="0" w:before="0" w:line="259" w:lineRule="auto"/>
            </w:pPr>
            <w:r>
              <w:rPr>
                <w:b/>
                <w:color w:val="1F4E79"/>
                <w:sz w:val="19"/>
              </w:rPr>
              <w:t>Significado</w:t>
            </w:r>
          </w:p>
        </w:tc>
      </w:tr>
      <w:tr>
        <w:tc>
          <w:tcPr>
            <w:tcW w:type="dxa" w:w="1928"/>
          </w:tcPr>
          <w:p>
            <w:pPr>
              <w:spacing w:after="0" w:before="0" w:line="259" w:lineRule="auto"/>
            </w:pPr>
            <w:r>
              <w:rPr>
                <w:rFonts w:ascii="Consolas" w:hAnsi="Consolas"/>
                <w:sz w:val="17"/>
              </w:rPr>
              <w:t>factura</w:t>
            </w:r>
          </w:p>
        </w:tc>
        <w:tc>
          <w:tcPr>
            <w:tcW w:type="dxa" w:w="7710"/>
          </w:tcPr>
          <w:p>
            <w:pPr>
              <w:spacing w:after="0" w:before="0" w:line="259" w:lineRule="auto"/>
            </w:pPr>
            <w:r>
              <w:rPr>
                <w:sz w:val="19"/>
              </w:rPr>
              <w:t>Número de orden de la factura dentro del archivo enviado, empezando por 1. Sirve para relacionar cada resultado con la venta que lo originó cuando se envían lotes.</w:t>
            </w:r>
          </w:p>
        </w:tc>
      </w:tr>
      <w:tr>
        <w:tc>
          <w:tcPr>
            <w:tcW w:type="dxa" w:w="1928"/>
            <w:shd w:val="clear" w:color="auto" w:fill="F7F9FC"/>
          </w:tcPr>
          <w:p>
            <w:pPr>
              <w:spacing w:after="0" w:before="0" w:line="259" w:lineRule="auto"/>
            </w:pPr>
            <w:r>
              <w:rPr>
                <w:rFonts w:ascii="Consolas" w:hAnsi="Consolas"/>
                <w:sz w:val="17"/>
              </w:rPr>
              <w:t>cdc</w:t>
            </w:r>
          </w:p>
        </w:tc>
        <w:tc>
          <w:tcPr>
            <w:tcW w:type="dxa" w:w="7710"/>
            <w:shd w:val="clear" w:color="auto" w:fill="F7F9FC"/>
          </w:tcPr>
          <w:p>
            <w:pPr>
              <w:spacing w:after="0" w:before="0" w:line="259" w:lineRule="auto"/>
            </w:pPr>
            <w:r>
              <w:rPr>
                <w:sz w:val="19"/>
              </w:rPr>
              <w:t xml:space="preserve">Código de Control de 44 dígitos. </w:t>
            </w:r>
            <w:r>
              <w:rPr>
                <w:b/>
                <w:sz w:val="19"/>
              </w:rPr>
              <w:t>Es el dato que conviene guardar en la base de datos del sistema externo:</w:t>
            </w:r>
            <w:r>
              <w:rPr>
                <w:sz w:val="19"/>
              </w:rPr>
              <w:t xml:space="preserve"> identifica al documento ante la DNIT para siempre.</w:t>
            </w:r>
          </w:p>
        </w:tc>
      </w:tr>
      <w:tr>
        <w:tc>
          <w:tcPr>
            <w:tcW w:type="dxa" w:w="1928"/>
          </w:tcPr>
          <w:p>
            <w:pPr>
              <w:spacing w:after="0" w:before="0" w:line="259" w:lineRule="auto"/>
            </w:pPr>
            <w:r>
              <w:rPr>
                <w:rFonts w:ascii="Consolas" w:hAnsi="Consolas"/>
                <w:sz w:val="17"/>
              </w:rPr>
              <w:t>estado</w:t>
            </w:r>
          </w:p>
        </w:tc>
        <w:tc>
          <w:tcPr>
            <w:tcW w:type="dxa" w:w="7710"/>
          </w:tcPr>
          <w:p>
            <w:pPr>
              <w:spacing w:after="0" w:before="0" w:line="259" w:lineRule="auto"/>
            </w:pPr>
            <w:r>
              <w:rPr>
                <w:sz w:val="19"/>
              </w:rPr>
              <w:t xml:space="preserve">Estado devuelto por la DNIT, normalmente </w:t>
            </w:r>
            <w:r>
              <w:rPr>
                <w:rFonts w:ascii="Consolas" w:hAnsi="Consolas"/>
                <w:color w:val="A31515"/>
                <w:sz w:val="19"/>
              </w:rPr>
              <w:t>APROBADO</w:t>
            </w:r>
            <w:r>
              <w:rPr>
                <w:sz w:val="19"/>
              </w:rPr>
              <w:t>.</w:t>
            </w:r>
          </w:p>
        </w:tc>
      </w:tr>
      <w:tr>
        <w:tc>
          <w:tcPr>
            <w:tcW w:type="dxa" w:w="1928"/>
            <w:shd w:val="clear" w:color="auto" w:fill="F7F9FC"/>
          </w:tcPr>
          <w:p>
            <w:pPr>
              <w:spacing w:after="0" w:before="0" w:line="259" w:lineRule="auto"/>
            </w:pPr>
            <w:r>
              <w:rPr>
                <w:rFonts w:ascii="Consolas" w:hAnsi="Consolas"/>
                <w:sz w:val="17"/>
              </w:rPr>
              <w:t>track_id</w:t>
            </w:r>
          </w:p>
        </w:tc>
        <w:tc>
          <w:tcPr>
            <w:tcW w:type="dxa" w:w="7710"/>
            <w:shd w:val="clear" w:color="auto" w:fill="F7F9FC"/>
          </w:tcPr>
          <w:p>
            <w:pPr>
              <w:spacing w:after="0" w:before="0" w:line="259" w:lineRule="auto"/>
            </w:pPr>
            <w:r>
              <w:rPr>
                <w:sz w:val="19"/>
              </w:rPr>
              <w:t>Identificador de seguimiento de la DNIT, útil para consultas posteriores.</w:t>
            </w:r>
          </w:p>
        </w:tc>
      </w:tr>
      <w:tr>
        <w:tc>
          <w:tcPr>
            <w:tcW w:type="dxa" w:w="1928"/>
          </w:tcPr>
          <w:p>
            <w:pPr>
              <w:spacing w:after="0" w:before="0" w:line="259" w:lineRule="auto"/>
            </w:pPr>
            <w:r>
              <w:rPr>
                <w:rFonts w:ascii="Consolas" w:hAnsi="Consolas"/>
                <w:sz w:val="17"/>
              </w:rPr>
              <w:t>xml_url</w:t>
            </w:r>
          </w:p>
        </w:tc>
        <w:tc>
          <w:tcPr>
            <w:tcW w:type="dxa" w:w="7710"/>
          </w:tcPr>
          <w:p>
            <w:pPr>
              <w:spacing w:after="0" w:before="0" w:line="259" w:lineRule="auto"/>
            </w:pPr>
            <w:r>
              <w:rPr>
                <w:sz w:val="19"/>
              </w:rPr>
              <w:t>Enlace de descarga del XML firmado.</w:t>
            </w:r>
          </w:p>
        </w:tc>
      </w:tr>
      <w:tr>
        <w:tc>
          <w:tcPr>
            <w:tcW w:type="dxa" w:w="1928"/>
            <w:shd w:val="clear" w:color="auto" w:fill="F7F9FC"/>
          </w:tcPr>
          <w:p>
            <w:pPr>
              <w:spacing w:after="0" w:before="0" w:line="259" w:lineRule="auto"/>
            </w:pPr>
            <w:r>
              <w:rPr>
                <w:rFonts w:ascii="Consolas" w:hAnsi="Consolas"/>
                <w:sz w:val="17"/>
              </w:rPr>
              <w:t>kude_url</w:t>
            </w:r>
          </w:p>
        </w:tc>
        <w:tc>
          <w:tcPr>
            <w:tcW w:type="dxa" w:w="7710"/>
            <w:shd w:val="clear" w:color="auto" w:fill="F7F9FC"/>
          </w:tcPr>
          <w:p>
            <w:pPr>
              <w:spacing w:after="0" w:before="0" w:line="259" w:lineRule="auto"/>
            </w:pPr>
            <w:r>
              <w:rPr>
                <w:sz w:val="19"/>
              </w:rPr>
              <w:t>Enlace de descarga del KuDE en PDF.</w:t>
            </w:r>
          </w:p>
        </w:tc>
      </w:tr>
      <w:tr>
        <w:tc>
          <w:tcPr>
            <w:tcW w:type="dxa" w:w="1928"/>
          </w:tcPr>
          <w:p>
            <w:pPr>
              <w:spacing w:after="0" w:before="0" w:line="259" w:lineRule="auto"/>
            </w:pPr>
            <w:r>
              <w:rPr>
                <w:rFonts w:ascii="Consolas" w:hAnsi="Consolas"/>
                <w:sz w:val="17"/>
              </w:rPr>
              <w:t>mail_enviado</w:t>
            </w:r>
          </w:p>
        </w:tc>
        <w:tc>
          <w:tcPr>
            <w:tcW w:type="dxa" w:w="7710"/>
          </w:tcPr>
          <w:p>
            <w:pPr>
              <w:spacing w:after="0" w:before="0" w:line="259" w:lineRule="auto"/>
            </w:pPr>
            <w:r>
              <w:rPr>
                <w:sz w:val="19"/>
              </w:rPr>
              <w:t>Indica si el comprobante llegó a enviarse por correo al cliente. Un valor falso no invalida la factura: solo significa que el correo no salió, ya sea porque el cliente no tiene dirección informada o porque el servidor SMTP falló.</w:t>
            </w:r>
          </w:p>
        </w:tc>
      </w:tr>
    </w:tbl>
    <w:p>
      <w:pPr>
        <w:spacing w:after="80" w:before="0"/>
      </w:pPr>
    </w:p>
    <w:p>
      <w:pPr>
        <w:pStyle w:val="Heading2"/>
      </w:pPr>
      <w:r>
        <w:t>4.4. Respuesta cuando algo falla</w:t>
      </w:r>
    </w:p>
    <w:p>
      <w:pPr>
        <w:keepNext w:val="0"/>
        <w:pBdr>
          <w:left w:val="single" w:sz="12" w:space="6" w:color="2E74B5"/>
        </w:pBdr>
        <w:shd w:val="clear" w:color="auto" w:fill="F2F4F7"/>
        <w:spacing w:before="80" w:after="160" w:line="240" w:lineRule="auto"/>
        <w:ind w:left="227" w:right="113"/>
      </w:pPr>
      <w:r>
        <w:rPr>
          <w:rFonts w:ascii="Consolas" w:hAnsi="Consolas"/>
          <w:sz w:val="17"/>
        </w:rPr>
        <w:t>{ "ok": false, "error": "Factura #1: no tiene ítems (ITM)." }</w:t>
      </w:r>
    </w:p>
    <w:p>
      <w:pPr>
        <w:spacing w:after="140"/>
      </w:pPr>
      <w:r>
        <w:t xml:space="preserve">El mensaje siempre identifica la factura y el motivo. Si el archivo contenía varias facturas y una falla, </w:t>
      </w:r>
      <w:r>
        <w:rPr>
          <w:b/>
        </w:rPr>
        <w:t>ninguna se emite</w:t>
      </w:r>
      <w:r>
        <w:t>: el archivo es la unidad de trabajo. Por eso conviene enviar una factura por petición.</w:t>
      </w:r>
    </w:p>
    <w:p>
      <w:pPr>
        <w:pStyle w:val="Heading2"/>
      </w:pPr>
      <w:r>
        <w:t>4.5. Códigos de estado HTTP</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247"/>
            <w:shd w:val="clear" w:color="auto" w:fill="DCE6F1"/>
          </w:tcPr>
          <w:p>
            <w:pPr>
              <w:spacing w:after="0" w:before="0" w:line="259" w:lineRule="auto"/>
            </w:pPr>
            <w:r>
              <w:rPr>
                <w:b/>
                <w:color w:val="1F4E79"/>
                <w:sz w:val="19"/>
              </w:rPr>
              <w:t>Código</w:t>
            </w:r>
          </w:p>
        </w:tc>
        <w:tc>
          <w:tcPr>
            <w:tcW w:type="dxa" w:w="2494"/>
            <w:shd w:val="clear" w:color="auto" w:fill="DCE6F1"/>
          </w:tcPr>
          <w:p>
            <w:pPr>
              <w:spacing w:after="0" w:before="0" w:line="259" w:lineRule="auto"/>
            </w:pPr>
            <w:r>
              <w:rPr>
                <w:b/>
                <w:color w:val="1F4E79"/>
                <w:sz w:val="19"/>
              </w:rPr>
              <w:t>Significado</w:t>
            </w:r>
          </w:p>
        </w:tc>
        <w:tc>
          <w:tcPr>
            <w:tcW w:type="dxa" w:w="5896"/>
            <w:shd w:val="clear" w:color="auto" w:fill="DCE6F1"/>
          </w:tcPr>
          <w:p>
            <w:pPr>
              <w:spacing w:after="0" w:before="0" w:line="259" w:lineRule="auto"/>
            </w:pPr>
            <w:r>
              <w:rPr>
                <w:b/>
                <w:color w:val="1F4E79"/>
                <w:sz w:val="19"/>
              </w:rPr>
              <w:t>Qué hacer</w:t>
            </w:r>
          </w:p>
        </w:tc>
      </w:tr>
      <w:tr>
        <w:tc>
          <w:tcPr>
            <w:tcW w:type="dxa" w:w="1247"/>
          </w:tcPr>
          <w:p>
            <w:pPr>
              <w:spacing w:after="0" w:before="0" w:line="259" w:lineRule="auto"/>
            </w:pPr>
            <w:r>
              <w:rPr>
                <w:rFonts w:ascii="Consolas" w:hAnsi="Consolas"/>
                <w:sz w:val="17"/>
              </w:rPr>
              <w:t>200</w:t>
            </w:r>
          </w:p>
        </w:tc>
        <w:tc>
          <w:tcPr>
            <w:tcW w:type="dxa" w:w="2494"/>
          </w:tcPr>
          <w:p>
            <w:pPr>
              <w:spacing w:after="0" w:before="0" w:line="259" w:lineRule="auto"/>
            </w:pPr>
            <w:r>
              <w:rPr>
                <w:sz w:val="19"/>
              </w:rPr>
              <w:t>Procesado correctamente</w:t>
            </w:r>
          </w:p>
        </w:tc>
        <w:tc>
          <w:tcPr>
            <w:tcW w:type="dxa" w:w="5896"/>
          </w:tcPr>
          <w:p>
            <w:pPr>
              <w:spacing w:after="0" w:before="0" w:line="259" w:lineRule="auto"/>
            </w:pPr>
            <w:r>
              <w:rPr>
                <w:sz w:val="19"/>
              </w:rPr>
              <w:t>Leer el JSON y guardar el CDC de cada factura.</w:t>
            </w:r>
          </w:p>
        </w:tc>
      </w:tr>
      <w:tr>
        <w:tc>
          <w:tcPr>
            <w:tcW w:type="dxa" w:w="1247"/>
            <w:shd w:val="clear" w:color="auto" w:fill="F7F9FC"/>
          </w:tcPr>
          <w:p>
            <w:pPr>
              <w:spacing w:after="0" w:before="0" w:line="259" w:lineRule="auto"/>
            </w:pPr>
            <w:r>
              <w:rPr>
                <w:rFonts w:ascii="Consolas" w:hAnsi="Consolas"/>
                <w:sz w:val="17"/>
              </w:rPr>
              <w:t>400</w:t>
            </w:r>
          </w:p>
        </w:tc>
        <w:tc>
          <w:tcPr>
            <w:tcW w:type="dxa" w:w="2494"/>
            <w:shd w:val="clear" w:color="auto" w:fill="F7F9FC"/>
          </w:tcPr>
          <w:p>
            <w:pPr>
              <w:spacing w:after="0" w:before="0" w:line="259" w:lineRule="auto"/>
            </w:pPr>
            <w:r>
              <w:rPr>
                <w:sz w:val="19"/>
              </w:rPr>
              <w:t>No se recibió contenido</w:t>
            </w:r>
          </w:p>
        </w:tc>
        <w:tc>
          <w:tcPr>
            <w:tcW w:type="dxa" w:w="5896"/>
            <w:shd w:val="clear" w:color="auto" w:fill="F7F9FC"/>
          </w:tcPr>
          <w:p>
            <w:pPr>
              <w:spacing w:after="0" w:before="0" w:line="259" w:lineRule="auto"/>
            </w:pPr>
            <w:r>
              <w:rPr>
                <w:sz w:val="19"/>
              </w:rPr>
              <w:t>La petición llegó vacía. Revisar que el contenido se envíe por alguna de las tres vías admitidas.</w:t>
            </w:r>
          </w:p>
        </w:tc>
      </w:tr>
      <w:tr>
        <w:tc>
          <w:tcPr>
            <w:tcW w:type="dxa" w:w="1247"/>
          </w:tcPr>
          <w:p>
            <w:pPr>
              <w:spacing w:after="0" w:before="0" w:line="259" w:lineRule="auto"/>
            </w:pPr>
            <w:r>
              <w:rPr>
                <w:rFonts w:ascii="Consolas" w:hAnsi="Consolas"/>
                <w:sz w:val="17"/>
              </w:rPr>
              <w:t>401</w:t>
            </w:r>
          </w:p>
        </w:tc>
        <w:tc>
          <w:tcPr>
            <w:tcW w:type="dxa" w:w="2494"/>
          </w:tcPr>
          <w:p>
            <w:pPr>
              <w:spacing w:after="0" w:before="0" w:line="259" w:lineRule="auto"/>
            </w:pPr>
            <w:r>
              <w:rPr>
                <w:sz w:val="19"/>
              </w:rPr>
              <w:t>Token inválido o ausente</w:t>
            </w:r>
          </w:p>
        </w:tc>
        <w:tc>
          <w:tcPr>
            <w:tcW w:type="dxa" w:w="5896"/>
          </w:tcPr>
          <w:p>
            <w:pPr>
              <w:spacing w:after="0" w:before="0" w:line="259" w:lineRule="auto"/>
            </w:pPr>
            <w:r>
              <w:rPr>
                <w:sz w:val="19"/>
              </w:rPr>
              <w:t xml:space="preserve">Comprobar la cabecera </w:t>
            </w:r>
            <w:r>
              <w:rPr>
                <w:rFonts w:ascii="Consolas" w:hAnsi="Consolas"/>
                <w:color w:val="A31515"/>
                <w:sz w:val="19"/>
              </w:rPr>
              <w:t>X-API-Token</w:t>
            </w:r>
            <w:r>
              <w:rPr>
                <w:sz w:val="19"/>
              </w:rPr>
              <w:t xml:space="preserve"> y que coincida con el valor del </w:t>
            </w:r>
            <w:r>
              <w:rPr>
                <w:rFonts w:ascii="Consolas" w:hAnsi="Consolas"/>
                <w:color w:val="A31515"/>
                <w:sz w:val="19"/>
              </w:rPr>
              <w:t>.env</w:t>
            </w:r>
            <w:r>
              <w:rPr>
                <w:sz w:val="19"/>
              </w:rPr>
              <w:t>.</w:t>
            </w:r>
          </w:p>
        </w:tc>
      </w:tr>
      <w:tr>
        <w:tc>
          <w:tcPr>
            <w:tcW w:type="dxa" w:w="1247"/>
            <w:shd w:val="clear" w:color="auto" w:fill="F7F9FC"/>
          </w:tcPr>
          <w:p>
            <w:pPr>
              <w:spacing w:after="0" w:before="0" w:line="259" w:lineRule="auto"/>
            </w:pPr>
            <w:r>
              <w:rPr>
                <w:rFonts w:ascii="Consolas" w:hAnsi="Consolas"/>
                <w:sz w:val="17"/>
              </w:rPr>
              <w:t>405</w:t>
            </w:r>
          </w:p>
        </w:tc>
        <w:tc>
          <w:tcPr>
            <w:tcW w:type="dxa" w:w="2494"/>
            <w:shd w:val="clear" w:color="auto" w:fill="F7F9FC"/>
          </w:tcPr>
          <w:p>
            <w:pPr>
              <w:spacing w:after="0" w:before="0" w:line="259" w:lineRule="auto"/>
            </w:pPr>
            <w:r>
              <w:rPr>
                <w:sz w:val="19"/>
              </w:rPr>
              <w:t>Método no permitido</w:t>
            </w:r>
          </w:p>
        </w:tc>
        <w:tc>
          <w:tcPr>
            <w:tcW w:type="dxa" w:w="5896"/>
            <w:shd w:val="clear" w:color="auto" w:fill="F7F9FC"/>
          </w:tcPr>
          <w:p>
            <w:pPr>
              <w:spacing w:after="0" w:before="0" w:line="259" w:lineRule="auto"/>
            </w:pPr>
            <w:r>
              <w:rPr>
                <w:sz w:val="19"/>
              </w:rPr>
              <w:t>El endpoint solo acepta POST.</w:t>
            </w:r>
          </w:p>
        </w:tc>
      </w:tr>
      <w:tr>
        <w:tc>
          <w:tcPr>
            <w:tcW w:type="dxa" w:w="1247"/>
          </w:tcPr>
          <w:p>
            <w:pPr>
              <w:spacing w:after="0" w:before="0" w:line="259" w:lineRule="auto"/>
            </w:pPr>
            <w:r>
              <w:rPr>
                <w:rFonts w:ascii="Consolas" w:hAnsi="Consolas"/>
                <w:sz w:val="17"/>
              </w:rPr>
              <w:t>422</w:t>
            </w:r>
          </w:p>
        </w:tc>
        <w:tc>
          <w:tcPr>
            <w:tcW w:type="dxa" w:w="2494"/>
          </w:tcPr>
          <w:p>
            <w:pPr>
              <w:spacing w:after="0" w:before="0" w:line="259" w:lineRule="auto"/>
            </w:pPr>
            <w:r>
              <w:rPr>
                <w:sz w:val="19"/>
              </w:rPr>
              <w:t>El contenido se recibió pero no pudo emitirse</w:t>
            </w:r>
          </w:p>
        </w:tc>
        <w:tc>
          <w:tcPr>
            <w:tcW w:type="dxa" w:w="5896"/>
          </w:tcPr>
          <w:p>
            <w:pPr>
              <w:spacing w:after="0" w:before="0" w:line="259" w:lineRule="auto"/>
            </w:pPr>
            <w:r>
              <w:rPr>
                <w:sz w:val="19"/>
              </w:rPr>
              <w:t xml:space="preserve">Es el caso más frecuente: datos inválidos en el archivo o rechazo de la DNIT. El campo </w:t>
            </w:r>
            <w:r>
              <w:rPr>
                <w:rFonts w:ascii="Consolas" w:hAnsi="Consolas"/>
                <w:color w:val="A31515"/>
                <w:sz w:val="19"/>
              </w:rPr>
              <w:t>error</w:t>
            </w:r>
            <w:r>
              <w:rPr>
                <w:sz w:val="19"/>
              </w:rPr>
              <w:t xml:space="preserve"> explica el motivo.</w:t>
            </w:r>
          </w:p>
        </w:tc>
      </w:tr>
    </w:tbl>
    <w:p>
      <w:pPr>
        <w:spacing w:after="80" w:before="0"/>
      </w:pPr>
    </w:p>
    <w:p>
      <w:pPr>
        <w:pStyle w:val="Heading1"/>
      </w:pPr>
      <w:r>
        <w:t>5. Descarga del XML y del KuDE</w:t>
      </w:r>
    </w:p>
    <w:p>
      <w:pPr>
        <w:spacing w:after="140"/>
      </w:pPr>
      <w:r>
        <w:t xml:space="preserve">Los enlaces que devuelve la API apuntan al descargador incluido en la carpeta pública. Ese componente aplica tres controles antes de entregar cualquier archivo: solo sirve archivos ubicados dentro de </w:t>
      </w:r>
      <w:r>
        <w:rPr>
          <w:rFonts w:ascii="Consolas" w:hAnsi="Consolas"/>
          <w:color w:val="A31515"/>
          <w:sz w:val="19"/>
        </w:rPr>
        <w:t>salida/</w:t>
      </w:r>
      <w:r>
        <w:t xml:space="preserve">, solo admite las extensiones </w:t>
      </w:r>
      <w:r>
        <w:rPr>
          <w:rFonts w:ascii="Consolas" w:hAnsi="Consolas"/>
          <w:color w:val="A31515"/>
          <w:sz w:val="19"/>
        </w:rPr>
        <w:t>.xml</w:t>
      </w:r>
      <w:r>
        <w:t xml:space="preserve"> y </w:t>
      </w:r>
      <w:r>
        <w:rPr>
          <w:rFonts w:ascii="Consolas" w:hAnsi="Consolas"/>
          <w:color w:val="A31515"/>
          <w:sz w:val="19"/>
        </w:rPr>
        <w:t>.pdf</w:t>
      </w:r>
      <w:r>
        <w:t>, y exige el token si hay uno configurado.</w:t>
      </w:r>
    </w:p>
    <w:p>
      <w:pPr>
        <w:pBdr>
          <w:top w:val="single" w:sz="4" w:space="6" w:color="FFF7E6"/>
          <w:left w:val="single" w:sz="18" w:space="8" w:color="E0A500"/>
          <w:bottom w:val="single" w:sz="4" w:space="6" w:color="FFF7E6"/>
          <w:right w:val="single" w:sz="4" w:space="6" w:color="FFF7E6"/>
        </w:pBdr>
        <w:shd w:val="clear" w:color="auto" w:fill="FFF7E6"/>
        <w:spacing w:before="160" w:after="200" w:line="276" w:lineRule="auto"/>
        <w:ind w:left="227" w:right="170"/>
      </w:pPr>
      <w:r>
        <w:rPr>
          <w:b/>
          <w:color w:val="7A4F00"/>
        </w:rPr>
        <w:t xml:space="preserve">PUNTO IMPORTANTE  </w:t>
      </w:r>
      <w:r>
        <w:t xml:space="preserve">los enlaces </w:t>
      </w:r>
      <w:r>
        <w:rPr>
          <w:rFonts w:ascii="Consolas" w:hAnsi="Consolas"/>
          <w:color w:val="A31515"/>
          <w:sz w:val="19"/>
        </w:rPr>
        <w:t>xml_url</w:t>
      </w:r>
      <w:r>
        <w:t xml:space="preserve"> y </w:t>
      </w:r>
      <w:r>
        <w:rPr>
          <w:rFonts w:ascii="Consolas" w:hAnsi="Consolas"/>
          <w:color w:val="A31515"/>
          <w:sz w:val="19"/>
        </w:rPr>
        <w:t>kude_url</w:t>
      </w:r>
      <w:r>
        <w:t xml:space="preserve"> que devuelve la API </w:t>
      </w:r>
      <w:r>
        <w:rPr>
          <w:b/>
        </w:rPr>
        <w:t>no incluyen el token</w:t>
      </w:r>
      <w:r>
        <w:t>. Si hay token configurado —como debería—, abrirlos tal cual devuelve «No autorizado». Hay que agregarlo, ya sea como parámetro en la dirección o como cabecera.</w:t>
      </w:r>
    </w:p>
    <w:p>
      <w:pPr>
        <w:keepNext/>
        <w:pBdr>
          <w:left w:val="single" w:sz="12" w:space="6" w:color="2E74B5"/>
        </w:pBdr>
        <w:shd w:val="clear" w:color="auto" w:fill="F2F4F7"/>
        <w:spacing w:before="80" w:after="0" w:line="240" w:lineRule="auto"/>
        <w:ind w:left="227" w:right="113"/>
      </w:pPr>
      <w:r>
        <w:rPr>
          <w:rFonts w:ascii="Consolas" w:hAnsi="Consolas"/>
          <w:sz w:val="17"/>
        </w:rPr>
        <w:t># Con el token como parametro en la direccion</w:t>
      </w:r>
    </w:p>
    <w:p>
      <w:pPr>
        <w:keepNext/>
        <w:pBdr>
          <w:left w:val="single" w:sz="12" w:space="6" w:color="2E74B5"/>
        </w:pBdr>
        <w:shd w:val="clear" w:color="auto" w:fill="F2F4F7"/>
        <w:spacing w:before="0" w:after="0" w:line="240" w:lineRule="auto"/>
        <w:ind w:left="227" w:right="113"/>
      </w:pPr>
      <w:r>
        <w:rPr>
          <w:rFonts w:ascii="Consolas" w:hAnsi="Consolas"/>
          <w:sz w:val="17"/>
        </w:rPr>
        <w:t>https://facturacion.tudominio.com/descargar.php?f=&lt;CDC&gt;.pdf&amp;token=TU_TOKEN</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 O con el token como cabecera</w:t>
      </w:r>
    </w:p>
    <w:p>
      <w:pPr>
        <w:keepNext/>
        <w:pBdr>
          <w:left w:val="single" w:sz="12" w:space="6" w:color="2E74B5"/>
        </w:pBdr>
        <w:shd w:val="clear" w:color="auto" w:fill="F2F4F7"/>
        <w:spacing w:before="0" w:after="0" w:line="240" w:lineRule="auto"/>
        <w:ind w:left="227" w:right="113"/>
      </w:pPr>
      <w:r>
        <w:rPr>
          <w:rFonts w:ascii="Consolas" w:hAnsi="Consolas"/>
          <w:sz w:val="17"/>
        </w:rPr>
        <w:t>curl -H "X-API-Token: TU_TOKEN" \</w:t>
      </w:r>
    </w:p>
    <w:p>
      <w:pPr>
        <w:keepNext w:val="0"/>
        <w:pBdr>
          <w:left w:val="single" w:sz="12" w:space="6" w:color="2E74B5"/>
        </w:pBdr>
        <w:shd w:val="clear" w:color="auto" w:fill="F2F4F7"/>
        <w:spacing w:before="0" w:after="160" w:line="240" w:lineRule="auto"/>
        <w:ind w:left="227" w:right="113"/>
      </w:pPr>
      <w:r>
        <w:rPr>
          <w:rFonts w:ascii="Consolas" w:hAnsi="Consolas"/>
          <w:sz w:val="17"/>
        </w:rPr>
        <w:t xml:space="preserve">     "https://facturacion.tudominio.com/descargar.php?f=&lt;CDC&gt;.pdf" -o factura.pdf</w:t>
      </w:r>
    </w:p>
    <w:p>
      <w:pPr>
        <w:spacing w:after="140"/>
      </w:pPr>
      <w:r>
        <w:t>Si el sistema externo va a mostrar el comprobante a sus propios clientes, lo recomendable es que descargue el archivo desde su servidor —agregando el token del lado del servidor— y lo sirva él mismo, de modo que el token nunca llegue al navegador del cliente.</w:t>
      </w:r>
    </w:p>
    <w:p>
      <w:pPr>
        <w:pStyle w:val="Heading1"/>
      </w:pPr>
      <w:r>
        <w:t>6. Integración desde el sistema externo</w:t>
      </w:r>
    </w:p>
    <w:p>
      <w:pPr>
        <w:spacing w:after="140"/>
      </w:pPr>
      <w:r>
        <w:t xml:space="preserve">Este es el patrón mínimo de integración: armar la cadena con los datos de la venta, enviarla al endpoint y guardar el CDC devuelto. El fragmento completo, listo para adaptar, se distribuye como texto plano en </w:t>
      </w:r>
      <w:r>
        <w:rPr>
          <w:rFonts w:ascii="Consolas" w:hAnsi="Consolas"/>
          <w:color w:val="A31515"/>
          <w:sz w:val="19"/>
        </w:rPr>
        <w:t>ejemplos/integracion_php.txt</w:t>
      </w:r>
      <w:r>
        <w:t>.</w:t>
      </w:r>
    </w:p>
    <w:p>
      <w:pPr>
        <w:keepNext/>
        <w:spacing w:before="120" w:after="40"/>
      </w:pPr>
      <w:r>
        <w:rPr>
          <w:b/>
          <w:color w:val="595959"/>
          <w:sz w:val="18"/>
        </w:rPr>
        <w:t>PHP — envío de una factura y lectura del resultado</w:t>
      </w:r>
    </w:p>
    <w:p>
      <w:pPr>
        <w:keepNext/>
        <w:pBdr>
          <w:left w:val="single" w:sz="12" w:space="6" w:color="2E74B5"/>
        </w:pBdr>
        <w:shd w:val="clear" w:color="auto" w:fill="F2F4F7"/>
        <w:spacing w:before="80" w:after="0" w:line="240" w:lineRule="auto"/>
        <w:ind w:left="227" w:right="113"/>
      </w:pPr>
      <w:r>
        <w:rPr>
          <w:rFonts w:ascii="Consolas" w:hAnsi="Consolas"/>
          <w:sz w:val="17"/>
        </w:rPr>
        <w:t>$txt  = "FAC|001|001|{$numero}|{$fecha}|1|PYG\n";</w:t>
      </w:r>
    </w:p>
    <w:p>
      <w:pPr>
        <w:keepNext/>
        <w:pBdr>
          <w:left w:val="single" w:sz="12" w:space="6" w:color="2E74B5"/>
        </w:pBdr>
        <w:shd w:val="clear" w:color="auto" w:fill="F2F4F7"/>
        <w:spacing w:before="0" w:after="0" w:line="240" w:lineRule="auto"/>
        <w:ind w:left="227" w:right="113"/>
      </w:pPr>
      <w:r>
        <w:rPr>
          <w:rFonts w:ascii="Consolas" w:hAnsi="Consolas"/>
          <w:sz w:val="17"/>
        </w:rPr>
        <w:t>$txt .= "CLI|RUC|{$ruc}-{$dv}|{$nombre}|{$email}||\n";</w:t>
      </w:r>
    </w:p>
    <w:p>
      <w:pPr>
        <w:keepNext/>
        <w:pBdr>
          <w:left w:val="single" w:sz="12" w:space="6" w:color="2E74B5"/>
        </w:pBdr>
        <w:shd w:val="clear" w:color="auto" w:fill="F2F4F7"/>
        <w:spacing w:before="0" w:after="0" w:line="240" w:lineRule="auto"/>
        <w:ind w:left="227" w:right="113"/>
      </w:pPr>
      <w:r>
        <w:rPr>
          <w:rFonts w:ascii="Consolas" w:hAnsi="Consolas"/>
          <w:sz w:val="17"/>
        </w:rPr>
        <w:t>foreach ($items as $it)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$txt .= "ITM|{$it['codigo']}|{$it['desc']}|{$it['cant']}|{$it['precio']}|10\n";</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$ch = curl_init("https://facturacion.tudominio.com/");</w:t>
      </w:r>
    </w:p>
    <w:p>
      <w:pPr>
        <w:keepNext/>
        <w:pBdr>
          <w:left w:val="single" w:sz="12" w:space="6" w:color="2E74B5"/>
        </w:pBdr>
        <w:shd w:val="clear" w:color="auto" w:fill="F2F4F7"/>
        <w:spacing w:before="0" w:after="0" w:line="240" w:lineRule="auto"/>
        <w:ind w:left="227" w:right="113"/>
      </w:pPr>
      <w:r>
        <w:rPr>
          <w:rFonts w:ascii="Consolas" w:hAnsi="Consolas"/>
          <w:sz w:val="17"/>
        </w:rPr>
        <w:t>curl_setopt_array($ch,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CURLOPT_POST           =&gt; true,</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CURLOPT_HTTPHEADER     =&gt; ["X-API-Token: TU_TOKEN", "Content-Type: text/plain"],</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CURLOPT_POSTFIELDS     =&gt; $txt,</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CURLOPT_RETURNTRANSFER =&gt; true,</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CURLOPT_TIMEOUT        =&gt; 60,</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$respuesta = json_decode(curl_exec($ch), true);</w:t>
      </w:r>
    </w:p>
    <w:p>
      <w:pPr>
        <w:keepNext/>
        <w:pBdr>
          <w:left w:val="single" w:sz="12" w:space="6" w:color="2E74B5"/>
        </w:pBdr>
        <w:shd w:val="clear" w:color="auto" w:fill="F2F4F7"/>
        <w:spacing w:before="0" w:after="0" w:line="240" w:lineRule="auto"/>
        <w:ind w:left="227" w:right="113"/>
      </w:pPr>
      <w:r>
        <w:rPr>
          <w:rFonts w:ascii="Consolas" w:hAnsi="Consolas"/>
          <w:sz w:val="17"/>
        </w:rPr>
        <w:t>curl_close($ch);</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if (!empty($respuesta["ok"]))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$cdc  = $respuesta["facturas"][0]["cdc"];   // guardar junto a la venta</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$pdf  = $respuesta["facturas"][0]["kude_url"];</w:t>
      </w:r>
    </w:p>
    <w:p>
      <w:pPr>
        <w:keepNext/>
        <w:pBdr>
          <w:left w:val="single" w:sz="12" w:space="6" w:color="2E74B5"/>
        </w:pBdr>
        <w:shd w:val="clear" w:color="auto" w:fill="F2F4F7"/>
        <w:spacing w:before="0" w:after="0" w:line="240" w:lineRule="auto"/>
        <w:ind w:left="227" w:right="113"/>
      </w:pPr>
      <w:r>
        <w:rPr>
          <w:rFonts w:ascii="Consolas" w:hAnsi="Consolas"/>
          <w:sz w:val="17"/>
        </w:rPr>
        <w:t>} else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registrar $respuesta["error"] y avisar al operador</w:t>
      </w:r>
    </w:p>
    <w:p>
      <w:pPr>
        <w:keepNext w:val="0"/>
        <w:pBdr>
          <w:left w:val="single" w:sz="12" w:space="6" w:color="2E74B5"/>
        </w:pBdr>
        <w:shd w:val="clear" w:color="auto" w:fill="F2F4F7"/>
        <w:spacing w:before="0" w:after="160" w:line="240" w:lineRule="auto"/>
        <w:ind w:left="227" w:right="113"/>
      </w:pPr>
      <w:r>
        <w:rPr>
          <w:rFonts w:ascii="Consolas" w:hAnsi="Consolas"/>
          <w:sz w:val="17"/>
        </w:rPr>
        <w:t>}</w:t>
      </w:r>
    </w:p>
    <w:p>
      <w:pPr>
        <w:pStyle w:val="Heading2"/>
      </w:pPr>
      <w:r>
        <w:t>6.1. Recomendaciones para la integración</w:t>
      </w:r>
    </w:p>
    <w:p>
      <w:pPr>
        <w:pStyle w:val="ListBullet"/>
        <w:spacing w:after="80" w:line="276" w:lineRule="auto"/>
      </w:pPr>
      <w:r>
        <w:rPr>
          <w:b/>
        </w:rPr>
        <w:t>Enviar una factura por petición.</w:t>
      </w:r>
      <w:r>
        <w:t xml:space="preserve"> Simplifica el manejo de errores y evita que un problema puntual bloquee un lote entero.</w:t>
      </w:r>
    </w:p>
    <w:p>
      <w:pPr>
        <w:pStyle w:val="ListBullet"/>
        <w:spacing w:after="80" w:line="276" w:lineRule="auto"/>
      </w:pPr>
      <w:r>
        <w:rPr>
          <w:b/>
        </w:rPr>
        <w:t>Guardar siempre el CDC</w:t>
      </w:r>
      <w:r>
        <w:t xml:space="preserve"> junto a la venta, en la base de datos del sistema externo. Es la única forma de relacionar después un comprobante con su origen.</w:t>
      </w:r>
    </w:p>
    <w:p>
      <w:pPr>
        <w:pStyle w:val="ListBullet"/>
        <w:spacing w:after="80" w:line="276" w:lineRule="auto"/>
      </w:pPr>
      <w:r>
        <w:rPr>
          <w:b/>
        </w:rPr>
        <w:t>Definir un tiempo de espera generoso.</w:t>
      </w:r>
      <w:r>
        <w:t xml:space="preserve"> La emisión implica firmar el documento y esperar la respuesta de la DNIT: sesenta segundos es un valor razonable.</w:t>
      </w:r>
    </w:p>
    <w:p>
      <w:pPr>
        <w:pStyle w:val="ListBullet"/>
        <w:spacing w:after="80" w:line="276" w:lineRule="auto"/>
      </w:pPr>
      <w:r>
        <w:rPr>
          <w:b/>
        </w:rPr>
        <w:t>Registrar la respuesta completa</w:t>
      </w:r>
      <w:r>
        <w:t xml:space="preserve"> cuando </w:t>
      </w:r>
      <w:r>
        <w:rPr>
          <w:rFonts w:ascii="Consolas" w:hAnsi="Consolas"/>
          <w:color w:val="A31515"/>
          <w:sz w:val="19"/>
        </w:rPr>
        <w:t>ok</w:t>
      </w:r>
      <w:r>
        <w:t xml:space="preserve"> es falso. El campo </w:t>
      </w:r>
      <w:r>
        <w:rPr>
          <w:rFonts w:ascii="Consolas" w:hAnsi="Consolas"/>
          <w:color w:val="A31515"/>
          <w:sz w:val="19"/>
        </w:rPr>
        <w:t>error</w:t>
      </w:r>
      <w:r>
        <w:t xml:space="preserve"> suele contener el mensaje literal de la DNIT, que es lo que permite corregir el problema.</w:t>
      </w:r>
    </w:p>
    <w:p>
      <w:pPr>
        <w:pStyle w:val="ListBullet"/>
        <w:spacing w:after="80" w:line="276" w:lineRule="auto"/>
      </w:pPr>
      <w:r>
        <w:rPr>
          <w:b/>
        </w:rPr>
        <w:t>No reintentar automáticamente un rechazo.</w:t>
      </w:r>
      <w:r>
        <w:t xml:space="preserve"> Un error de datos se va a repetir igual; reintentar solo tiene sentido ante fallos de red o tiempos de espera agotados, y aun así conviene verificar antes si la factura ya se emitió.</w:t>
      </w:r>
    </w:p>
    <w:p>
      <w:pPr>
        <w:pStyle w:val="Heading1"/>
      </w:pPr>
      <w:r>
        <w:t>7. Modalidad alternativa: carpeta y cron</w:t>
      </w:r>
    </w:p>
    <w:p>
      <w:pPr>
        <w:spacing w:after="140"/>
      </w:pPr>
      <w:r>
        <w:t xml:space="preserve">Si el sistema externo no puede hacer llamadas HTTP, o si se prefiere un acoplamiento aún más flojo, basta con que deje los archivos </w:t>
      </w:r>
      <w:r>
        <w:rPr>
          <w:rFonts w:ascii="Consolas" w:hAnsi="Consolas"/>
          <w:color w:val="A31515"/>
          <w:sz w:val="19"/>
        </w:rPr>
        <w:t>.txt</w:t>
      </w:r>
      <w:r>
        <w:t xml:space="preserve"> en la carpeta de entrada —por FTP, por disco compartido o por cualquier mecanismo de sincronización— y programar una tarea que los procese.</w:t>
      </w:r>
    </w:p>
    <w:p>
      <w:pPr>
        <w:keepNext/>
        <w:spacing w:before="120" w:after="40"/>
      </w:pPr>
      <w:r>
        <w:rPr>
          <w:b/>
          <w:color w:val="595959"/>
          <w:sz w:val="18"/>
        </w:rPr>
        <w:t>Cron Job en cPanel: cada minuto</w:t>
      </w:r>
    </w:p>
    <w:p>
      <w:pPr>
        <w:keepNext w:val="0"/>
        <w:pBdr>
          <w:left w:val="single" w:sz="12" w:space="6" w:color="2E74B5"/>
        </w:pBdr>
        <w:shd w:val="clear" w:color="auto" w:fill="F2F4F7"/>
        <w:spacing w:before="80" w:after="160" w:line="240" w:lineRule="auto"/>
        <w:ind w:left="227" w:right="113"/>
      </w:pPr>
      <w:r>
        <w:rPr>
          <w:rFonts w:ascii="Consolas" w:hAnsi="Consolas"/>
          <w:sz w:val="17"/>
        </w:rPr>
        <w:t>* * * * * /usr/bin/php /home/usuario/sifen_automatizador/bin/procesar.php &gt;&gt; /home/usuario/sifen_automatizador/logs/cron.log 2&gt;&amp;1</w:t>
      </w:r>
    </w:p>
    <w:p>
      <w:pPr>
        <w:spacing w:after="140"/>
      </w:pPr>
      <w:r>
        <w:t xml:space="preserve">En cPanel esto se configura en </w:t>
      </w:r>
      <w:r>
        <w:rPr>
          <w:i/>
        </w:rPr>
        <w:t>Cron Jobs</w:t>
      </w:r>
      <w:r>
        <w:t>, eligiendo la frecuencia «once per minute» y pegando el comando. Es importante usar rutas absolutas, tanto para el intérprete de PHP como para el script.</w:t>
      </w:r>
    </w:p>
    <w:p>
      <w:pPr>
        <w:spacing w:after="140"/>
      </w:pPr>
      <w:r>
        <w:t>Ambas modalidades pueden funcionar a la vez sin interferir: el endpoint responde al instante a quien llama, y el cron recoge lo que quede en la carpeta. Lo único que conviene evitar es tener el cron y el watcher permanente vigilando la misma carpeta simultáneamente.</w:t>
      </w:r>
    </w:p>
    <w:p>
      <w:pPr>
        <w:pStyle w:val="Heading1"/>
      </w:pPr>
      <w:r>
        <w:t>8. Puesta en producción</w:t>
      </w:r>
    </w:p>
    <w:p>
      <w:pPr>
        <w:spacing w:after="140"/>
      </w:pPr>
      <w:r>
        <w:t>El pasaje a producción no es un cambio de configuración aislado, sino una secuencia que conviene recorrer completa.</w:t>
      </w:r>
    </w:p>
    <w:p>
      <w:pPr>
        <w:spacing w:after="100" w:line="276" w:lineRule="auto"/>
        <w:ind w:left="510" w:hanging="510"/>
      </w:pPr>
      <w:r>
        <w:rPr>
          <w:b/>
          <w:color w:val="2E74B5"/>
        </w:rPr>
        <w:t>1.</w:t>
        <w:tab/>
      </w:r>
      <w:r>
        <w:rPr>
          <w:b/>
        </w:rPr>
        <w:t xml:space="preserve">Modo </w:t>
      </w:r>
      <w:r>
        <w:rPr>
          <w:rFonts w:ascii="Consolas" w:hAnsi="Consolas"/>
          <w:b/>
          <w:color w:val="A31515"/>
          <w:sz w:val="19"/>
        </w:rPr>
        <w:t>mock</w:t>
      </w:r>
      <w:r>
        <w:rPr>
          <w:b/>
        </w:rPr>
        <w:t>.</w:t>
      </w:r>
      <w:r>
        <w:t xml:space="preserve"> Verificar el circuito entero sin valor fiscal: que el archivo se procese, que el PDF se genere con los datos correctos del emisor y que el correo llegue.</w:t>
      </w:r>
    </w:p>
    <w:p>
      <w:pPr>
        <w:spacing w:after="100" w:line="276" w:lineRule="auto"/>
        <w:ind w:left="510" w:hanging="510"/>
      </w:pPr>
      <w:r>
        <w:rPr>
          <w:b/>
          <w:color w:val="2E74B5"/>
        </w:rPr>
        <w:t>2.</w:t>
        <w:tab/>
      </w:r>
      <w:r>
        <w:rPr>
          <w:b/>
        </w:rPr>
        <w:t>Instalar el certificado digital</w:t>
      </w:r>
      <w:r>
        <w:t xml:space="preserve"> en </w:t>
      </w:r>
      <w:r>
        <w:rPr>
          <w:rFonts w:ascii="Consolas" w:hAnsi="Consolas"/>
          <w:color w:val="A31515"/>
          <w:sz w:val="19"/>
        </w:rPr>
        <w:t>certs/</w:t>
      </w:r>
      <w:r>
        <w:t xml:space="preserve"> y completar su ruta y contraseña en el </w:t>
      </w:r>
      <w:r>
        <w:rPr>
          <w:rFonts w:ascii="Consolas" w:hAnsi="Consolas"/>
          <w:color w:val="A31515"/>
          <w:sz w:val="19"/>
        </w:rPr>
        <w:t>.env</w:t>
      </w:r>
      <w:r>
        <w:t>.</w:t>
      </w:r>
    </w:p>
    <w:p>
      <w:pPr>
        <w:spacing w:after="100" w:line="276" w:lineRule="auto"/>
        <w:ind w:left="510" w:hanging="510"/>
      </w:pPr>
      <w:r>
        <w:rPr>
          <w:b/>
          <w:color w:val="2E74B5"/>
        </w:rPr>
        <w:t>3.</w:t>
        <w:tab/>
      </w:r>
      <w:r>
        <w:rPr>
          <w:b/>
        </w:rPr>
        <w:t xml:space="preserve">Modo </w:t>
      </w:r>
      <w:r>
        <w:rPr>
          <w:rFonts w:ascii="Consolas" w:hAnsi="Consolas"/>
          <w:b/>
          <w:color w:val="A31515"/>
          <w:sz w:val="19"/>
        </w:rPr>
        <w:t>test</w:t>
      </w:r>
      <w:r>
        <w:rPr>
          <w:b/>
        </w:rPr>
        <w:t>.</w:t>
      </w:r>
      <w:r>
        <w:t xml:space="preserve"> Cargar las URL del ambiente de pruebas de la DNIT y emitir al menos una factura de cada tipo que el negocio utilice: con RUC, a consumidor final, con ítems exentos, a crédito. Aquí aparecen los rechazos por catálogos o por datos del emisor mal cargados.</w:t>
      </w:r>
    </w:p>
    <w:p>
      <w:pPr>
        <w:spacing w:after="100" w:line="276" w:lineRule="auto"/>
        <w:ind w:left="510" w:hanging="510"/>
      </w:pPr>
      <w:r>
        <w:rPr>
          <w:b/>
          <w:color w:val="2E74B5"/>
        </w:rPr>
        <w:t>4.</w:t>
        <w:tab/>
      </w:r>
      <w:r>
        <w:rPr>
          <w:b/>
        </w:rPr>
        <w:t>Revisar el KuDE impreso.</w:t>
      </w:r>
      <w:r>
        <w:t xml:space="preserve"> Comprobar que el QR se lea con un teléfono y que lleve al documento correcto.</w:t>
      </w:r>
    </w:p>
    <w:p>
      <w:pPr>
        <w:spacing w:after="100" w:line="276" w:lineRule="auto"/>
        <w:ind w:left="510" w:hanging="510"/>
      </w:pPr>
      <w:r>
        <w:rPr>
          <w:b/>
          <w:color w:val="2E74B5"/>
        </w:rPr>
        <w:t>5.</w:t>
        <w:tab/>
      </w:r>
      <w:r>
        <w:rPr>
          <w:b/>
        </w:rPr>
        <w:t xml:space="preserve">Modo </w:t>
      </w:r>
      <w:r>
        <w:rPr>
          <w:rFonts w:ascii="Consolas" w:hAnsi="Consolas"/>
          <w:b/>
          <w:color w:val="A31515"/>
          <w:sz w:val="19"/>
        </w:rPr>
        <w:t>prod</w:t>
      </w:r>
      <w:r>
        <w:rPr>
          <w:b/>
        </w:rPr>
        <w:t>.</w:t>
      </w:r>
      <w:r>
        <w:t xml:space="preserve"> Cambiar el modo, cargar el CSC y las URL de producción, y emitir una primera factura real de bajo importe para confirmar el circuito completo.</w:t>
      </w:r>
    </w:p>
    <w:p>
      <w:pPr>
        <w:spacing w:after="100" w:line="276" w:lineRule="auto"/>
        <w:ind w:left="510" w:hanging="510"/>
      </w:pPr>
      <w:r>
        <w:rPr>
          <w:b/>
          <w:color w:val="2E74B5"/>
        </w:rPr>
        <w:t>6.</w:t>
        <w:tab/>
      </w:r>
      <w:r>
        <w:rPr>
          <w:b/>
        </w:rPr>
        <w:t>Configurar los respaldos.</w:t>
      </w:r>
      <w:r>
        <w:t xml:space="preserve"> La carpeta </w:t>
      </w:r>
      <w:r>
        <w:rPr>
          <w:rFonts w:ascii="Consolas" w:hAnsi="Consolas"/>
          <w:color w:val="A31515"/>
          <w:sz w:val="19"/>
        </w:rPr>
        <w:t>salida/</w:t>
      </w:r>
      <w:r>
        <w:t xml:space="preserve"> contiene los originales con valor legal: debe entrar en la política de copias de seguridad de la empresa.</w:t>
      </w:r>
    </w:p>
    <w:p>
      <w:pPr>
        <w:pBdr>
          <w:top w:val="single" w:sz="4" w:space="6" w:color="FFF7E6"/>
          <w:left w:val="single" w:sz="18" w:space="8" w:color="E0A500"/>
          <w:bottom w:val="single" w:sz="4" w:space="6" w:color="FFF7E6"/>
          <w:right w:val="single" w:sz="4" w:space="6" w:color="FFF7E6"/>
        </w:pBdr>
        <w:shd w:val="clear" w:color="auto" w:fill="FFF7E6"/>
        <w:spacing w:before="160" w:after="200" w:line="276" w:lineRule="auto"/>
        <w:ind w:left="227" w:right="170"/>
      </w:pPr>
      <w:r>
        <w:rPr>
          <w:b/>
          <w:color w:val="7A4F00"/>
        </w:rPr>
        <w:t xml:space="preserve">ATENCIÓN  </w:t>
      </w:r>
      <w:r>
        <w:t xml:space="preserve">en modo </w:t>
      </w:r>
      <w:r>
        <w:rPr>
          <w:rFonts w:ascii="Consolas" w:hAnsi="Consolas"/>
          <w:color w:val="A31515"/>
          <w:sz w:val="19"/>
        </w:rPr>
        <w:t>prod</w:t>
      </w:r>
      <w:r>
        <w:t xml:space="preserve"> todo lo emitido es real. Un documento equivocado no se corrige borrando archivos: se corrige con una nota de crédito o con un evento de cancelación ante la DNIT, dentro de los plazos que fija la normativa.</w:t>
      </w:r>
    </w:p>
    <w:p>
      <w:pPr>
        <w:pStyle w:val="Heading1"/>
      </w:pPr>
      <w:r>
        <w:t>9. Problemas frecuentes en el despliegue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8"/>
            <w:shd w:val="clear" w:color="auto" w:fill="DCE6F1"/>
          </w:tcPr>
          <w:p>
            <w:pPr>
              <w:spacing w:after="0" w:before="0" w:line="259" w:lineRule="auto"/>
            </w:pPr>
            <w:r>
              <w:rPr>
                <w:b/>
                <w:color w:val="1F4E79"/>
                <w:sz w:val="19"/>
              </w:rPr>
              <w:t>Síntoma</w:t>
            </w:r>
          </w:p>
        </w:tc>
        <w:tc>
          <w:tcPr>
            <w:tcW w:type="dxa" w:w="2835"/>
            <w:shd w:val="clear" w:color="auto" w:fill="DCE6F1"/>
          </w:tcPr>
          <w:p>
            <w:pPr>
              <w:spacing w:after="0" w:before="0" w:line="259" w:lineRule="auto"/>
            </w:pPr>
            <w:r>
              <w:rPr>
                <w:b/>
                <w:color w:val="1F4E79"/>
                <w:sz w:val="19"/>
              </w:rPr>
              <w:t>Causa probable</w:t>
            </w:r>
          </w:p>
        </w:tc>
        <w:tc>
          <w:tcPr>
            <w:tcW w:type="dxa" w:w="4195"/>
            <w:shd w:val="clear" w:color="auto" w:fill="DCE6F1"/>
          </w:tcPr>
          <w:p>
            <w:pPr>
              <w:spacing w:after="0" w:before="0" w:line="259" w:lineRule="auto"/>
            </w:pPr>
            <w:r>
              <w:rPr>
                <w:b/>
                <w:color w:val="1F4E79"/>
                <w:sz w:val="19"/>
              </w:rPr>
              <w:t>Cómo resolverlo</w:t>
            </w:r>
          </w:p>
        </w:tc>
      </w:tr>
      <w:tr>
        <w:tc>
          <w:tcPr>
            <w:tcW w:type="dxa" w:w="2608"/>
          </w:tcPr>
          <w:p>
            <w:pPr>
              <w:spacing w:after="0" w:before="0" w:line="259" w:lineRule="auto"/>
            </w:pPr>
            <w:r>
              <w:rPr>
                <w:sz w:val="19"/>
              </w:rPr>
              <w:t>El subdominio muestra un listado de archivos o un error 403</w:t>
            </w:r>
          </w:p>
        </w:tc>
        <w:tc>
          <w:tcPr>
            <w:tcW w:type="dxa" w:w="2835"/>
          </w:tcPr>
          <w:p>
            <w:pPr>
              <w:spacing w:after="0" w:before="0" w:line="259" w:lineRule="auto"/>
            </w:pPr>
            <w:r>
              <w:rPr>
                <w:sz w:val="19"/>
              </w:rPr>
              <w:t xml:space="preserve">El Document Root no apunta a </w:t>
            </w:r>
            <w:r>
              <w:rPr>
                <w:rFonts w:ascii="Consolas" w:hAnsi="Consolas"/>
                <w:color w:val="A31515"/>
                <w:sz w:val="19"/>
              </w:rPr>
              <w:t>public/</w:t>
            </w:r>
          </w:p>
        </w:tc>
        <w:tc>
          <w:tcPr>
            <w:tcW w:type="dxa" w:w="4195"/>
          </w:tcPr>
          <w:p>
            <w:pPr>
              <w:spacing w:after="0" w:before="0" w:line="259" w:lineRule="auto"/>
            </w:pPr>
            <w:r>
              <w:rPr>
                <w:sz w:val="19"/>
              </w:rPr>
              <w:t>Corregir la raíz del subdominio en cPanel. Nunca apuntarla a la raíz del proyecto.</w:t>
            </w:r>
          </w:p>
        </w:tc>
      </w:tr>
      <w:tr>
        <w:tc>
          <w:tcPr>
            <w:tcW w:type="dxa" w:w="2608"/>
            <w:shd w:val="clear" w:color="auto" w:fill="F7F9FC"/>
          </w:tcPr>
          <w:p>
            <w:pPr>
              <w:spacing w:after="0" w:before="0" w:line="259" w:lineRule="auto"/>
            </w:pPr>
            <w:r>
              <w:rPr>
                <w:sz w:val="19"/>
              </w:rPr>
              <w:t>La API responde 401 con el token correcto</w:t>
            </w:r>
          </w:p>
        </w:tc>
        <w:tc>
          <w:tcPr>
            <w:tcW w:type="dxa" w:w="2835"/>
            <w:shd w:val="clear" w:color="auto" w:fill="F7F9FC"/>
          </w:tcPr>
          <w:p>
            <w:pPr>
              <w:spacing w:after="0" w:before="0" w:line="259" w:lineRule="auto"/>
            </w:pPr>
            <w:r>
              <w:rPr>
                <w:sz w:val="19"/>
              </w:rPr>
              <w:t>La cabecera no llega al servidor</w:t>
            </w:r>
          </w:p>
        </w:tc>
        <w:tc>
          <w:tcPr>
            <w:tcW w:type="dxa" w:w="4195"/>
            <w:shd w:val="clear" w:color="auto" w:fill="F7F9FC"/>
          </w:tcPr>
          <w:p>
            <w:pPr>
              <w:spacing w:after="0" w:before="0" w:line="259" w:lineRule="auto"/>
            </w:pPr>
            <w:r>
              <w:rPr>
                <w:sz w:val="19"/>
              </w:rPr>
              <w:t xml:space="preserve">Algunos servidores filtran cabeceras personalizadas. Comprobar que se envíe exactamente </w:t>
            </w:r>
            <w:r>
              <w:rPr>
                <w:rFonts w:ascii="Consolas" w:hAnsi="Consolas"/>
                <w:color w:val="A31515"/>
                <w:sz w:val="19"/>
              </w:rPr>
              <w:t>X-API-Token</w:t>
            </w:r>
            <w:r>
              <w:rPr>
                <w:sz w:val="19"/>
              </w:rPr>
              <w:t xml:space="preserve"> y, si el problema persiste, revisar la configuración del servidor web.</w:t>
            </w:r>
          </w:p>
        </w:tc>
      </w:tr>
      <w:tr>
        <w:tc>
          <w:tcPr>
            <w:tcW w:type="dxa" w:w="2608"/>
          </w:tcPr>
          <w:p>
            <w:pPr>
              <w:spacing w:after="0" w:before="0" w:line="259" w:lineRule="auto"/>
            </w:pPr>
            <w:r>
              <w:rPr>
                <w:sz w:val="19"/>
              </w:rPr>
              <w:t>La API responde 500 sin mensaje</w:t>
            </w:r>
          </w:p>
        </w:tc>
        <w:tc>
          <w:tcPr>
            <w:tcW w:type="dxa" w:w="2835"/>
          </w:tcPr>
          <w:p>
            <w:pPr>
              <w:spacing w:after="0" w:before="0" w:line="259" w:lineRule="auto"/>
            </w:pPr>
            <w:r>
              <w:rPr>
                <w:sz w:val="19"/>
              </w:rPr>
              <w:t>Versión de PHP incorrecta o extensión faltante</w:t>
            </w:r>
          </w:p>
        </w:tc>
        <w:tc>
          <w:tcPr>
            <w:tcW w:type="dxa" w:w="4195"/>
          </w:tcPr>
          <w:p>
            <w:pPr>
              <w:spacing w:after="0" w:before="0" w:line="259" w:lineRule="auto"/>
            </w:pPr>
            <w:r>
              <w:rPr>
                <w:sz w:val="19"/>
              </w:rPr>
              <w:t xml:space="preserve">Confirmar en </w:t>
            </w:r>
            <w:r>
              <w:rPr>
                <w:i/>
                <w:sz w:val="19"/>
              </w:rPr>
              <w:t>Select PHP Version</w:t>
            </w:r>
            <w:r>
              <w:rPr>
                <w:sz w:val="19"/>
              </w:rPr>
              <w:t xml:space="preserve"> que esté activo PHP 8.1 o superior con </w:t>
            </w:r>
            <w:r>
              <w:rPr>
                <w:rFonts w:ascii="Consolas" w:hAnsi="Consolas"/>
                <w:color w:val="A31515"/>
                <w:sz w:val="19"/>
              </w:rPr>
              <w:t>openssl</w:t>
            </w:r>
            <w:r>
              <w:rPr>
                <w:sz w:val="19"/>
              </w:rPr>
              <w:t xml:space="preserve">, </w:t>
            </w:r>
            <w:r>
              <w:rPr>
                <w:rFonts w:ascii="Consolas" w:hAnsi="Consolas"/>
                <w:color w:val="A31515"/>
                <w:sz w:val="19"/>
              </w:rPr>
              <w:t>dom</w:t>
            </w:r>
            <w:r>
              <w:rPr>
                <w:sz w:val="19"/>
              </w:rPr>
              <w:t xml:space="preserve"> y </w:t>
            </w:r>
            <w:r>
              <w:rPr>
                <w:rFonts w:ascii="Consolas" w:hAnsi="Consolas"/>
                <w:color w:val="A31515"/>
                <w:sz w:val="19"/>
              </w:rPr>
              <w:t>mbstring</w:t>
            </w:r>
            <w:r>
              <w:rPr>
                <w:sz w:val="19"/>
              </w:rPr>
              <w:t>.</w:t>
            </w:r>
          </w:p>
        </w:tc>
      </w:tr>
      <w:tr>
        <w:tc>
          <w:tcPr>
            <w:tcW w:type="dxa" w:w="2608"/>
            <w:shd w:val="clear" w:color="auto" w:fill="F7F9FC"/>
          </w:tcPr>
          <w:p>
            <w:pPr>
              <w:spacing w:after="0" w:before="0" w:line="259" w:lineRule="auto"/>
            </w:pPr>
            <w:r>
              <w:rPr>
                <w:sz w:val="19"/>
              </w:rPr>
              <w:t>Las URL de descarga vienen vacías</w:t>
            </w:r>
          </w:p>
        </w:tc>
        <w:tc>
          <w:tcPr>
            <w:tcW w:type="dxa" w:w="2835"/>
            <w:shd w:val="clear" w:color="auto" w:fill="F7F9FC"/>
          </w:tcPr>
          <w:p>
            <w:pPr>
              <w:spacing w:after="0" w:before="0" w:line="259" w:lineRule="auto"/>
            </w:pPr>
            <w:r>
              <w:rPr>
                <w:rFonts w:ascii="Consolas" w:hAnsi="Consolas"/>
                <w:color w:val="A31515"/>
                <w:sz w:val="19"/>
              </w:rPr>
              <w:t>APP_URL</w:t>
            </w:r>
            <w:r>
              <w:rPr>
                <w:sz w:val="19"/>
              </w:rPr>
              <w:t xml:space="preserve"> no está definida en el </w:t>
            </w:r>
            <w:r>
              <w:rPr>
                <w:rFonts w:ascii="Consolas" w:hAnsi="Consolas"/>
                <w:color w:val="A31515"/>
                <w:sz w:val="19"/>
              </w:rPr>
              <w:t>.env</w:t>
            </w:r>
          </w:p>
        </w:tc>
        <w:tc>
          <w:tcPr>
            <w:tcW w:type="dxa" w:w="4195"/>
            <w:shd w:val="clear" w:color="auto" w:fill="F7F9FC"/>
          </w:tcPr>
          <w:p>
            <w:pPr>
              <w:spacing w:after="0" w:before="0" w:line="259" w:lineRule="auto"/>
            </w:pPr>
            <w:r>
              <w:rPr>
                <w:sz w:val="19"/>
              </w:rPr>
              <w:t>Completar la dirección pública del subdominio; con ella se arman los enlaces.</w:t>
            </w:r>
          </w:p>
        </w:tc>
      </w:tr>
      <w:tr>
        <w:tc>
          <w:tcPr>
            <w:tcW w:type="dxa" w:w="2608"/>
          </w:tcPr>
          <w:p>
            <w:pPr>
              <w:spacing w:after="0" w:before="0" w:line="259" w:lineRule="auto"/>
            </w:pPr>
            <w:r>
              <w:rPr>
                <w:sz w:val="19"/>
              </w:rPr>
              <w:t>El descargador responde «No autorizado»</w:t>
            </w:r>
          </w:p>
        </w:tc>
        <w:tc>
          <w:tcPr>
            <w:tcW w:type="dxa" w:w="2835"/>
          </w:tcPr>
          <w:p>
            <w:pPr>
              <w:spacing w:after="0" w:before="0" w:line="259" w:lineRule="auto"/>
            </w:pPr>
            <w:r>
              <w:rPr>
                <w:sz w:val="19"/>
              </w:rPr>
              <w:t>Falta el token en la petición de descarga</w:t>
            </w:r>
          </w:p>
        </w:tc>
        <w:tc>
          <w:tcPr>
            <w:tcW w:type="dxa" w:w="4195"/>
          </w:tcPr>
          <w:p>
            <w:pPr>
              <w:spacing w:after="0" w:before="0" w:line="259" w:lineRule="auto"/>
            </w:pPr>
            <w:r>
              <w:rPr>
                <w:sz w:val="19"/>
              </w:rPr>
              <w:t xml:space="preserve">Agregarlo como parámetro </w:t>
            </w:r>
            <w:r>
              <w:rPr>
                <w:rFonts w:ascii="Consolas" w:hAnsi="Consolas"/>
                <w:color w:val="A31515"/>
                <w:sz w:val="19"/>
              </w:rPr>
              <w:t>token</w:t>
            </w:r>
            <w:r>
              <w:rPr>
                <w:sz w:val="19"/>
              </w:rPr>
              <w:t xml:space="preserve"> o como cabecera. Ver el capítulo 5.</w:t>
            </w:r>
          </w:p>
        </w:tc>
      </w:tr>
      <w:tr>
        <w:tc>
          <w:tcPr>
            <w:tcW w:type="dxa" w:w="2608"/>
            <w:shd w:val="clear" w:color="auto" w:fill="F7F9FC"/>
          </w:tcPr>
          <w:p>
            <w:pPr>
              <w:spacing w:after="0" w:before="0" w:line="259" w:lineRule="auto"/>
            </w:pPr>
            <w:r>
              <w:rPr>
                <w:sz w:val="19"/>
              </w:rPr>
              <w:t>El cron no ejecuta nada</w:t>
            </w:r>
          </w:p>
        </w:tc>
        <w:tc>
          <w:tcPr>
            <w:tcW w:type="dxa" w:w="2835"/>
            <w:shd w:val="clear" w:color="auto" w:fill="F7F9FC"/>
          </w:tcPr>
          <w:p>
            <w:pPr>
              <w:spacing w:after="0" w:before="0" w:line="259" w:lineRule="auto"/>
            </w:pPr>
            <w:r>
              <w:rPr>
                <w:sz w:val="19"/>
              </w:rPr>
              <w:t>Ruta relativa o intérprete equivocado</w:t>
            </w:r>
          </w:p>
        </w:tc>
        <w:tc>
          <w:tcPr>
            <w:tcW w:type="dxa" w:w="4195"/>
            <w:shd w:val="clear" w:color="auto" w:fill="F7F9FC"/>
          </w:tcPr>
          <w:p>
            <w:pPr>
              <w:spacing w:after="0" w:before="0" w:line="259" w:lineRule="auto"/>
            </w:pPr>
            <w:r>
              <w:rPr>
                <w:sz w:val="19"/>
              </w:rPr>
              <w:t xml:space="preserve">Usar rutas absolutas y verificar cuál es el binario de PHP del hosting, que no siempre es </w:t>
            </w:r>
            <w:r>
              <w:rPr>
                <w:rFonts w:ascii="Consolas" w:hAnsi="Consolas"/>
                <w:color w:val="A31515"/>
                <w:sz w:val="19"/>
              </w:rPr>
              <w:t>/usr/bin/php</w:t>
            </w:r>
            <w:r>
              <w:rPr>
                <w:sz w:val="19"/>
              </w:rPr>
              <w:t>.</w:t>
            </w:r>
          </w:p>
        </w:tc>
      </w:tr>
      <w:tr>
        <w:tc>
          <w:tcPr>
            <w:tcW w:type="dxa" w:w="2608"/>
          </w:tcPr>
          <w:p>
            <w:pPr>
              <w:spacing w:after="0" w:before="0" w:line="259" w:lineRule="auto"/>
            </w:pPr>
            <w:r>
              <w:rPr>
                <w:sz w:val="19"/>
              </w:rPr>
              <w:t>Se emite todo pero no llegan los correos</w:t>
            </w:r>
          </w:p>
        </w:tc>
        <w:tc>
          <w:tcPr>
            <w:tcW w:type="dxa" w:w="2835"/>
          </w:tcPr>
          <w:p>
            <w:pPr>
              <w:spacing w:after="0" w:before="0" w:line="259" w:lineRule="auto"/>
            </w:pPr>
            <w:r>
              <w:rPr>
                <w:sz w:val="19"/>
              </w:rPr>
              <w:t>Credenciales SMTP incorrectas o puerto bloqueado</w:t>
            </w:r>
          </w:p>
        </w:tc>
        <w:tc>
          <w:tcPr>
            <w:tcW w:type="dxa" w:w="4195"/>
          </w:tcPr>
          <w:p>
            <w:pPr>
              <w:spacing w:after="0" w:before="0" w:line="259" w:lineRule="auto"/>
            </w:pPr>
            <w:r>
              <w:rPr>
                <w:sz w:val="19"/>
              </w:rPr>
              <w:t xml:space="preserve">Probar primero con el transporte de archivo, que deja una copia del mensaje en </w:t>
            </w:r>
            <w:r>
              <w:rPr>
                <w:rFonts w:ascii="Consolas" w:hAnsi="Consolas"/>
                <w:color w:val="A31515"/>
                <w:sz w:val="19"/>
              </w:rPr>
              <w:t>logs/emails/</w:t>
            </w:r>
            <w:r>
              <w:rPr>
                <w:sz w:val="19"/>
              </w:rPr>
              <w:t>; si ahí aparece bien, el problema está en el servidor SMTP.</w:t>
            </w:r>
          </w:p>
        </w:tc>
      </w:tr>
    </w:tbl>
    <w:p>
      <w:pPr>
        <w:spacing w:after="80" w:before="0"/>
      </w:pPr>
    </w:p>
    <w:p>
      <w:pPr>
        <w:spacing w:after="0"/>
      </w:pPr>
    </w:p>
    <w:p>
      <w:pPr>
        <w:jc w:val="center"/>
      </w:pPr>
      <w:r>
        <w:rPr>
          <w:i/>
          <w:color w:val="8C8C8C"/>
          <w:sz w:val="18"/>
        </w:rPr>
        <w:t>Fin del documento</w:t>
      </w:r>
    </w:p>
    <w:sectPr w:rsidR="00FC693F" w:rsidRPr="0006063C" w:rsidSect="00034616">
      <w:footerReference w:type="default" r:id="rId9"/>
      <w:pgSz w:w="11906" w:h="16838"/>
      <w:pgMar w:top="1134" w:right="1134" w:bottom="1134" w:left="113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 xml:space="preserve">Automatizador SIFEN — Despliegue en cPanel   ·   Pág. </w:t>
    </w:r>
    <w:r>
      <w:fldChar w:fldCharType="begin"/>
    </w:r>
    <w:r>
      <w:instrText xml:space="preserve">PAGE</w:instrText>
    </w:r>
    <w:r>
      <w:fldChar w:fldCharType="separate"/>
    </w:r>
    <w:r>
      <w:rPr>
        <w:color w:val="8C8C8C"/>
        <w:sz w:val="16"/>
      </w:rPr>
      <w:t>1</w:t>
    </w:r>
    <w:r>
      <w:fldChar w:fldCharType="end"/>
    </w:r>
    <w:r>
      <w:rPr>
        <w:color w:val="8C8C8C"/>
        <w:sz w:val="16"/>
      </w:rPr>
      <w:t xml:space="preserve"> de </w:t>
    </w:r>
    <w:r>
      <w:fldChar w:fldCharType="begin"/>
    </w:r>
    <w:r>
      <w:instrText xml:space="preserve">NUMPAGES</w:instrText>
    </w:r>
    <w:r>
      <w:fldChar w:fldCharType="separate"/>
    </w:r>
    <w:r>
      <w:rPr>
        <w:color w:val="8C8C8C"/>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Automatizador SIFEN — Despliegue en cPanel</dc:title>
  <dc:subject>Guia de publicacion del automatizador y de consumo de su API</dc:subject>
  <dc:creator>Automatizador SIFEN</dc:creator>
  <cp:keywords/>
  <dc:description>generated by python-docx</dc:description>
  <cp:lastModifiedBy/>
  <cp:revision>1</cp:revision>
  <dcterms:created xsi:type="dcterms:W3CDTF">2013-12-23T23:15:00Z</dcterms:created>
  <dcterms:modified xsi:type="dcterms:W3CDTF">2013-12-23T23:15:00Z</dcterms:modified>
  <cp:category>Documentacion tecnica</cp:category>
</cp:coreProperties>
</file>