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b/>
          <w:color w:val="2E74B5"/>
          <w:sz w:val="26"/>
        </w:rPr>
        <w:t>AUTOMATIZADOR SIFEN</w:t>
      </w:r>
    </w:p>
    <w:p>
      <w:pPr>
        <w:spacing w:after="80"/>
        <w:jc w:val="center"/>
      </w:pPr>
      <w:r>
        <w:rPr>
          <w:b/>
          <w:color w:val="1F4E79"/>
          <w:sz w:val="60"/>
        </w:rPr>
        <w:t>Formato del archivo TXT</w:t>
      </w:r>
    </w:p>
    <w:p>
      <w:pPr>
        <w:pBdr>
          <w:bottom w:val="single" w:sz="8" w:space="12" w:color="2E74B5"/>
        </w:pBdr>
        <w:spacing w:after="320"/>
        <w:jc w:val="center"/>
      </w:pPr>
      <w:r>
        <w:rPr>
          <w:color w:val="595959"/>
          <w:sz w:val="28"/>
        </w:rPr>
        <w:t>Especificación del archivo de entrada</w:t>
      </w:r>
    </w:p>
    <w:p>
      <w:pPr>
        <w:spacing w:after="40"/>
        <w:jc w:val="center"/>
      </w:pPr>
      <w:r>
        <w:rPr>
          <w:i/>
          <w:color w:val="595959"/>
          <w:sz w:val="22"/>
        </w:rPr>
        <w:t>Contrato de integración entre el sistema de gestión</w:t>
      </w:r>
    </w:p>
    <w:p>
      <w:pPr>
        <w:spacing w:after="40"/>
        <w:jc w:val="center"/>
      </w:pPr>
      <w:r>
        <w:rPr>
          <w:i/>
          <w:color w:val="595959"/>
          <w:sz w:val="22"/>
        </w:rPr>
        <w:t>y el Automatizador SIFEN.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0"/>
        <w:jc w:val="center"/>
      </w:pPr>
      <w:r>
        <w:rPr>
          <w:color w:val="595959"/>
          <w:sz w:val="20"/>
        </w:rPr>
        <w:t>Versión del documento: 2.0</w:t>
      </w:r>
    </w:p>
    <w:p>
      <w:pPr>
        <w:spacing w:after="40"/>
        <w:jc w:val="center"/>
      </w:pPr>
      <w:r>
        <w:rPr>
          <w:color w:val="595959"/>
          <w:sz w:val="20"/>
        </w:rPr>
        <w:t>Codificación: UTF-8   ·   Separador de campos: |</w:t>
      </w:r>
    </w:p>
    <w:p>
      <w:pPr>
        <w:spacing w:after="40"/>
        <w:jc w:val="center"/>
      </w:pPr>
      <w:r>
        <w:rPr>
          <w:color w:val="595959"/>
          <w:sz w:val="20"/>
        </w:rPr>
        <w:t>Ejemplos completos en la carpeta ejemplos/</w:t>
      </w:r>
    </w:p>
    <w:p>
      <w:r>
        <w:br w:type="page"/>
      </w:r>
    </w:p>
    <w:p>
      <w:pPr>
        <w:spacing w:after="160"/>
      </w:pPr>
      <w:r>
        <w:rPr>
          <w:b/>
          <w:color w:val="1F4E79"/>
          <w:sz w:val="32"/>
        </w:rPr>
        <w:t>Contenido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i/>
          <w:color w:val="595959"/>
          <w:sz w:val="19"/>
        </w:rPr>
        <w:t>El índice se completa al abrir el documento en Word. Si aparece este texto, seleccionelo y presione F9 para actualizarlo.</w:t>
      </w:r>
      <w:r>
        <w:fldChar w:fldCharType="end"/>
      </w:r>
    </w:p>
    <w:p>
      <w:r>
        <w:br w:type="page"/>
      </w:r>
    </w:p>
    <w:p>
      <w:pPr>
        <w:pStyle w:val="Heading1"/>
      </w:pPr>
      <w:r>
        <w:t>1. Propósito de este documento</w:t>
      </w:r>
    </w:p>
    <w:p>
      <w:pPr>
        <w:spacing w:after="140"/>
      </w:pPr>
      <w:r>
        <w:t>El archivo de texto es el único punto de contacto entre el sistema de gestión y el Automatizador SIFEN. Todo lo que el automatizador sabe de una venta llega por ahí, de modo que este documento cumple la función de un contrato de integración: describe exactamente qué debe escribir el sistema externo, qué es obligatorio, qué es opcional y qué se calcula solo.</w:t>
      </w:r>
    </w:p>
    <w:p>
      <w:pPr>
        <w:spacing w:after="140"/>
      </w:pPr>
      <w:r>
        <w:t xml:space="preserve">La responsabilidad del sistema externo termina en la generación del archivo. No necesita conocer el estándar SIFEN, ni construir XML, ni firmar nada, ni hablar con la DNIT: </w:t>
      </w:r>
      <w:r>
        <w:rPr>
          <w:b/>
        </w:rPr>
        <w:t>solo debe extraer sus propios datos y escribirlos en este formato.</w:t>
      </w:r>
      <w:r>
        <w:t xml:space="preserve"> El automatizador se encarga del resto.</w:t>
      </w:r>
    </w:p>
    <w:p>
      <w:pPr>
        <w:pBdr>
          <w:top w:val="single" w:sz="4" w:space="6" w:color="EAF4FB"/>
          <w:left w:val="single" w:sz="18" w:space="8" w:color="2E74B5"/>
          <w:bottom w:val="single" w:sz="4" w:space="6" w:color="EAF4FB"/>
          <w:right w:val="single" w:sz="4" w:space="6" w:color="EAF4FB"/>
        </w:pBdr>
        <w:shd w:val="clear" w:color="auto" w:fill="EAF4FB"/>
        <w:spacing w:before="160" w:after="200" w:line="276" w:lineRule="auto"/>
        <w:ind w:left="227" w:right="170"/>
      </w:pPr>
      <w:r>
        <w:rPr>
          <w:b/>
          <w:color w:val="1F4E79"/>
        </w:rPr>
        <w:t xml:space="preserve">DISEÑO  </w:t>
      </w:r>
      <w:r>
        <w:t>el formato se mantuvo deliberadamente pobre en opciones. Cuantos menos campos escriba el sistema externo, menos oportunidades hay de equivocarse. Por eso los importes totales y los medios de pago no se escriben: se deducen de los ítems.</w:t>
      </w:r>
    </w:p>
    <w:p>
      <w:pPr>
        <w:pStyle w:val="Heading1"/>
      </w:pPr>
      <w:r>
        <w:t>2. Reglas generales</w:t>
      </w:r>
    </w:p>
    <w:p>
      <w:pPr>
        <w:spacing w:after="140"/>
      </w:pPr>
      <w:r>
        <w:t>Antes de entrar en el detalle de cada línea, conviene fijar las reglas que gobiernan el archivo completo.</w:t>
      </w:r>
    </w:p>
    <w:p>
      <w:pPr>
        <w:pStyle w:val="ListBullet"/>
        <w:spacing w:after="80" w:line="276" w:lineRule="auto"/>
      </w:pPr>
      <w:r>
        <w:rPr>
          <w:b/>
        </w:rPr>
        <w:t>Codificación UTF-8.</w:t>
      </w:r>
      <w:r>
        <w:t xml:space="preserve"> Es obligatoria para que los acentos, la letra ñ y los símbolos de las razones sociales lleguen intactos al XML y al PDF. Un archivo guardado en otra codificación produce nombres deformados en el comprobante.</w:t>
      </w:r>
    </w:p>
    <w:p>
      <w:pPr>
        <w:pStyle w:val="ListBullet"/>
        <w:spacing w:after="80" w:line="276" w:lineRule="auto"/>
      </w:pPr>
      <w:r>
        <w:rPr>
          <w:b/>
        </w:rPr>
        <w:t>Una instrucción por línea.</w:t>
      </w:r>
      <w:r>
        <w:t xml:space="preserve"> Cada línea empieza con un código de tres letras que indica de qué se trata: </w:t>
      </w:r>
      <w:r>
        <w:rPr>
          <w:rFonts w:ascii="Consolas" w:hAnsi="Consolas"/>
          <w:color w:val="A31515"/>
          <w:sz w:val="19"/>
        </w:rPr>
        <w:t>FAC</w:t>
      </w:r>
      <w:r>
        <w:t xml:space="preserve">, </w:t>
      </w:r>
      <w:r>
        <w:rPr>
          <w:rFonts w:ascii="Consolas" w:hAnsi="Consolas"/>
          <w:color w:val="A31515"/>
          <w:sz w:val="19"/>
        </w:rPr>
        <w:t>CLI</w:t>
      </w:r>
      <w:r>
        <w:t xml:space="preserve">, </w:t>
      </w:r>
      <w:r>
        <w:rPr>
          <w:rFonts w:ascii="Consolas" w:hAnsi="Consolas"/>
          <w:color w:val="A31515"/>
          <w:sz w:val="19"/>
        </w:rPr>
        <w:t>ITM</w:t>
      </w:r>
      <w:r>
        <w:t xml:space="preserve"> o </w:t>
      </w:r>
      <w:r>
        <w:rPr>
          <w:rFonts w:ascii="Consolas" w:hAnsi="Consolas"/>
          <w:color w:val="A31515"/>
          <w:sz w:val="19"/>
        </w:rPr>
        <w:t>PAG</w:t>
      </w:r>
      <w:r>
        <w:t>. El código no distingue mayúsculas de minúsculas.</w:t>
      </w:r>
    </w:p>
    <w:p>
      <w:pPr>
        <w:pStyle w:val="ListBullet"/>
        <w:spacing w:after="80" w:line="276" w:lineRule="auto"/>
      </w:pPr>
      <w:r>
        <w:rPr>
          <w:b/>
        </w:rPr>
        <w:t xml:space="preserve">Los campos se separan con la barra vertical </w:t>
      </w:r>
      <w:r>
        <w:rPr>
          <w:rFonts w:ascii="Consolas" w:hAnsi="Consolas"/>
          <w:b/>
          <w:color w:val="A31515"/>
          <w:sz w:val="19"/>
        </w:rPr>
        <w:t>|</w:t>
      </w:r>
      <w:r>
        <w:rPr>
          <w:b/>
        </w:rPr>
        <w:t>.</w:t>
      </w:r>
      <w:r>
        <w:t xml:space="preserve"> Ese carácter no puede aparecer dentro de un dato; si una descripción lo contuviera, hay que reemplazarlo antes de escribir el archivo.</w:t>
      </w:r>
    </w:p>
    <w:p>
      <w:pPr>
        <w:pStyle w:val="ListBullet"/>
        <w:spacing w:after="80" w:line="276" w:lineRule="auto"/>
      </w:pPr>
      <w:r>
        <w:rPr>
          <w:b/>
        </w:rPr>
        <w:t>Se admiten espacios alrededor de los campos.</w:t>
      </w:r>
      <w:r>
        <w:t xml:space="preserve"> El automatizador recorta los espacios sobrantes al principio y al final de cada valor, así que alinear las columnas para que el archivo se lea mejor no causa problemas.</w:t>
      </w:r>
    </w:p>
    <w:p>
      <w:pPr>
        <w:pStyle w:val="ListBullet"/>
        <w:spacing w:after="80" w:line="276" w:lineRule="auto"/>
      </w:pPr>
      <w:r>
        <w:rPr>
          <w:b/>
        </w:rPr>
        <w:t xml:space="preserve">Las líneas que empiezan con </w:t>
      </w:r>
      <w:r>
        <w:rPr>
          <w:rFonts w:ascii="Consolas" w:hAnsi="Consolas"/>
          <w:b/>
          <w:color w:val="A31515"/>
          <w:sz w:val="19"/>
        </w:rPr>
        <w:t>#</w:t>
      </w:r>
      <w:r>
        <w:rPr>
          <w:b/>
        </w:rPr>
        <w:t xml:space="preserve"> son comentarios</w:t>
      </w:r>
      <w:r>
        <w:t xml:space="preserve"> y se ignoran por completo, igual que las líneas en blanco. Sirven para documentar el archivo o para desactivar temporalmente una factura durante las pruebas.</w:t>
      </w:r>
    </w:p>
    <w:p>
      <w:pPr>
        <w:pStyle w:val="ListBullet"/>
        <w:spacing w:after="80" w:line="276" w:lineRule="auto"/>
      </w:pPr>
      <w:r>
        <w:rPr>
          <w:b/>
        </w:rPr>
        <w:t xml:space="preserve">Una línea con </w:t>
      </w:r>
      <w:r>
        <w:rPr>
          <w:rFonts w:ascii="Consolas" w:hAnsi="Consolas"/>
          <w:b/>
          <w:color w:val="A31515"/>
          <w:sz w:val="19"/>
        </w:rPr>
        <w:t>===</w:t>
      </w:r>
      <w:r>
        <w:rPr>
          <w:b/>
        </w:rPr>
        <w:t xml:space="preserve"> separa una factura de la siguiente.</w:t>
      </w:r>
      <w:r>
        <w:t xml:space="preserve"> Un mismo archivo puede contener una factura o cientos. No hace falta escribir el separador al final del archivo.</w:t>
      </w:r>
    </w:p>
    <w:p>
      <w:pPr>
        <w:pStyle w:val="ListBullet"/>
        <w:spacing w:after="80" w:line="276" w:lineRule="auto"/>
      </w:pPr>
      <w:r>
        <w:rPr>
          <w:b/>
        </w:rPr>
        <w:t xml:space="preserve">El orden habitual es </w:t>
      </w:r>
      <w:r>
        <w:rPr>
          <w:rFonts w:ascii="Consolas" w:hAnsi="Consolas"/>
          <w:b/>
          <w:color w:val="A31515"/>
          <w:sz w:val="19"/>
        </w:rPr>
        <w:t>FAC</w:t>
      </w:r>
      <w:r>
        <w:rPr>
          <w:b/>
        </w:rPr>
        <w:t xml:space="preserve">, </w:t>
      </w:r>
      <w:r>
        <w:rPr>
          <w:rFonts w:ascii="Consolas" w:hAnsi="Consolas"/>
          <w:b/>
          <w:color w:val="A31515"/>
          <w:sz w:val="19"/>
        </w:rPr>
        <w:t>CLI</w:t>
      </w:r>
      <w:r>
        <w:rPr>
          <w:b/>
        </w:rPr>
        <w:t xml:space="preserve"> y luego los </w:t>
      </w:r>
      <w:r>
        <w:rPr>
          <w:rFonts w:ascii="Consolas" w:hAnsi="Consolas"/>
          <w:b/>
          <w:color w:val="A31515"/>
          <w:sz w:val="19"/>
        </w:rPr>
        <w:t>ITM</w:t>
      </w:r>
      <w:r>
        <w:rPr>
          <w:b/>
        </w:rPr>
        <w:t>.</w:t>
      </w:r>
      <w:r>
        <w:t xml:space="preserve"> El automatizador no exige ese orden —cada línea se identifica por su código—, pero respetarlo hace que el archivo sea legible para una persona.</w:t>
      </w:r>
    </w:p>
    <w:p>
      <w:pPr>
        <w:pStyle w:val="ListBullet"/>
        <w:spacing w:after="80" w:line="276" w:lineRule="auto"/>
      </w:pPr>
      <w:r>
        <w:rPr>
          <w:b/>
        </w:rPr>
        <w:t xml:space="preserve">Si una línea </w:t>
      </w:r>
      <w:r>
        <w:rPr>
          <w:rFonts w:ascii="Consolas" w:hAnsi="Consolas"/>
          <w:b/>
          <w:color w:val="A31515"/>
          <w:sz w:val="19"/>
        </w:rPr>
        <w:t>FAC</w:t>
      </w:r>
      <w:r>
        <w:rPr>
          <w:b/>
        </w:rPr>
        <w:t xml:space="preserve"> o </w:t>
      </w:r>
      <w:r>
        <w:rPr>
          <w:rFonts w:ascii="Consolas" w:hAnsi="Consolas"/>
          <w:b/>
          <w:color w:val="A31515"/>
          <w:sz w:val="19"/>
        </w:rPr>
        <w:t>CLI</w:t>
      </w:r>
      <w:r>
        <w:rPr>
          <w:b/>
        </w:rPr>
        <w:t xml:space="preserve"> se repite dentro de la misma factura, prevalece la última.</w:t>
      </w:r>
      <w:r>
        <w:t xml:space="preserve"> Es un efecto del modo en que se arma la factura, no una funcionalidad: conviene escribir una sola de cada una.</w:t>
      </w:r>
    </w:p>
    <w:p>
      <w:pPr>
        <w:pStyle w:val="ListBullet"/>
        <w:spacing w:after="80" w:line="276" w:lineRule="auto"/>
      </w:pPr>
      <w:r>
        <w:rPr>
          <w:b/>
        </w:rPr>
        <w:t>Los campos que faltan al final de una línea toman su valor por defecto.</w:t>
      </w:r>
      <w:r>
        <w:t xml:space="preserve"> Por ejemplo, omitir la moneda equivale a escribir </w:t>
      </w:r>
      <w:r>
        <w:rPr>
          <w:rFonts w:ascii="Consolas" w:hAnsi="Consolas"/>
          <w:color w:val="A31515"/>
          <w:sz w:val="19"/>
        </w:rPr>
        <w:t>PYG</w:t>
      </w:r>
      <w:r>
        <w:t>. Los campos intermedios, en cambio, deben dejarse vacíos entre dos barras, no eliminarse.</w:t>
      </w:r>
    </w:p>
    <w:p>
      <w:pPr>
        <w:pStyle w:val="Heading1"/>
      </w:pPr>
      <w:r>
        <w:t>3. Tipos de línea</w:t>
      </w:r>
    </w:p>
    <w:p>
      <w:pPr>
        <w:spacing w:after="140"/>
      </w:pPr>
      <w:r>
        <w:t>Solo hacen falta tres tipos de línea para emitir una factura completa. El cuarto, el medio de pago, es opcional y está pensado para casos particulares.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Línea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Estructura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Cuántas veces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Obligatoria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FAC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FAC|establecimiento|punto|numero|fecha|condicion|moneda</w:t>
            </w:r>
          </w:p>
        </w:tc>
        <w:tc>
          <w:tcPr>
            <w:tcW w:type="dxa" w:w="1474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Una por factura</w:t>
            </w:r>
          </w:p>
        </w:tc>
        <w:tc>
          <w:tcPr>
            <w:tcW w:type="dxa" w:w="2381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CLI</w:t>
            </w:r>
          </w:p>
        </w:tc>
        <w:tc>
          <w:tcPr>
            <w:tcW w:type="dxa" w:w="4762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CLI|tipo|documento|nombre|email|direccion|telefono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Una por factura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ITM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ITM|codigo|descripcion|cantidad|precio_unitario|iva</w:t>
            </w:r>
          </w:p>
        </w:tc>
        <w:tc>
          <w:tcPr>
            <w:tcW w:type="dxa" w:w="1474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Una por cada ítem</w:t>
            </w:r>
          </w:p>
        </w:tc>
        <w:tc>
          <w:tcPr>
            <w:tcW w:type="dxa" w:w="2381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 (al menos una)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PAG</w:t>
            </w:r>
          </w:p>
        </w:tc>
        <w:tc>
          <w:tcPr>
            <w:tcW w:type="dxa" w:w="4762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PAG|tipo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Ninguna, una o varias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 (uso avanzado)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===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Separador entre facturas</w:t>
            </w:r>
          </w:p>
        </w:tc>
        <w:tc>
          <w:tcPr>
            <w:tcW w:type="dxa" w:w="1474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Entre factura y factura</w:t>
            </w:r>
          </w:p>
        </w:tc>
        <w:tc>
          <w:tcPr>
            <w:tcW w:type="dxa" w:w="2381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Solo con varias facturas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4. Línea FAC — cabecera de la factura</w:t>
      </w:r>
    </w:p>
    <w:p>
      <w:pPr>
        <w:spacing w:after="140"/>
      </w:pPr>
      <w:r>
        <w:t>Identifica el comprobante: de qué establecimiento y punto de expedición sale, con qué número, en qué fecha, en qué condición de venta y en qué moneda.</w:t>
      </w:r>
    </w:p>
    <w:p>
      <w:pPr>
        <w:keepNext/>
        <w:spacing w:before="120" w:after="40"/>
      </w:pPr>
      <w:r>
        <w:rPr>
          <w:b/>
          <w:color w:val="595959"/>
          <w:sz w:val="18"/>
        </w:rPr>
        <w:t>Ejemplo</w:t>
      </w:r>
    </w:p>
    <w:p>
      <w:pPr>
        <w:keepNext w:val="0"/>
        <w:pBdr>
          <w:left w:val="single" w:sz="12" w:space="6" w:color="2E74B5"/>
        </w:pBdr>
        <w:shd w:val="clear" w:color="auto" w:fill="F2F4F7"/>
        <w:spacing w:before="80" w:after="160" w:line="240" w:lineRule="auto"/>
        <w:ind w:left="227" w:right="113"/>
      </w:pPr>
      <w:r>
        <w:rPr>
          <w:rFonts w:ascii="Consolas" w:hAnsi="Consolas"/>
          <w:sz w:val="17"/>
        </w:rPr>
        <w:t>FAC|001|001|0000123|2026-06-21|1|PYG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Campo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Oblig.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Formato y valores admitidos</w:t>
            </w:r>
          </w:p>
        </w:tc>
        <w:tc>
          <w:tcPr>
            <w:tcW w:type="dxa" w:w="3288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Observaciones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establecimiento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3628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Hasta 3 dígitos</w:t>
            </w:r>
          </w:p>
        </w:tc>
        <w:tc>
          <w:tcPr>
            <w:tcW w:type="dxa" w:w="3288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Se completa con ceros a la izquierda: </w:t>
            </w:r>
            <w:r>
              <w:rPr>
                <w:rFonts w:ascii="Consolas" w:hAnsi="Consolas"/>
                <w:color w:val="A31515"/>
                <w:sz w:val="19"/>
              </w:rPr>
              <w:t>1</w:t>
            </w:r>
            <w:r>
              <w:rPr>
                <w:sz w:val="19"/>
              </w:rPr>
              <w:t xml:space="preserve"> se convierte en </w:t>
            </w:r>
            <w:r>
              <w:rPr>
                <w:rFonts w:ascii="Consolas" w:hAnsi="Consolas"/>
                <w:color w:val="A31515"/>
                <w:sz w:val="19"/>
              </w:rPr>
              <w:t>001</w:t>
            </w:r>
            <w:r>
              <w:rPr>
                <w:sz w:val="19"/>
              </w:rPr>
              <w:t>. Debe corresponder a un establecimiento habilitado en el timbrado.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punto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Hasta 3 dígitos</w:t>
            </w:r>
          </w:p>
        </w:tc>
        <w:tc>
          <w:tcPr>
            <w:tcW w:type="dxa" w:w="3288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Punto de expedición. También se completa a 3 dígitos.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numero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3628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Hasta 7 dígitos</w:t>
            </w:r>
          </w:p>
        </w:tc>
        <w:tc>
          <w:tcPr>
            <w:tcW w:type="dxa" w:w="3288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Número correlativo de la factura. Se completa con ceros hasta 7 posiciones: </w:t>
            </w:r>
            <w:r>
              <w:rPr>
                <w:rFonts w:ascii="Consolas" w:hAnsi="Consolas"/>
                <w:color w:val="A31515"/>
                <w:sz w:val="19"/>
              </w:rPr>
              <w:t>123</w:t>
            </w:r>
            <w:r>
              <w:rPr>
                <w:sz w:val="19"/>
              </w:rPr>
              <w:t xml:space="preserve"> se convierte en </w:t>
            </w:r>
            <w:r>
              <w:rPr>
                <w:rFonts w:ascii="Consolas" w:hAnsi="Consolas"/>
                <w:color w:val="A31515"/>
                <w:sz w:val="19"/>
              </w:rPr>
              <w:t>0000123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La numeración corre por cuenta del sistema externo:</w:t>
            </w:r>
            <w:r>
              <w:rPr>
                <w:sz w:val="19"/>
              </w:rPr>
              <w:t xml:space="preserve"> el automatizador no lleva contador propio ni detecta saltos o repeticiones.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fecha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A31515"/>
                <w:sz w:val="19"/>
              </w:rPr>
              <w:t>AAAA-MM-DD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A31515"/>
                <w:sz w:val="19"/>
              </w:rPr>
              <w:t>AAAA-MM-DD HH:MM:SS</w:t>
            </w:r>
          </w:p>
        </w:tc>
        <w:tc>
          <w:tcPr>
            <w:tcW w:type="dxa" w:w="3288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Si se informa solo la fecha, se le agrega la hora del momento del procesamiento. Una fecha que no pueda interpretarse detiene la emisión.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condicion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3628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A31515"/>
                <w:sz w:val="19"/>
              </w:rPr>
              <w:t>1</w:t>
            </w:r>
            <w:r>
              <w:rPr>
                <w:sz w:val="19"/>
              </w:rPr>
              <w:t xml:space="preserve"> = contado (por defecto)</w:t>
              <w:br/>
            </w:r>
            <w:r>
              <w:rPr>
                <w:rFonts w:ascii="Consolas" w:hAnsi="Consolas"/>
                <w:color w:val="A31515"/>
                <w:sz w:val="19"/>
              </w:rPr>
              <w:t>2</w:t>
            </w:r>
            <w:r>
              <w:rPr>
                <w:sz w:val="19"/>
              </w:rPr>
              <w:t xml:space="preserve"> = crédito</w:t>
            </w:r>
          </w:p>
        </w:tc>
        <w:tc>
          <w:tcPr>
            <w:tcW w:type="dxa" w:w="3288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Determina la condición de venta declarada en el documento y afecta el tratamiento de los pagos (ver el capítulo 7).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moneda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A31515"/>
                <w:sz w:val="19"/>
              </w:rPr>
              <w:t>PYG</w:t>
            </w:r>
            <w:r>
              <w:rPr>
                <w:sz w:val="19"/>
              </w:rPr>
              <w:t xml:space="preserve"> (por defecto), </w:t>
            </w:r>
            <w:r>
              <w:rPr>
                <w:rFonts w:ascii="Consolas" w:hAnsi="Consolas"/>
                <w:color w:val="A31515"/>
                <w:sz w:val="19"/>
              </w:rPr>
              <w:t>USD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BRL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ARS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EUR</w:t>
            </w:r>
          </w:p>
        </w:tc>
        <w:tc>
          <w:tcPr>
            <w:tcW w:type="dxa" w:w="3288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La moneda define los decimales del redondeo: guaraníes sin decimales, el resto con dos.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5. Línea CLI — datos del cliente</w:t>
      </w:r>
    </w:p>
    <w:p>
      <w:pPr>
        <w:spacing w:after="140"/>
      </w:pPr>
      <w:r>
        <w:t>Identifica al receptor del comprobante. La forma de completarla depende de si el cliente tiene RUC o no, porque el documento electrónico trata de manera distinta a las operaciones entre empresas y a las ventas a consumidor final.</w:t>
      </w:r>
    </w:p>
    <w:p>
      <w:pPr>
        <w:keepNext/>
        <w:spacing w:before="120" w:after="40"/>
      </w:pPr>
      <w:r>
        <w:rPr>
          <w:b/>
          <w:color w:val="595959"/>
          <w:sz w:val="18"/>
        </w:rPr>
        <w:t>Ejemplos: cliente con RUC y consumidor final</w:t>
      </w:r>
    </w:p>
    <w:p>
      <w:pPr>
        <w:keepNext/>
        <w:pBdr>
          <w:left w:val="single" w:sz="12" w:space="6" w:color="2E74B5"/>
        </w:pBdr>
        <w:shd w:val="clear" w:color="auto" w:fill="F2F4F7"/>
        <w:spacing w:before="80" w:after="0" w:line="240" w:lineRule="auto"/>
        <w:ind w:left="227" w:right="113"/>
      </w:pPr>
      <w:r>
        <w:rPr>
          <w:rFonts w:ascii="Consolas" w:hAnsi="Consolas"/>
          <w:sz w:val="17"/>
        </w:rPr>
        <w:t>CLI|RUC|80012345-6|Comercial Cliente S.A.|cliente@correo.com|Avda. Ejemplo 742|021555444</w:t>
      </w:r>
    </w:p>
    <w:p>
      <w:pPr>
        <w:keepNext w:val="0"/>
        <w:pBdr>
          <w:left w:val="single" w:sz="12" w:space="6" w:color="2E74B5"/>
        </w:pBdr>
        <w:shd w:val="clear" w:color="auto" w:fill="F2F4F7"/>
        <w:spacing w:before="0" w:after="160" w:line="240" w:lineRule="auto"/>
        <w:ind w:left="227" w:right="113"/>
      </w:pPr>
      <w:r>
        <w:rPr>
          <w:rFonts w:ascii="Consolas" w:hAnsi="Consolas"/>
          <w:sz w:val="17"/>
        </w:rPr>
        <w:t>CLI|CI|CF|Consumidor Final|||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Campo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Oblig.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Formato y valores admitidos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Observaciones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tipo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3402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A31515"/>
                <w:sz w:val="19"/>
              </w:rPr>
              <w:t>RUC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A31515"/>
                <w:sz w:val="19"/>
              </w:rPr>
              <w:t>CI</w:t>
            </w:r>
            <w:r>
              <w:rPr>
                <w:sz w:val="19"/>
              </w:rPr>
              <w:t xml:space="preserve"> (por defecto </w:t>
            </w:r>
            <w:r>
              <w:rPr>
                <w:rFonts w:ascii="Consolas" w:hAnsi="Consolas"/>
                <w:color w:val="A31515"/>
                <w:sz w:val="19"/>
              </w:rPr>
              <w:t>CI</w:t>
            </w:r>
            <w:r>
              <w:rPr>
                <w:sz w:val="19"/>
              </w:rPr>
              <w:t>)</w:t>
            </w:r>
          </w:p>
        </w:tc>
        <w:tc>
          <w:tcPr>
            <w:tcW w:type="dxa" w:w="385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Define la naturaleza del receptor: con </w:t>
            </w:r>
            <w:r>
              <w:rPr>
                <w:rFonts w:ascii="Consolas" w:hAnsi="Consolas"/>
                <w:color w:val="A31515"/>
                <w:sz w:val="19"/>
              </w:rPr>
              <w:t>RUC</w:t>
            </w:r>
            <w:r>
              <w:rPr>
                <w:sz w:val="19"/>
              </w:rPr>
              <w:t xml:space="preserve"> el documento se emite como operación entre contribuyentes; con </w:t>
            </w:r>
            <w:r>
              <w:rPr>
                <w:rFonts w:ascii="Consolas" w:hAnsi="Consolas"/>
                <w:color w:val="A31515"/>
                <w:sz w:val="19"/>
              </w:rPr>
              <w:t>CI</w:t>
            </w:r>
            <w:r>
              <w:rPr>
                <w:sz w:val="19"/>
              </w:rPr>
              <w:t>, como venta a consumidor final.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documento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Depende</w:t>
            </w:r>
          </w:p>
        </w:tc>
        <w:tc>
          <w:tcPr>
            <w:tcW w:type="dxa" w:w="3402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Con </w:t>
            </w:r>
            <w:r>
              <w:rPr>
                <w:rFonts w:ascii="Consolas" w:hAnsi="Consolas"/>
                <w:color w:val="A31515"/>
                <w:sz w:val="19"/>
              </w:rPr>
              <w:t>RUC</w:t>
            </w:r>
            <w:r>
              <w:rPr>
                <w:sz w:val="19"/>
              </w:rPr>
              <w:t xml:space="preserve">: el número </w:t>
            </w:r>
            <w:r>
              <w:rPr>
                <w:b/>
                <w:sz w:val="19"/>
              </w:rPr>
              <w:t>con su dígito verificador</w:t>
            </w:r>
            <w:r>
              <w:rPr>
                <w:sz w:val="19"/>
              </w:rPr>
              <w:t xml:space="preserve">, en la forma </w:t>
            </w:r>
            <w:r>
              <w:rPr>
                <w:rFonts w:ascii="Consolas" w:hAnsi="Consolas"/>
                <w:color w:val="A31515"/>
                <w:sz w:val="19"/>
              </w:rPr>
              <w:t>80012345-6</w:t>
            </w:r>
            <w:r>
              <w:rPr>
                <w:sz w:val="19"/>
              </w:rPr>
              <w:t>.</w:t>
              <w:br/>
              <w:t xml:space="preserve">Con </w:t>
            </w:r>
            <w:r>
              <w:rPr>
                <w:rFonts w:ascii="Consolas" w:hAnsi="Consolas"/>
                <w:color w:val="A31515"/>
                <w:sz w:val="19"/>
              </w:rPr>
              <w:t>CI</w:t>
            </w:r>
            <w:r>
              <w:rPr>
                <w:sz w:val="19"/>
              </w:rPr>
              <w:t xml:space="preserve">: el número de cédula, o la palabra </w:t>
            </w:r>
            <w:r>
              <w:rPr>
                <w:rFonts w:ascii="Consolas" w:hAnsi="Consolas"/>
                <w:color w:val="A31515"/>
                <w:sz w:val="19"/>
              </w:rPr>
              <w:t>CF</w:t>
            </w:r>
            <w:r>
              <w:rPr>
                <w:sz w:val="19"/>
              </w:rPr>
              <w:t>.</w:t>
            </w:r>
          </w:p>
        </w:tc>
        <w:tc>
          <w:tcPr>
            <w:tcW w:type="dxa" w:w="385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Si el tipo es </w:t>
            </w:r>
            <w:r>
              <w:rPr>
                <w:rFonts w:ascii="Consolas" w:hAnsi="Consolas"/>
                <w:color w:val="A31515"/>
                <w:sz w:val="19"/>
              </w:rPr>
              <w:t>RUC</w:t>
            </w:r>
            <w:r>
              <w:rPr>
                <w:sz w:val="19"/>
              </w:rPr>
              <w:t xml:space="preserve"> y falta el guion o el dígito verificador, la factura se rechaza. Con </w:t>
            </w:r>
            <w:r>
              <w:rPr>
                <w:rFonts w:ascii="Consolas" w:hAnsi="Consolas"/>
                <w:color w:val="A31515"/>
                <w:sz w:val="19"/>
              </w:rPr>
              <w:t>CI</w:t>
            </w:r>
            <w:r>
              <w:rPr>
                <w:sz w:val="19"/>
              </w:rPr>
              <w:t xml:space="preserve">, tanto </w:t>
            </w:r>
            <w:r>
              <w:rPr>
                <w:rFonts w:ascii="Consolas" w:hAnsi="Consolas"/>
                <w:color w:val="A31515"/>
                <w:sz w:val="19"/>
              </w:rPr>
              <w:t>CF</w:t>
            </w:r>
            <w:r>
              <w:rPr>
                <w:sz w:val="19"/>
              </w:rPr>
              <w:t xml:space="preserve"> como el campo vacío se interpretan como consumidor final y el documento se emite con número </w:t>
            </w:r>
            <w:r>
              <w:rPr>
                <w:rFonts w:ascii="Consolas" w:hAnsi="Consolas"/>
                <w:color w:val="A31515"/>
                <w:sz w:val="19"/>
              </w:rPr>
              <w:t>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nombre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3402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Texto libre</w:t>
            </w:r>
          </w:p>
        </w:tc>
        <w:tc>
          <w:tcPr>
            <w:tcW w:type="dxa" w:w="385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Razón social o nombre completo del cliente. </w:t>
            </w:r>
            <w:r>
              <w:rPr>
                <w:b/>
                <w:sz w:val="19"/>
              </w:rPr>
              <w:t>Es el único dato del cliente realmente obligatorio;</w:t>
            </w:r>
            <w:r>
              <w:rPr>
                <w:sz w:val="19"/>
              </w:rPr>
              <w:t xml:space="preserve"> sin él la factura se rechaza.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email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3402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Dirección de correo</w:t>
            </w:r>
          </w:p>
        </w:tc>
        <w:tc>
          <w:tcPr>
            <w:tcW w:type="dxa" w:w="385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Si se completa, el cliente recibe automáticamente el comprobante con el PDF y el XML adjuntos. Si se deja vacío, no se envía ningún correo y la factura se emite igual.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direccion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3402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Texto libre</w:t>
            </w:r>
          </w:p>
        </w:tc>
        <w:tc>
          <w:tcPr>
            <w:tcW w:type="dxa" w:w="385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Se imprime en el KuDE cuando está presente.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telefono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3402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Texto libre</w:t>
            </w:r>
          </w:p>
        </w:tc>
        <w:tc>
          <w:tcPr>
            <w:tcW w:type="dxa" w:w="385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Se imprime en el KuDE cuando está presente.</w:t>
            </w:r>
          </w:p>
        </w:tc>
      </w:tr>
    </w:tbl>
    <w:p>
      <w:pPr>
        <w:spacing w:after="80" w:before="0"/>
      </w:pPr>
    </w:p>
    <w:p>
      <w:pPr>
        <w:pBdr>
          <w:top w:val="single" w:sz="4" w:space="6" w:color="FFF7E6"/>
          <w:left w:val="single" w:sz="18" w:space="8" w:color="E0A500"/>
          <w:bottom w:val="single" w:sz="4" w:space="6" w:color="FFF7E6"/>
          <w:right w:val="single" w:sz="4" w:space="6" w:color="FFF7E6"/>
        </w:pBdr>
        <w:shd w:val="clear" w:color="auto" w:fill="FFF7E6"/>
        <w:spacing w:before="160" w:after="200" w:line="276" w:lineRule="auto"/>
        <w:ind w:left="227" w:right="170"/>
      </w:pPr>
      <w:r>
        <w:rPr>
          <w:b/>
          <w:color w:val="7A4F00"/>
        </w:rPr>
        <w:t xml:space="preserve">CUIDADO  </w:t>
      </w:r>
      <w:r>
        <w:t xml:space="preserve">el dígito verificador del RUC forma parte del cálculo del CDC y de las validaciones de la DNIT. Enviar </w:t>
      </w:r>
      <w:r>
        <w:rPr>
          <w:rFonts w:ascii="Consolas" w:hAnsi="Consolas"/>
          <w:color w:val="A31515"/>
          <w:sz w:val="19"/>
        </w:rPr>
        <w:t>80012345</w:t>
      </w:r>
      <w:r>
        <w:t xml:space="preserve"> en lugar de </w:t>
      </w:r>
      <w:r>
        <w:rPr>
          <w:rFonts w:ascii="Consolas" w:hAnsi="Consolas"/>
          <w:color w:val="A31515"/>
          <w:sz w:val="19"/>
        </w:rPr>
        <w:t>80012345-6</w:t>
      </w:r>
      <w:r>
        <w:t xml:space="preserve"> no es una omisión menor: impide emitir.</w:t>
      </w:r>
    </w:p>
    <w:p>
      <w:pPr>
        <w:pStyle w:val="Heading1"/>
      </w:pPr>
      <w:r>
        <w:t>6. Línea ITM — ítems de la factura</w:t>
      </w:r>
    </w:p>
    <w:p>
      <w:pPr>
        <w:spacing w:after="140"/>
      </w:pPr>
      <w:r>
        <w:t>Cada producto o servicio facturado ocupa una línea. Es la única línea que se repite, y de ella salen todos los importes del documento.</w:t>
      </w:r>
    </w:p>
    <w:p>
      <w:pPr>
        <w:keepNext/>
        <w:spacing w:before="120" w:after="40"/>
      </w:pPr>
      <w:r>
        <w:rPr>
          <w:b/>
          <w:color w:val="595959"/>
          <w:sz w:val="18"/>
        </w:rPr>
        <w:t>Ejemplos: ítem gravado al 10 % e ítem exento</w:t>
      </w:r>
    </w:p>
    <w:p>
      <w:pPr>
        <w:keepNext/>
        <w:pBdr>
          <w:left w:val="single" w:sz="12" w:space="6" w:color="2E74B5"/>
        </w:pBdr>
        <w:shd w:val="clear" w:color="auto" w:fill="F2F4F7"/>
        <w:spacing w:before="80" w:after="0" w:line="240" w:lineRule="auto"/>
        <w:ind w:left="227" w:right="113"/>
      </w:pPr>
      <w:r>
        <w:rPr>
          <w:rFonts w:ascii="Consolas" w:hAnsi="Consolas"/>
          <w:sz w:val="17"/>
        </w:rPr>
        <w:t>ITM|P001|Teclado mecanico|2|150000|10</w:t>
      </w:r>
    </w:p>
    <w:p>
      <w:pPr>
        <w:keepNext w:val="0"/>
        <w:pBdr>
          <w:left w:val="single" w:sz="12" w:space="6" w:color="2E74B5"/>
        </w:pBdr>
        <w:shd w:val="clear" w:color="auto" w:fill="F2F4F7"/>
        <w:spacing w:before="0" w:after="160" w:line="240" w:lineRule="auto"/>
        <w:ind w:left="227" w:right="113"/>
      </w:pPr>
      <w:r>
        <w:rPr>
          <w:rFonts w:ascii="Consolas" w:hAnsi="Consolas"/>
          <w:sz w:val="17"/>
        </w:rPr>
        <w:t>ITM|L002|Cuaderno escolar|3|12000|0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Campo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Oblig.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Formato y valores admitidos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Observaciones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codigo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283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Texto libre</w:t>
            </w:r>
          </w:p>
        </w:tc>
        <w:tc>
          <w:tcPr>
            <w:tcW w:type="dxa" w:w="4082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Código interno del producto o servicio en el sistema externo. Si se deja vacío, se emite con el código </w:t>
            </w:r>
            <w:r>
              <w:rPr>
                <w:rFonts w:ascii="Consolas" w:hAnsi="Consolas"/>
                <w:color w:val="A31515"/>
                <w:sz w:val="19"/>
              </w:rPr>
              <w:t>001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descripcion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Texto libre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Descripción que aparecerá en el KuDE y en el XML. Conviene que sea la misma que ve el cliente en el sistema de gestión.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cantidad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283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Número, con punto como separador decimal</w:t>
            </w:r>
          </w:p>
        </w:tc>
        <w:tc>
          <w:tcPr>
            <w:tcW w:type="dxa" w:w="4082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Admite decimales para unidades fraccionables (kilos, horas, litros).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precio_unitario</w:t>
            </w:r>
          </w:p>
        </w:tc>
        <w:tc>
          <w:tcPr>
            <w:tcW w:type="dxa" w:w="90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Sí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Número, con punto como separador decimal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b/>
                <w:sz w:val="19"/>
              </w:rPr>
              <w:t>El precio se informa con el IVA incluido,</w:t>
            </w:r>
            <w:r>
              <w:rPr>
                <w:sz w:val="19"/>
              </w:rPr>
              <w:t xml:space="preserve"> que es como suele estar cargado en los sistemas de venta al público. El automatizador se encarga de separar la base imponible del impuesto.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iva</w:t>
            </w:r>
          </w:p>
        </w:tc>
        <w:tc>
          <w:tcPr>
            <w:tcW w:type="dxa" w:w="907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</w:t>
            </w:r>
          </w:p>
        </w:tc>
        <w:tc>
          <w:tcPr>
            <w:tcW w:type="dxa" w:w="2835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A31515"/>
                <w:sz w:val="19"/>
              </w:rPr>
              <w:t>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5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A31515"/>
                <w:sz w:val="19"/>
              </w:rPr>
              <w:t>0</w:t>
            </w:r>
            <w:r>
              <w:rPr>
                <w:sz w:val="19"/>
              </w:rPr>
              <w:t xml:space="preserve"> (por defecto </w:t>
            </w:r>
            <w:r>
              <w:rPr>
                <w:rFonts w:ascii="Consolas" w:hAnsi="Consolas"/>
                <w:color w:val="A31515"/>
                <w:sz w:val="19"/>
              </w:rPr>
              <w:t>10</w:t>
            </w:r>
            <w:r>
              <w:rPr>
                <w:sz w:val="19"/>
              </w:rPr>
              <w:t>)</w:t>
            </w:r>
          </w:p>
        </w:tc>
        <w:tc>
          <w:tcPr>
            <w:tcW w:type="dxa" w:w="4082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color w:val="A31515"/>
                <w:sz w:val="19"/>
              </w:rPr>
              <w:t>10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A31515"/>
                <w:sz w:val="19"/>
              </w:rPr>
              <w:t>5</w:t>
            </w:r>
            <w:r>
              <w:rPr>
                <w:sz w:val="19"/>
              </w:rPr>
              <w:t xml:space="preserve"> son las tasas gravadas; </w:t>
            </w:r>
            <w:r>
              <w:rPr>
                <w:rFonts w:ascii="Consolas" w:hAnsi="Consolas"/>
                <w:color w:val="A31515"/>
                <w:sz w:val="19"/>
              </w:rPr>
              <w:t>0</w:t>
            </w:r>
            <w:r>
              <w:rPr>
                <w:sz w:val="19"/>
              </w:rPr>
              <w:t xml:space="preserve"> marca la operación como exenta. Cualquier otro valor detiene la emisión indicando el código del ítem afectado.</w:t>
            </w:r>
          </w:p>
        </w:tc>
      </w:tr>
    </w:tbl>
    <w:p>
      <w:pPr>
        <w:spacing w:after="80" w:before="0"/>
      </w:pPr>
    </w:p>
    <w:p>
      <w:pPr>
        <w:spacing w:after="140"/>
      </w:pPr>
      <w:r>
        <w:t>Todos los ítems se emiten con la unidad de medida «unidad» y con proporción de IVA del 100 %. Si el negocio necesitara unidades distintas o gravámenes parciales, ese sería un cambio de alcance en el formato, no un dato configurable en el archivo.</w:t>
      </w:r>
    </w:p>
    <w:p>
      <w:pPr>
        <w:pStyle w:val="Heading1"/>
      </w:pPr>
      <w:r>
        <w:t>7. El pago se asigna solo</w:t>
      </w:r>
    </w:p>
    <w:p>
      <w:pPr>
        <w:spacing w:after="140"/>
      </w:pPr>
      <w:r>
        <w:t xml:space="preserve">En la mayoría de los casos </w:t>
      </w:r>
      <w:r>
        <w:rPr>
          <w:b/>
        </w:rPr>
        <w:t>no hace falta escribir ninguna línea de pago.</w:t>
      </w:r>
      <w:r>
        <w:t xml:space="preserve"> Si la factura es al contado y el archivo no indica medio de pago, el automatizador asigna efectivo por el total del documento. Esta decisión es deliberada: el monto pagado siempre coincide con el total, y desaparece toda una familia de rechazos causados por diferencias de un guaraní entre lo declarado y lo calculado.</w:t>
      </w:r>
    </w:p>
    <w:p>
      <w:pPr>
        <w:pStyle w:val="Heading2"/>
      </w:pPr>
      <w:r>
        <w:t>7.1. Uso avanzado: indicar el medio de pago</w:t>
      </w:r>
    </w:p>
    <w:p>
      <w:pPr>
        <w:spacing w:after="140"/>
      </w:pPr>
      <w:r>
        <w:t xml:space="preserve">Cuando el negocio necesita dejar constancia de cómo se cobró, se pueden agregar líneas </w:t>
      </w:r>
      <w:r>
        <w:rPr>
          <w:rFonts w:ascii="Consolas" w:hAnsi="Consolas"/>
          <w:color w:val="A31515"/>
          <w:sz w:val="19"/>
        </w:rPr>
        <w:t>PAG</w:t>
      </w:r>
      <w:r>
        <w:t xml:space="preserve"> con el código del medio de pago. </w:t>
      </w:r>
      <w:r>
        <w:rPr>
          <w:b/>
        </w:rPr>
        <w:t>Nunca se escribe el monto:</w:t>
      </w:r>
      <w:r>
        <w:t xml:space="preserve"> el total del documento se reparte automáticamente entre los medios indicados, y el último absorbe la diferencia de redondeo para que la suma cierre exacta.</w:t>
      </w:r>
    </w:p>
    <w:p>
      <w:pPr>
        <w:keepNext/>
        <w:pBdr>
          <w:left w:val="single" w:sz="12" w:space="6" w:color="2E74B5"/>
        </w:pBdr>
        <w:shd w:val="clear" w:color="auto" w:fill="F2F4F7"/>
        <w:spacing w:before="80" w:after="0" w:line="240" w:lineRule="auto"/>
        <w:ind w:left="227" w:right="113"/>
      </w:pPr>
      <w:r>
        <w:rPr>
          <w:rFonts w:ascii="Consolas" w:hAnsi="Consolas"/>
          <w:sz w:val="17"/>
        </w:rPr>
        <w:t>PAG|1        &lt;- todo el total en efectivo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 xml:space="preserve"> 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PAG|3        &lt;- la mitad con tarjeta de credito</w:t>
      </w:r>
    </w:p>
    <w:p>
      <w:pPr>
        <w:keepNext w:val="0"/>
        <w:pBdr>
          <w:left w:val="single" w:sz="12" w:space="6" w:color="2E74B5"/>
        </w:pBdr>
        <w:shd w:val="clear" w:color="auto" w:fill="F2F4F7"/>
        <w:spacing w:before="0" w:after="160" w:line="240" w:lineRule="auto"/>
        <w:ind w:left="227" w:right="113"/>
      </w:pPr>
      <w:r>
        <w:rPr>
          <w:rFonts w:ascii="Consolas" w:hAnsi="Consolas"/>
          <w:sz w:val="17"/>
        </w:rPr>
        <w:t>PAG|5        &lt;- la otra mitad por transferencia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Código</w:t>
            </w:r>
          </w:p>
        </w:tc>
        <w:tc>
          <w:tcPr>
            <w:tcW w:type="dxa" w:w="3005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Medio de pago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Código</w:t>
            </w:r>
          </w:p>
        </w:tc>
        <w:tc>
          <w:tcPr>
            <w:tcW w:type="dxa" w:w="4139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Medio de pago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1</w:t>
            </w:r>
          </w:p>
        </w:tc>
        <w:tc>
          <w:tcPr>
            <w:tcW w:type="dxa" w:w="300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Efectivo</w:t>
            </w:r>
          </w:p>
        </w:tc>
        <w:tc>
          <w:tcPr>
            <w:tcW w:type="dxa" w:w="1247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6</w:t>
            </w:r>
          </w:p>
        </w:tc>
        <w:tc>
          <w:tcPr>
            <w:tcW w:type="dxa" w:w="413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Giro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2</w:t>
            </w:r>
          </w:p>
        </w:tc>
        <w:tc>
          <w:tcPr>
            <w:tcW w:type="dxa" w:w="300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Cheque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7</w:t>
            </w:r>
          </w:p>
        </w:tc>
        <w:tc>
          <w:tcPr>
            <w:tcW w:type="dxa" w:w="413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Billetera electrónica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3</w:t>
            </w:r>
          </w:p>
        </w:tc>
        <w:tc>
          <w:tcPr>
            <w:tcW w:type="dxa" w:w="300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Tarjeta de crédito</w:t>
            </w:r>
          </w:p>
        </w:tc>
        <w:tc>
          <w:tcPr>
            <w:tcW w:type="dxa" w:w="1247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8</w:t>
            </w:r>
          </w:p>
        </w:tc>
        <w:tc>
          <w:tcPr>
            <w:tcW w:type="dxa" w:w="413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Tarjeta empresarial</w:t>
            </w:r>
          </w:p>
        </w:tc>
      </w:tr>
      <w:tr>
        <w:tc>
          <w:tcPr>
            <w:tcW w:type="dxa" w:w="124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4</w:t>
            </w:r>
          </w:p>
        </w:tc>
        <w:tc>
          <w:tcPr>
            <w:tcW w:type="dxa" w:w="300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Tarjeta de débito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9</w:t>
            </w:r>
          </w:p>
        </w:tc>
        <w:tc>
          <w:tcPr>
            <w:tcW w:type="dxa" w:w="413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Vale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5</w:t>
            </w:r>
          </w:p>
        </w:tc>
        <w:tc>
          <w:tcPr>
            <w:tcW w:type="dxa" w:w="300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Transferencia</w:t>
            </w:r>
          </w:p>
        </w:tc>
        <w:tc>
          <w:tcPr>
            <w:tcW w:type="dxa" w:w="1247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10</w:t>
            </w:r>
          </w:p>
        </w:tc>
        <w:tc>
          <w:tcPr>
            <w:tcW w:type="dxa" w:w="413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Retención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7.2. Facturas a crédito</w:t>
      </w:r>
    </w:p>
    <w:p>
      <w:pPr>
        <w:spacing w:after="140"/>
      </w:pPr>
      <w:r>
        <w:t>En una factura a crédito (</w:t>
      </w:r>
      <w:r>
        <w:rPr>
          <w:rFonts w:ascii="Consolas" w:hAnsi="Consolas"/>
          <w:color w:val="A31515"/>
          <w:sz w:val="19"/>
        </w:rPr>
        <w:t>condicion</w:t>
      </w:r>
      <w:r>
        <w:t xml:space="preserve"> igual a </w:t>
      </w:r>
      <w:r>
        <w:rPr>
          <w:rFonts w:ascii="Consolas" w:hAnsi="Consolas"/>
          <w:color w:val="A31515"/>
          <w:sz w:val="19"/>
        </w:rPr>
        <w:t>2</w:t>
      </w:r>
      <w:r>
        <w:t xml:space="preserve">) no se asigna ningún pago automático, porque por definición todavía no hubo cobro. Si de todos modos se informan líneas </w:t>
      </w:r>
      <w:r>
        <w:rPr>
          <w:rFonts w:ascii="Consolas" w:hAnsi="Consolas"/>
          <w:color w:val="A31515"/>
          <w:sz w:val="19"/>
        </w:rPr>
        <w:t>PAG</w:t>
      </w:r>
      <w:r>
        <w:t>, se registran con el reparto descrito arriba.</w:t>
      </w:r>
    </w:p>
    <w:p>
      <w:pPr>
        <w:pStyle w:val="Heading1"/>
      </w:pPr>
      <w:r>
        <w:t>8. Lo que calcula el sistema</w:t>
      </w:r>
    </w:p>
    <w:p>
      <w:pPr>
        <w:spacing w:after="140"/>
      </w:pPr>
      <w:r>
        <w:t>Buena parte de la información que aparece en una factura electrónica no se escribe en el archivo: se deduce. Conocer esa lista evita que el sistema externo intente enviar datos que serán ignorados.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Dato</w:t>
            </w:r>
          </w:p>
        </w:tc>
        <w:tc>
          <w:tcPr>
            <w:tcW w:type="dxa" w:w="6803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Cómo se obtiene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El importe de cada línea</w:t>
            </w:r>
          </w:p>
        </w:tc>
        <w:tc>
          <w:tcPr>
            <w:tcW w:type="dxa" w:w="6803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Cantidad multiplicada por el precio unitario, redondeado según los decimales de la moneda (los guaraníes no llevan decimales).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El total del documento</w:t>
            </w:r>
          </w:p>
        </w:tc>
        <w:tc>
          <w:tcPr>
            <w:tcW w:type="dxa" w:w="6803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Suma de los importes de línea ya redondeados. Este criterio es el mismo que usa la calculadora fiscal del motor, de modo que los pagos cierran exactos.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Los totales fiscales</w:t>
            </w:r>
          </w:p>
        </w:tc>
        <w:tc>
          <w:tcPr>
            <w:tcW w:type="dxa" w:w="6803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Bases gravadas al 10 % y al 5 %, operaciones exentas, IVA discriminado por tasa y total general.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El pago</w:t>
            </w:r>
          </w:p>
        </w:tc>
        <w:tc>
          <w:tcPr>
            <w:tcW w:type="dxa" w:w="6803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Efectivo por el total, salvo que se indiquen líneas </w:t>
            </w:r>
            <w:r>
              <w:rPr>
                <w:rFonts w:ascii="Consolas" w:hAnsi="Consolas"/>
                <w:color w:val="A31515"/>
                <w:sz w:val="19"/>
              </w:rPr>
              <w:t>PAG</w:t>
            </w:r>
            <w:r>
              <w:rPr>
                <w:sz w:val="19"/>
              </w:rPr>
              <w:t xml:space="preserve"> o que la operación sea a crédito.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El CDC</w:t>
            </w:r>
          </w:p>
        </w:tc>
        <w:tc>
          <w:tcPr>
            <w:tcW w:type="dxa" w:w="6803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Se compone del tipo de documento, el RUC del emisor y su dígito verificador, el establecimiento, el punto de expedición, el número, el tipo de contribuyente, la fecha, el tipo de emisión y un código de seguridad aleatorio, cerrado con un dígito verificador por módulo 11.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Los datos del emisor</w:t>
            </w:r>
          </w:p>
        </w:tc>
        <w:tc>
          <w:tcPr>
            <w:tcW w:type="dxa" w:w="6803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Salen de la configuración del sistema, no del archivo: razón social, dirección, timbrado, actividad económica y códigos geográficos.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Las páginas del KuDE</w:t>
            </w:r>
          </w:p>
        </w:tc>
        <w:tc>
          <w:tcPr>
            <w:tcW w:type="dxa" w:w="6803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Si los ítems no entran en una hoja, el PDF continúa en las siguientes, numeradas automáticamente.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9. Ejemplos</w:t>
      </w:r>
    </w:p>
    <w:p>
      <w:pPr>
        <w:spacing w:after="140"/>
      </w:pPr>
      <w:r>
        <w:t xml:space="preserve">Los ejemplos completos se distribuyen </w:t>
      </w:r>
      <w:r>
        <w:rPr>
          <w:b/>
        </w:rPr>
        <w:t>como archivos de texto plano</w:t>
      </w:r>
      <w:r>
        <w:t xml:space="preserve"> dentro de la carpeta </w:t>
      </w:r>
      <w:r>
        <w:rPr>
          <w:rFonts w:ascii="Consolas" w:hAnsi="Consolas"/>
          <w:color w:val="A31515"/>
          <w:sz w:val="19"/>
        </w:rPr>
        <w:t>ejemplos/</w:t>
      </w:r>
      <w:r>
        <w:t xml:space="preserve">, para que puedan copiarse directamente a </w:t>
      </w:r>
      <w:r>
        <w:rPr>
          <w:rFonts w:ascii="Consolas" w:hAnsi="Consolas"/>
          <w:color w:val="A31515"/>
          <w:sz w:val="19"/>
        </w:rPr>
        <w:t>entrada/</w:t>
      </w:r>
      <w:r>
        <w:t xml:space="preserve"> y probarse sin ninguna conversión intermedia.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75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Archivo</w:t>
            </w:r>
          </w:p>
        </w:tc>
        <w:tc>
          <w:tcPr>
            <w:tcW w:type="dxa" w:w="6463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Qué muestra</w:t>
            </w:r>
          </w:p>
        </w:tc>
      </w:tr>
      <w:tr>
        <w:tc>
          <w:tcPr>
            <w:tcW w:type="dxa" w:w="3175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ejemplos/factura_ejemplo.txt</w:t>
            </w:r>
          </w:p>
        </w:tc>
        <w:tc>
          <w:tcPr>
            <w:tcW w:type="dxa" w:w="6463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Dos facturas en un mismo archivo: una a un cliente con RUC y varios ítems gravados, y otra a consumidor final que combina un ítem gravado con uno exento.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ejemplos/integracion_curl.txt</w:t>
            </w:r>
          </w:p>
        </w:tc>
        <w:tc>
          <w:tcPr>
            <w:tcW w:type="dxa" w:w="6463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Las tres formas de enviar el archivo al endpoint HTTP mediante </w:t>
            </w:r>
            <w:r>
              <w:rPr>
                <w:rFonts w:ascii="Consolas" w:hAnsi="Consolas"/>
                <w:color w:val="A31515"/>
                <w:sz w:val="19"/>
              </w:rPr>
              <w:t>curl</w:t>
            </w:r>
            <w:r>
              <w:rPr>
                <w:sz w:val="19"/>
              </w:rPr>
              <w:t>, con la respuesta esperada.</w:t>
            </w:r>
          </w:p>
        </w:tc>
      </w:tr>
      <w:tr>
        <w:tc>
          <w:tcPr>
            <w:tcW w:type="dxa" w:w="3175"/>
          </w:tcPr>
          <w:p>
            <w:pPr>
              <w:spacing w:after="0" w:before="0" w:line="259" w:lineRule="auto"/>
            </w:pPr>
            <w:r>
              <w:rPr>
                <w:rFonts w:ascii="Consolas" w:hAnsi="Consolas"/>
                <w:sz w:val="17"/>
              </w:rPr>
              <w:t>ejemplos/integracion_php.txt</w:t>
            </w:r>
          </w:p>
        </w:tc>
        <w:tc>
          <w:tcPr>
            <w:tcW w:type="dxa" w:w="6463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Fragmento de código PHP listo para pegar en el sistema externo, que arma el </w:t>
            </w:r>
            <w:r>
              <w:rPr>
                <w:rFonts w:ascii="Consolas" w:hAnsi="Consolas"/>
                <w:color w:val="A31515"/>
                <w:sz w:val="19"/>
              </w:rPr>
              <w:t>.txt</w:t>
            </w:r>
            <w:r>
              <w:rPr>
                <w:sz w:val="19"/>
              </w:rPr>
              <w:t xml:space="preserve"> desde una venta y procesa la respuesta.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9.1. Archivo mínimo</w:t>
      </w:r>
    </w:p>
    <w:p>
      <w:pPr>
        <w:spacing w:after="140"/>
      </w:pPr>
      <w:r>
        <w:t>Lo más corto que puede escribirse para emitir una factura válida:</w:t>
      </w:r>
    </w:p>
    <w:p>
      <w:pPr>
        <w:keepNext/>
        <w:pBdr>
          <w:left w:val="single" w:sz="12" w:space="6" w:color="2E74B5"/>
        </w:pBdr>
        <w:shd w:val="clear" w:color="auto" w:fill="F2F4F7"/>
        <w:spacing w:before="80" w:after="0" w:line="240" w:lineRule="auto"/>
        <w:ind w:left="227" w:right="113"/>
      </w:pPr>
      <w:r>
        <w:rPr>
          <w:rFonts w:ascii="Consolas" w:hAnsi="Consolas"/>
          <w:sz w:val="17"/>
        </w:rPr>
        <w:t>FAC|001|001|0000125|2026-06-21|1|PYG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CLI|CI|CF|Consumidor Final|||</w:t>
      </w:r>
    </w:p>
    <w:p>
      <w:pPr>
        <w:keepNext w:val="0"/>
        <w:pBdr>
          <w:left w:val="single" w:sz="12" w:space="6" w:color="2E74B5"/>
        </w:pBdr>
        <w:shd w:val="clear" w:color="auto" w:fill="F2F4F7"/>
        <w:spacing w:before="0" w:after="160" w:line="240" w:lineRule="auto"/>
        <w:ind w:left="227" w:right="113"/>
      </w:pPr>
      <w:r>
        <w:rPr>
          <w:rFonts w:ascii="Consolas" w:hAnsi="Consolas"/>
          <w:sz w:val="17"/>
        </w:rPr>
        <w:t>ITM|001|Producto|1|50000|10</w:t>
      </w:r>
    </w:p>
    <w:p>
      <w:pPr>
        <w:pStyle w:val="Heading2"/>
      </w:pPr>
      <w:r>
        <w:t>9.2. Archivo con dos facturas</w:t>
      </w:r>
    </w:p>
    <w:p>
      <w:pPr>
        <w:keepNext/>
        <w:pBdr>
          <w:left w:val="single" w:sz="12" w:space="6" w:color="2E74B5"/>
        </w:pBdr>
        <w:shd w:val="clear" w:color="auto" w:fill="F2F4F7"/>
        <w:spacing w:before="80" w:after="0" w:line="240" w:lineRule="auto"/>
        <w:ind w:left="227" w:right="113"/>
      </w:pPr>
      <w:r>
        <w:rPr>
          <w:rFonts w:ascii="Consolas" w:hAnsi="Consolas"/>
          <w:sz w:val="17"/>
        </w:rPr>
        <w:t># Factura 1: cliente con RUC (el pago se asigna solo: efectivo por el total)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FAC|001|001|0000123|2026-06-21|1|PYG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CLI|RUC|80012345-6|Comercial Cliente S.A.|cliente@correo.com|Avda. Ejemplo 742|021555444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ITM|P001|Teclado mecanico|2|150000|10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ITM|P002|Mouse inalambrico|1|90000|10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ITM|S001|Servicio de instalacion|1|50000|10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 xml:space="preserve"> 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===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 xml:space="preserve"> 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# Factura 2: consumidor final, sin correo, con un item exento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FAC|001|001|0000124|2026-06-21|1|PYG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CLI|CI|CF|Consumidor Final|||</w:t>
      </w:r>
    </w:p>
    <w:p>
      <w:pPr>
        <w:keepNext/>
        <w:pBdr>
          <w:left w:val="single" w:sz="12" w:space="6" w:color="2E74B5"/>
        </w:pBdr>
        <w:shd w:val="clear" w:color="auto" w:fill="F2F4F7"/>
        <w:spacing w:before="0" w:after="0" w:line="240" w:lineRule="auto"/>
        <w:ind w:left="227" w:right="113"/>
      </w:pPr>
      <w:r>
        <w:rPr>
          <w:rFonts w:ascii="Consolas" w:hAnsi="Consolas"/>
          <w:sz w:val="17"/>
        </w:rPr>
        <w:t>ITM|L001|Libro|1|80000|10</w:t>
      </w:r>
    </w:p>
    <w:p>
      <w:pPr>
        <w:keepNext w:val="0"/>
        <w:pBdr>
          <w:left w:val="single" w:sz="12" w:space="6" w:color="2E74B5"/>
        </w:pBdr>
        <w:shd w:val="clear" w:color="auto" w:fill="F2F4F7"/>
        <w:spacing w:before="0" w:after="160" w:line="240" w:lineRule="auto"/>
        <w:ind w:left="227" w:right="113"/>
      </w:pPr>
      <w:r>
        <w:rPr>
          <w:rFonts w:ascii="Consolas" w:hAnsi="Consolas"/>
          <w:sz w:val="17"/>
        </w:rPr>
        <w:t>ITM|L002|Cuaderno (exento)|3|12000|0</w:t>
      </w:r>
    </w:p>
    <w:p>
      <w:pPr>
        <w:pStyle w:val="Heading1"/>
      </w:pPr>
      <w:r>
        <w:t>10. Validaciones y mensajes de error</w:t>
      </w:r>
    </w:p>
    <w:p>
      <w:pPr>
        <w:spacing w:after="140"/>
      </w:pPr>
      <w:r>
        <w:t xml:space="preserve">El automatizador valida el archivo completo </w:t>
      </w:r>
      <w:r>
        <w:rPr>
          <w:b/>
        </w:rPr>
        <w:t>antes</w:t>
      </w:r>
      <w:r>
        <w:t xml:space="preserve"> de emitir cualquier factura. Si algo no cuadra, ninguna factura de ese archivo se emite: el archivo entero se mueve a </w:t>
      </w:r>
      <w:r>
        <w:rPr>
          <w:rFonts w:ascii="Consolas" w:hAnsi="Consolas"/>
          <w:color w:val="A31515"/>
          <w:sz w:val="19"/>
        </w:rPr>
        <w:t>errores/</w:t>
      </w:r>
      <w:r>
        <w:t xml:space="preserve"> acompañado de un </w:t>
      </w:r>
      <w:r>
        <w:rPr>
          <w:rFonts w:ascii="Consolas" w:hAnsi="Consolas"/>
          <w:color w:val="A31515"/>
          <w:sz w:val="19"/>
        </w:rPr>
        <w:t>.error.txt</w:t>
      </w:r>
      <w:r>
        <w:t xml:space="preserve"> con la fecha y el mensaje exacto. Ese mensaje siempre identifica dónde está el problema, por número de línea o por número de factura dentro del archivo.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Mensaje</w:t>
            </w:r>
          </w:p>
        </w:tc>
        <w:tc>
          <w:tcPr>
            <w:tcW w:type="dxa" w:w="5669"/>
            <w:shd w:val="clear" w:color="auto" w:fill="DCE6F1"/>
          </w:tcPr>
          <w:p>
            <w:pPr>
              <w:spacing w:after="0" w:before="0" w:line="259" w:lineRule="auto"/>
            </w:pPr>
            <w:r>
              <w:rPr>
                <w:b/>
                <w:color w:val="1F4E79"/>
                <w:sz w:val="19"/>
              </w:rPr>
              <w:t>Causa y solución</w:t>
            </w:r>
          </w:p>
        </w:tc>
      </w:tr>
      <w:tr>
        <w:tc>
          <w:tcPr>
            <w:tcW w:type="dxa" w:w="39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Línea N: tipo de registro desconocido</w:t>
            </w:r>
          </w:p>
        </w:tc>
        <w:tc>
          <w:tcPr>
            <w:tcW w:type="dxa" w:w="56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La línea no empieza por </w:t>
            </w:r>
            <w:r>
              <w:rPr>
                <w:rFonts w:ascii="Consolas" w:hAnsi="Consolas"/>
                <w:color w:val="A31515"/>
                <w:sz w:val="19"/>
              </w:rPr>
              <w:t>FAC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CLI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ITM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PAG</w:t>
            </w:r>
            <w:r>
              <w:rPr>
                <w:sz w:val="19"/>
              </w:rPr>
              <w:t xml:space="preserve"> ni </w:t>
            </w:r>
            <w:r>
              <w:rPr>
                <w:rFonts w:ascii="Consolas" w:hAnsi="Consolas"/>
                <w:color w:val="A31515"/>
                <w:sz w:val="19"/>
              </w:rPr>
              <w:t>===</w:t>
            </w:r>
            <w:r>
              <w:rPr>
                <w:sz w:val="19"/>
              </w:rPr>
              <w:t xml:space="preserve">. Suele deberse a un salto de línea perdido, a un encabezado de columnas exportado por error o a un comentario al que le falta el </w:t>
            </w:r>
            <w:r>
              <w:rPr>
                <w:rFonts w:ascii="Consolas" w:hAnsi="Consolas"/>
                <w:color w:val="A31515"/>
                <w:sz w:val="19"/>
              </w:rPr>
              <w:t>#</w:t>
            </w:r>
            <w:r>
              <w:rPr>
                <w:sz w:val="19"/>
              </w:rPr>
              <w:t xml:space="preserve"> inicial.</w:t>
            </w:r>
          </w:p>
        </w:tc>
      </w:tr>
      <w:tr>
        <w:tc>
          <w:tcPr>
            <w:tcW w:type="dxa" w:w="39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El archivo no contiene ninguna factura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El archivo está vacío, o solo tiene comentarios y líneas en blanco. Verificar el proceso que lo genera.</w:t>
            </w:r>
          </w:p>
        </w:tc>
      </w:tr>
      <w:tr>
        <w:tc>
          <w:tcPr>
            <w:tcW w:type="dxa" w:w="39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Factura #N: falta la línea FAC</w:t>
            </w:r>
          </w:p>
        </w:tc>
        <w:tc>
          <w:tcPr>
            <w:tcW w:type="dxa" w:w="56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Ese bloque no tiene cabecera. Revisar si sobra un separador </w:t>
            </w:r>
            <w:r>
              <w:rPr>
                <w:rFonts w:ascii="Consolas" w:hAnsi="Consolas"/>
                <w:color w:val="A31515"/>
                <w:sz w:val="19"/>
              </w:rPr>
              <w:t>===</w:t>
            </w:r>
            <w:r>
              <w:rPr>
                <w:sz w:val="19"/>
              </w:rPr>
              <w:t>, que estaría partiendo una factura en dos.</w:t>
            </w:r>
          </w:p>
        </w:tc>
      </w:tr>
      <w:tr>
        <w:tc>
          <w:tcPr>
            <w:tcW w:type="dxa" w:w="39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Factura #N: falta la línea CLI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El bloque no tiene datos de cliente. Para consumidor final igual hay que escribir la línea: </w:t>
            </w:r>
            <w:r>
              <w:rPr>
                <w:rFonts w:ascii="Consolas" w:hAnsi="Consolas"/>
                <w:color w:val="A31515"/>
                <w:sz w:val="19"/>
              </w:rPr>
              <w:t>CLI|CI|CF|Consumidor Final|||</w:t>
            </w:r>
          </w:p>
        </w:tc>
      </w:tr>
      <w:tr>
        <w:tc>
          <w:tcPr>
            <w:tcW w:type="dxa" w:w="39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Factura #N: no tiene ítems (ITM)</w:t>
            </w:r>
          </w:p>
        </w:tc>
        <w:tc>
          <w:tcPr>
            <w:tcW w:type="dxa" w:w="56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No se puede facturar sin al menos un ítem.</w:t>
            </w:r>
          </w:p>
        </w:tc>
      </w:tr>
      <w:tr>
        <w:tc>
          <w:tcPr>
            <w:tcW w:type="dxa" w:w="39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Factura #N: falta «establecimiento», «punto», «numero» o «fecha» en la línea FAC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Uno de los cuatro campos obligatorios de la cabecera llegó vacío. Comprobar que no falte una barra separadora.</w:t>
            </w:r>
          </w:p>
        </w:tc>
      </w:tr>
      <w:tr>
        <w:tc>
          <w:tcPr>
            <w:tcW w:type="dxa" w:w="39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Factura #N: el cliente no tiene nombre (CLI)</w:t>
            </w:r>
          </w:p>
        </w:tc>
        <w:tc>
          <w:tcPr>
            <w:tcW w:type="dxa" w:w="56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El tercer campo de la línea </w:t>
            </w:r>
            <w:r>
              <w:rPr>
                <w:rFonts w:ascii="Consolas" w:hAnsi="Consolas"/>
                <w:color w:val="A31515"/>
                <w:sz w:val="19"/>
              </w:rPr>
              <w:t>CLI</w:t>
            </w:r>
            <w:r>
              <w:rPr>
                <w:sz w:val="19"/>
              </w:rPr>
              <w:t xml:space="preserve"> está vacío.</w:t>
            </w:r>
          </w:p>
        </w:tc>
      </w:tr>
      <w:tr>
        <w:tc>
          <w:tcPr>
            <w:tcW w:type="dxa" w:w="39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Cliente con RUC mal formado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Se declaró tipo </w:t>
            </w:r>
            <w:r>
              <w:rPr>
                <w:rFonts w:ascii="Consolas" w:hAnsi="Consolas"/>
                <w:color w:val="A31515"/>
                <w:sz w:val="19"/>
              </w:rPr>
              <w:t>RUC</w:t>
            </w:r>
            <w:r>
              <w:rPr>
                <w:sz w:val="19"/>
              </w:rPr>
              <w:t xml:space="preserve"> pero el documento no tiene la forma </w:t>
            </w:r>
            <w:r>
              <w:rPr>
                <w:rFonts w:ascii="Consolas" w:hAnsi="Consolas"/>
                <w:color w:val="A31515"/>
                <w:sz w:val="19"/>
              </w:rPr>
              <w:t>RUC-DV</w:t>
            </w:r>
            <w:r>
              <w:rPr>
                <w:sz w:val="19"/>
              </w:rPr>
              <w:t xml:space="preserve">. Escribirlo como </w:t>
            </w:r>
            <w:r>
              <w:rPr>
                <w:rFonts w:ascii="Consolas" w:hAnsi="Consolas"/>
                <w:color w:val="A31515"/>
                <w:sz w:val="19"/>
              </w:rPr>
              <w:t>80012345-6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9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IVA inválido en el ítem X</w:t>
            </w:r>
          </w:p>
        </w:tc>
        <w:tc>
          <w:tcPr>
            <w:tcW w:type="dxa" w:w="56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La tasa no es </w:t>
            </w:r>
            <w:r>
              <w:rPr>
                <w:rFonts w:ascii="Consolas" w:hAnsi="Consolas"/>
                <w:color w:val="A31515"/>
                <w:sz w:val="19"/>
              </w:rPr>
              <w:t>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5</w:t>
            </w:r>
            <w:r>
              <w:rPr>
                <w:sz w:val="19"/>
              </w:rPr>
              <w:t xml:space="preserve"> ni </w:t>
            </w:r>
            <w:r>
              <w:rPr>
                <w:rFonts w:ascii="Consolas" w:hAnsi="Consolas"/>
                <w:color w:val="A31515"/>
                <w:sz w:val="19"/>
              </w:rPr>
              <w:t>0</w:t>
            </w:r>
            <w:r>
              <w:rPr>
                <w:sz w:val="19"/>
              </w:rPr>
              <w:t>. El mensaje incluye el código del ítem para ubicarlo rápido.</w:t>
            </w:r>
          </w:p>
        </w:tc>
      </w:tr>
      <w:tr>
        <w:tc>
          <w:tcPr>
            <w:tcW w:type="dxa" w:w="39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Fecha inválida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La fecha no pudo interpretarse. Usar </w:t>
            </w:r>
            <w:r>
              <w:rPr>
                <w:rFonts w:ascii="Consolas" w:hAnsi="Consolas"/>
                <w:color w:val="A31515"/>
                <w:sz w:val="19"/>
              </w:rPr>
              <w:t>AAAA-MM-DD</w:t>
            </w:r>
            <w:r>
              <w:rPr>
                <w:sz w:val="19"/>
              </w:rPr>
              <w:t>, con guiones y en ese orden.</w:t>
            </w:r>
          </w:p>
        </w:tc>
      </w:tr>
      <w:tr>
        <w:tc>
          <w:tcPr>
            <w:tcW w:type="dxa" w:w="39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>Falta el dato del emisor «…»</w:t>
            </w:r>
          </w:p>
        </w:tc>
        <w:tc>
          <w:tcPr>
            <w:tcW w:type="dxa" w:w="5669"/>
          </w:tcPr>
          <w:p>
            <w:pPr>
              <w:spacing w:after="0" w:before="0" w:line="259" w:lineRule="auto"/>
            </w:pPr>
            <w:r>
              <w:rPr>
                <w:sz w:val="19"/>
              </w:rPr>
              <w:t xml:space="preserve">No es un problema del archivo sino de la configuración: faltan RUC, dígito verificador, razón social o timbrado en el </w:t>
            </w:r>
            <w:r>
              <w:rPr>
                <w:rFonts w:ascii="Consolas" w:hAnsi="Consolas"/>
                <w:color w:val="A31515"/>
                <w:sz w:val="19"/>
              </w:rPr>
              <w:t>.env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80" w:before="0"/>
      </w:pPr>
    </w:p>
    <w:p>
      <w:pPr>
        <w:pBdr>
          <w:top w:val="single" w:sz="4" w:space="6" w:color="FFF7E6"/>
          <w:left w:val="single" w:sz="18" w:space="8" w:color="E0A500"/>
          <w:bottom w:val="single" w:sz="4" w:space="6" w:color="FFF7E6"/>
          <w:right w:val="single" w:sz="4" w:space="6" w:color="FFF7E6"/>
        </w:pBdr>
        <w:shd w:val="clear" w:color="auto" w:fill="FFF7E6"/>
        <w:spacing w:before="160" w:after="200" w:line="276" w:lineRule="auto"/>
        <w:ind w:left="227" w:right="170"/>
      </w:pPr>
      <w:r>
        <w:rPr>
          <w:b/>
          <w:color w:val="7A4F00"/>
        </w:rPr>
        <w:t xml:space="preserve">CONSEJO  </w:t>
      </w:r>
      <w:r>
        <w:t xml:space="preserve">como el archivo es la unidad de trabajo, un error en la última factura impide emitir también las anteriores. Generar </w:t>
      </w:r>
      <w:r>
        <w:rPr>
          <w:b/>
        </w:rPr>
        <w:t>un archivo por factura</w:t>
      </w:r>
      <w:r>
        <w:t xml:space="preserve"> hace que cada problema quede aislado y sea mucho más simple de reprocesar.</w:t>
      </w:r>
    </w:p>
    <w:p>
      <w:pPr>
        <w:pStyle w:val="Heading1"/>
      </w:pPr>
      <w:r>
        <w:t>11. Qué ocurre después de entregar el archivo</w:t>
      </w:r>
    </w:p>
    <w:p>
      <w:pPr>
        <w:spacing w:after="100" w:line="276" w:lineRule="auto"/>
        <w:ind w:left="510" w:hanging="510"/>
      </w:pPr>
      <w:r>
        <w:rPr>
          <w:b/>
          <w:color w:val="2E74B5"/>
        </w:rPr>
        <w:t>1.</w:t>
        <w:tab/>
      </w:r>
      <w:r>
        <w:t>El automatizador toma el archivo, lo interpreta y valida todas sus facturas.</w:t>
      </w:r>
    </w:p>
    <w:p>
      <w:pPr>
        <w:spacing w:after="100" w:line="276" w:lineRule="auto"/>
        <w:ind w:left="510" w:hanging="510"/>
      </w:pPr>
      <w:r>
        <w:rPr>
          <w:b/>
          <w:color w:val="2E74B5"/>
        </w:rPr>
        <w:t>2.</w:t>
        <w:tab/>
      </w:r>
      <w:r>
        <w:t xml:space="preserve">Por cada factura construye el XML, calcula el CDC, firma digitalmente el documento, genera el QR y lo envía a la DNIT (o lo aprueba localmente si está en modo </w:t>
      </w:r>
      <w:r>
        <w:rPr>
          <w:rFonts w:ascii="Consolas" w:hAnsi="Consolas"/>
          <w:color w:val="A31515"/>
          <w:sz w:val="19"/>
        </w:rPr>
        <w:t>mock</w:t>
      </w:r>
      <w:r>
        <w:t>).</w:t>
      </w:r>
    </w:p>
    <w:p>
      <w:pPr>
        <w:spacing w:after="100" w:line="276" w:lineRule="auto"/>
        <w:ind w:left="510" w:hanging="510"/>
      </w:pPr>
      <w:r>
        <w:rPr>
          <w:b/>
          <w:color w:val="2E74B5"/>
        </w:rPr>
        <w:t>3.</w:t>
        <w:tab/>
      </w:r>
      <w:r>
        <w:t xml:space="preserve">Por cada factura aprobada deja en </w:t>
      </w:r>
      <w:r>
        <w:rPr>
          <w:rFonts w:ascii="Consolas" w:hAnsi="Consolas"/>
          <w:color w:val="A31515"/>
          <w:sz w:val="19"/>
        </w:rPr>
        <w:t>salida/</w:t>
      </w:r>
      <w:r>
        <w:t xml:space="preserve"> el XML firmado y el KuDE en PDF, ambos nombrados con el CDC, y agrega un archivo </w:t>
      </w:r>
      <w:r>
        <w:rPr>
          <w:rFonts w:ascii="Consolas" w:hAnsi="Consolas"/>
          <w:color w:val="A31515"/>
          <w:sz w:val="19"/>
        </w:rPr>
        <w:t>.json</w:t>
      </w:r>
      <w:r>
        <w:t xml:space="preserve"> con el resumen del archivo procesado.</w:t>
      </w:r>
    </w:p>
    <w:p>
      <w:pPr>
        <w:spacing w:after="100" w:line="276" w:lineRule="auto"/>
        <w:ind w:left="510" w:hanging="510"/>
      </w:pPr>
      <w:r>
        <w:rPr>
          <w:b/>
          <w:color w:val="2E74B5"/>
        </w:rPr>
        <w:t>4.</w:t>
        <w:tab/>
      </w:r>
      <w:r>
        <w:t>Si el cliente tiene correo informado, recibe el comprobante con ambos archivos adjuntos.</w:t>
      </w:r>
    </w:p>
    <w:p>
      <w:pPr>
        <w:spacing w:after="100" w:line="276" w:lineRule="auto"/>
        <w:ind w:left="510" w:hanging="510"/>
      </w:pPr>
      <w:r>
        <w:rPr>
          <w:b/>
          <w:color w:val="2E74B5"/>
        </w:rPr>
        <w:t>5.</w:t>
        <w:tab/>
      </w:r>
      <w:r>
        <w:t xml:space="preserve">El archivo original se mueve a </w:t>
      </w:r>
      <w:r>
        <w:rPr>
          <w:rFonts w:ascii="Consolas" w:hAnsi="Consolas"/>
          <w:color w:val="A31515"/>
          <w:sz w:val="19"/>
        </w:rPr>
        <w:t>procesados/</w:t>
      </w:r>
      <w:r>
        <w:t xml:space="preserve"> con marca de fecha y hora si todo salió bien, o a </w:t>
      </w:r>
      <w:r>
        <w:rPr>
          <w:rFonts w:ascii="Consolas" w:hAnsi="Consolas"/>
          <w:color w:val="A31515"/>
          <w:sz w:val="19"/>
        </w:rPr>
        <w:t>errores/</w:t>
      </w:r>
      <w:r>
        <w:t xml:space="preserve"> con su </w:t>
      </w:r>
      <w:r>
        <w:rPr>
          <w:rFonts w:ascii="Consolas" w:hAnsi="Consolas"/>
          <w:color w:val="A31515"/>
          <w:sz w:val="19"/>
        </w:rPr>
        <w:t>.error.txt</w:t>
      </w:r>
      <w:r>
        <w:t xml:space="preserve"> si algo falló.</w:t>
      </w:r>
    </w:p>
    <w:p>
      <w:pPr>
        <w:pStyle w:val="Heading1"/>
      </w:pPr>
      <w:r>
        <w:t>12. Lista de verificación para el desarrollador</w:t>
      </w:r>
    </w:p>
    <w:p>
      <w:pPr>
        <w:spacing w:after="140"/>
      </w:pPr>
      <w:r>
        <w:t>Antes de dar por terminada la integración, conviene confirmar cada uno de estos puntos:</w:t>
      </w:r>
    </w:p>
    <w:p>
      <w:pPr>
        <w:pStyle w:val="ListBullet"/>
        <w:spacing w:after="80" w:line="276" w:lineRule="auto"/>
      </w:pPr>
      <w:r>
        <w:t>El archivo se guarda en UTF-8.</w:t>
      </w:r>
    </w:p>
    <w:p>
      <w:pPr>
        <w:pStyle w:val="ListBullet"/>
        <w:spacing w:after="80" w:line="276" w:lineRule="auto"/>
      </w:pPr>
      <w:r>
        <w:t xml:space="preserve">Ninguna descripción ni razón social contiene el carácter </w:t>
      </w:r>
      <w:r>
        <w:rPr>
          <w:rFonts w:ascii="Consolas" w:hAnsi="Consolas"/>
          <w:color w:val="A31515"/>
          <w:sz w:val="19"/>
        </w:rPr>
        <w:t>|</w:t>
      </w:r>
      <w:r>
        <w:t>.</w:t>
      </w:r>
    </w:p>
    <w:p>
      <w:pPr>
        <w:pStyle w:val="ListBullet"/>
        <w:spacing w:after="80" w:line="276" w:lineRule="auto"/>
      </w:pPr>
      <w:r>
        <w:t>El número de factura es correlativo y no se repite: el control de la numeración es responsabilidad del sistema externo.</w:t>
      </w:r>
    </w:p>
    <w:p>
      <w:pPr>
        <w:pStyle w:val="ListBullet"/>
        <w:spacing w:after="80" w:line="276" w:lineRule="auto"/>
      </w:pPr>
      <w:r>
        <w:t>El establecimiento y el punto de expedición coinciden con los habilitados en el timbrado.</w:t>
      </w:r>
    </w:p>
    <w:p>
      <w:pPr>
        <w:pStyle w:val="ListBullet"/>
        <w:spacing w:after="80" w:line="276" w:lineRule="auto"/>
      </w:pPr>
      <w:r>
        <w:t>Los clientes con RUC se envían siempre con su dígito verificador.</w:t>
      </w:r>
    </w:p>
    <w:p>
      <w:pPr>
        <w:pStyle w:val="ListBullet"/>
        <w:spacing w:after="80" w:line="276" w:lineRule="auto"/>
      </w:pPr>
      <w:r>
        <w:t>Los precios se informan con el IVA incluido.</w:t>
      </w:r>
    </w:p>
    <w:p>
      <w:pPr>
        <w:pStyle w:val="ListBullet"/>
        <w:spacing w:after="80" w:line="276" w:lineRule="auto"/>
      </w:pPr>
      <w:r>
        <w:t xml:space="preserve">La tasa de IVA de cada ítem es </w:t>
      </w:r>
      <w:r>
        <w:rPr>
          <w:rFonts w:ascii="Consolas" w:hAnsi="Consolas"/>
          <w:color w:val="A31515"/>
          <w:sz w:val="19"/>
        </w:rPr>
        <w:t>10</w:t>
      </w:r>
      <w:r>
        <w:t xml:space="preserve">, </w:t>
      </w:r>
      <w:r>
        <w:rPr>
          <w:rFonts w:ascii="Consolas" w:hAnsi="Consolas"/>
          <w:color w:val="A31515"/>
          <w:sz w:val="19"/>
        </w:rPr>
        <w:t>5</w:t>
      </w:r>
      <w:r>
        <w:t xml:space="preserve"> o </w:t>
      </w:r>
      <w:r>
        <w:rPr>
          <w:rFonts w:ascii="Consolas" w:hAnsi="Consolas"/>
          <w:color w:val="A31515"/>
          <w:sz w:val="19"/>
        </w:rPr>
        <w:t>0</w:t>
      </w:r>
      <w:r>
        <w:t>.</w:t>
      </w:r>
    </w:p>
    <w:p>
      <w:pPr>
        <w:pStyle w:val="ListBullet"/>
        <w:spacing w:after="80" w:line="276" w:lineRule="auto"/>
      </w:pPr>
      <w:r>
        <w:t>Los archivos se generan de a una factura, o en lotes pequeños.</w:t>
      </w:r>
    </w:p>
    <w:p>
      <w:pPr>
        <w:pStyle w:val="ListBullet"/>
        <w:spacing w:after="80" w:line="276" w:lineRule="auto"/>
      </w:pPr>
      <w:r>
        <w:t xml:space="preserve">Se probó el circuito completo en modo </w:t>
      </w:r>
      <w:r>
        <w:rPr>
          <w:rFonts w:ascii="Consolas" w:hAnsi="Consolas"/>
          <w:color w:val="A31515"/>
          <w:sz w:val="19"/>
        </w:rPr>
        <w:t>mock</w:t>
      </w:r>
      <w:r>
        <w:t xml:space="preserve"> y luego en </w:t>
      </w:r>
      <w:r>
        <w:rPr>
          <w:rFonts w:ascii="Consolas" w:hAnsi="Consolas"/>
          <w:color w:val="A31515"/>
          <w:sz w:val="19"/>
        </w:rPr>
        <w:t>test</w:t>
      </w:r>
      <w:r>
        <w:t xml:space="preserve"> antes de pasar a </w:t>
      </w:r>
      <w:r>
        <w:rPr>
          <w:rFonts w:ascii="Consolas" w:hAnsi="Consolas"/>
          <w:color w:val="A31515"/>
          <w:sz w:val="19"/>
        </w:rPr>
        <w:t>prod</w:t>
      </w:r>
      <w:r>
        <w:t>.</w:t>
      </w:r>
    </w:p>
    <w:p>
      <w:pPr>
        <w:spacing w:after="0"/>
      </w:pPr>
    </w:p>
    <w:p>
      <w:pPr>
        <w:jc w:val="center"/>
      </w:pPr>
      <w:r>
        <w:rPr>
          <w:i/>
          <w:color w:val="8C8C8C"/>
          <w:sz w:val="18"/>
        </w:rPr>
        <w:t>Fin del documento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 xml:space="preserve">Automatizador SIFEN — Formato del archivo TXT   ·   Pág. </w:t>
    </w:r>
    <w:r>
      <w:fldChar w:fldCharType="begin"/>
    </w:r>
    <w:r>
      <w:instrText xml:space="preserve">PAGE</w:instrText>
    </w:r>
    <w:r>
      <w:fldChar w:fldCharType="separate"/>
    </w:r>
    <w:r>
      <w:rPr>
        <w:color w:val="8C8C8C"/>
        <w:sz w:val="16"/>
      </w:rPr>
      <w:t>1</w:t>
    </w:r>
    <w:r>
      <w:fldChar w:fldCharType="end"/>
    </w:r>
    <w:r>
      <w:rPr>
        <w:color w:val="8C8C8C"/>
        <w:sz w:val="16"/>
      </w:rP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rPr>
        <w:color w:val="8C8C8C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Automatizador SIFEN — Formato del archivo TXT</dc:title>
  <dc:subject>Especificacion del archivo de texto de entrada</dc:subject>
  <dc:creator>Automatizador SIFEN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Documentacion tecnica</cp:category>
</cp:coreProperties>
</file>