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50"/>
      </w:pPr>
    </w:p>
    <w:p>
      <w:pPr>
        <w:spacing w:after="60"/>
        <w:jc w:val="center"/>
      </w:pPr>
      <w:r>
        <w:rPr>
          <w:rFonts w:ascii="Calibri" w:cs="Calibri" w:eastAsia="Calibri" w:hAnsi="Calibri"/>
          <w:b/>
          <w:bCs/>
          <w:color w:val="C9A84C"/>
          <w:sz w:val="80"/>
          <w:szCs w:val="80"/>
        </w:rPr>
        <w:t xml:space="preserve">SPG</w:t>
      </w:r>
    </w:p>
    <w:p>
      <w:pPr>
        <w:spacing w:after="420"/>
        <w:jc w:val="center"/>
      </w:pPr>
      <w:r>
        <w:rPr>
          <w:rFonts w:ascii="Calibri" w:cs="Calibri" w:eastAsia="Calibri" w:hAnsi="Calibri"/>
          <w:color w:val="6F6B65"/>
          <w:sz w:val="26"/>
          <w:szCs w:val="26"/>
        </w:rPr>
        <w:t xml:space="preserve">Sistema de Gestión para Peluquería</w:t>
      </w:r>
    </w:p>
    <w:p>
      <w:pPr>
        <w:pBdr>
          <w:top w:val="single" w:color="C9A84C" w:sz="12" w:space="16"/>
        </w:pBdr>
        <w:spacing w:after="110"/>
        <w:jc w:val="center"/>
      </w:pPr>
      <w:r>
        <w:rPr>
          <w:rFonts w:ascii="Calibri" w:cs="Calibri" w:eastAsia="Calibri" w:hAnsi="Calibri"/>
          <w:b/>
          <w:bCs/>
          <w:color w:val="3A3733"/>
          <w:sz w:val="40"/>
          <w:szCs w:val="40"/>
        </w:rPr>
        <w:t xml:space="preserve">Informe de Simulación Operativa y QA</w:t>
      </w:r>
    </w:p>
    <w:p>
      <w:pPr>
        <w:pBdr>
          <w:bottom w:val="single" w:color="C9A84C" w:sz="12" w:space="16"/>
        </w:pBdr>
        <w:spacing w:after="640"/>
        <w:jc w:val="center"/>
      </w:pPr>
      <w:r>
        <w:rPr>
          <w:rFonts w:ascii="Calibri" w:cs="Calibri" w:eastAsia="Calibri" w:hAnsi="Calibri"/>
          <w:i/>
          <w:iCs/>
          <w:color w:val="6F6B65"/>
          <w:sz w:val="21"/>
          <w:szCs w:val="21"/>
        </w:rPr>
        <w:t xml:space="preserve">Dos meses de operación diaria, con varios usuarios trabajando en paralelo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500"/>
        <w:gridCol w:w="6520"/>
      </w:tblGrid>
      <w:tr>
        <w:trPr>
          <w:tblHeader/>
        </w:trPr>
        <w:tc>
          <w:tcPr>
            <w:tcW w:type="dxa" w:w="25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9"/>
                <w:szCs w:val="19"/>
              </w:rPr>
              <w:t xml:space="preserve">Dato</w:t>
            </w:r>
          </w:p>
        </w:tc>
        <w:tc>
          <w:tcPr>
            <w:tcW w:type="dxa" w:w="65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9"/>
                <w:szCs w:val="19"/>
              </w:rPr>
              <w:t xml:space="preserve">Valor</w:t>
            </w:r>
          </w:p>
        </w:tc>
      </w:tr>
      <w:tr>
        <w:tc>
          <w:tcPr>
            <w:tcW w:type="dxa" w:w="2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Sistema analizado</w:t>
            </w:r>
          </w:p>
        </w:tc>
        <w:tc>
          <w:tcPr>
            <w:tcW w:type="dxa" w:w="65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SPG — Laravel 13 + MariaDB 10.4</w:t>
            </w:r>
          </w:p>
        </w:tc>
      </w:tr>
      <w:tr>
        <w:tc>
          <w:tcPr>
            <w:tcW w:type="dxa" w:w="2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Versión</w:t>
            </w:r>
          </w:p>
        </w:tc>
        <w:tc>
          <w:tcPr>
            <w:tcW w:type="dxa" w:w="65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7.36.1 — 17/08/2026</w:t>
            </w:r>
          </w:p>
        </w:tc>
      </w:tr>
      <w:tr>
        <w:tc>
          <w:tcPr>
            <w:tcW w:type="dxa" w:w="2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Período simulado</w:t>
            </w:r>
          </w:p>
        </w:tc>
        <w:tc>
          <w:tcPr>
            <w:tcW w:type="dxa" w:w="65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01/09/2026 al 30/09/2026</w:t>
            </w:r>
          </w:p>
        </w:tc>
      </w:tr>
      <w:tr>
        <w:tc>
          <w:tcPr>
            <w:tcW w:type="dxa" w:w="2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Duración</w:t>
            </w:r>
          </w:p>
        </w:tc>
        <w:tc>
          <w:tcPr>
            <w:tcW w:type="dxa" w:w="65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30 días consecutivos (1 mes), en alta densidad operativa</w:t>
            </w:r>
          </w:p>
        </w:tc>
      </w:tr>
      <w:tr>
        <w:tc>
          <w:tcPr>
            <w:tcW w:type="dxa" w:w="2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Fecha de ejecución</w:t>
            </w:r>
          </w:p>
        </w:tc>
        <w:tc>
          <w:tcPr>
            <w:tcW w:type="dxa" w:w="65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17/8/2026</w:t>
            </w:r>
          </w:p>
        </w:tc>
      </w:tr>
      <w:tr>
        <w:tc>
          <w:tcPr>
            <w:tcW w:type="dxa" w:w="2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Base de datos</w:t>
            </w:r>
          </w:p>
        </w:tc>
        <w:tc>
          <w:tcPr>
            <w:tcW w:type="dxa" w:w="65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peluqueria_sim — instalación limpia desde peluqueria_bd(base).sql</w:t>
            </w:r>
          </w:p>
        </w:tc>
      </w:tr>
      <w:tr>
        <w:tc>
          <w:tcPr>
            <w:tcW w:type="dxa" w:w="2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Operaciones ejecutadas</w:t>
            </w:r>
          </w:p>
        </w:tc>
        <w:tc>
          <w:tcPr>
            <w:tcW w:type="dxa" w:w="65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7.749 peticiones HTTP reales</w:t>
            </w:r>
          </w:p>
        </w:tc>
      </w:tr>
      <w:tr>
        <w:tc>
          <w:tcPr>
            <w:tcW w:type="dxa" w:w="2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9"/>
                <w:szCs w:val="19"/>
              </w:rPr>
              <w:t xml:space="preserve">Veredicto</w:t>
            </w:r>
          </w:p>
        </w:tc>
        <w:tc>
          <w:tcPr>
            <w:tcW w:type="dxa" w:w="652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993535"/>
                <w:sz w:val="19"/>
                <w:szCs w:val="19"/>
              </w:rPr>
              <w:t xml:space="preserve">NO APTO</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Índice</w:t>
      </w:r>
    </w:p>
    <w:sdt>
      <w:sdtPr>
        <w:alias w:val="Contenido"/>
      </w:sdtPr>
      <w:sdtContent>
        <w:p>
          <w:r>
            <w:fldChar w:fldCharType="begin" w:dirty="true"/>
            <w:instrText xml:space="preserve">TOC \h \o "1-2"</w:instrText>
            <w:fldChar w:fldCharType="separate"/>
          </w:r>
        </w:p>
        <w:p>
          <w:r>
            <w:fldChar w:fldCharType="end"/>
          </w:r>
        </w:p>
      </w:sdtContent>
    </w:sdt>
    <w:p>
      <w:pPr>
        <w:pBdr>
          <w:left w:val="single" w:color="C9A84C" w:sz="12" w:space="10"/>
        </w:pBdr>
        <w:spacing w:after="150" w:before="110" w:line="278"/>
        <w:ind w:left="230"/>
      </w:pPr>
      <w:r>
        <w:rPr>
          <w:rFonts w:ascii="Calibri" w:cs="Calibri" w:eastAsia="Calibri" w:hAnsi="Calibri"/>
          <w:color w:val="6F6B65"/>
          <w:sz w:val="19"/>
          <w:szCs w:val="19"/>
        </w:rPr>
        <w:t xml:space="preserve">Si el índice aparece vacío, hacé clic derecho sobre él y elegí «Actualizar campos».</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 Resumen ejecutivo</w:t>
      </w:r>
    </w:p>
    <w:p>
      <w:pPr>
        <w:spacing w:after="110" w:line="278"/>
      </w:pPr>
      <w:r>
        <w:rPr>
          <w:rFonts w:ascii="Calibri" w:cs="Calibri" w:eastAsia="Calibri" w:hAnsi="Calibri"/>
          <w:color w:val="3A3733"/>
          <w:sz w:val="20"/>
          <w:szCs w:val="20"/>
        </w:rPr>
        <w:t xml:space="preserve">Se sometió al SPG </w:t>
      </w:r>
      <w:r>
        <w:rPr>
          <w:rFonts w:ascii="Calibri" w:cs="Calibri" w:eastAsia="Calibri" w:hAnsi="Calibri"/>
          <w:b/>
          <w:bCs/>
          <w:color w:val="3A3733"/>
          <w:sz w:val="20"/>
          <w:szCs w:val="20"/>
        </w:rPr>
        <w:t xml:space="preserve">versión 7.36.1</w:t>
      </w:r>
      <w:r>
        <w:rPr>
          <w:rFonts w:ascii="Calibri" w:cs="Calibri" w:eastAsia="Calibri" w:hAnsi="Calibri"/>
          <w:color w:val="3A3733"/>
          <w:sz w:val="20"/>
          <w:szCs w:val="20"/>
        </w:rPr>
        <w:t xml:space="preserve"> a una simulación de </w:t>
      </w:r>
      <w:r>
        <w:rPr>
          <w:rFonts w:ascii="Calibri" w:cs="Calibri" w:eastAsia="Calibri" w:hAnsi="Calibri"/>
          <w:b/>
          <w:bCs/>
          <w:color w:val="3A3733"/>
          <w:sz w:val="20"/>
          <w:szCs w:val="20"/>
        </w:rPr>
        <w:t xml:space="preserve">30 días consecutivos de operación intensiva</w:t>
      </w:r>
      <w:r>
        <w:rPr>
          <w:rFonts w:ascii="Calibri" w:cs="Calibri" w:eastAsia="Calibri" w:hAnsi="Calibri"/>
          <w:color w:val="3A3733"/>
          <w:sz w:val="20"/>
          <w:szCs w:val="20"/>
        </w:rPr>
        <w:t xml:space="preserve"> de una peluquería de Luque, del </w:t>
      </w:r>
      <w:r>
        <w:rPr>
          <w:rFonts w:ascii="Calibri" w:cs="Calibri" w:eastAsia="Calibri" w:hAnsi="Calibri"/>
          <w:color w:val="3A3733"/>
          <w:sz w:val="20"/>
          <w:szCs w:val="20"/>
        </w:rPr>
        <w:t xml:space="preserve">01/09/2026</w:t>
      </w:r>
      <w:r>
        <w:rPr>
          <w:rFonts w:ascii="Calibri" w:cs="Calibri" w:eastAsia="Calibri" w:hAnsi="Calibri"/>
          <w:color w:val="3A3733"/>
          <w:sz w:val="20"/>
          <w:szCs w:val="20"/>
        </w:rPr>
        <w:t xml:space="preserve"> al </w:t>
      </w:r>
      <w:r>
        <w:rPr>
          <w:rFonts w:ascii="Calibri" w:cs="Calibri" w:eastAsia="Calibri" w:hAnsi="Calibri"/>
          <w:color w:val="3A3733"/>
          <w:sz w:val="20"/>
          <w:szCs w:val="20"/>
        </w:rPr>
        <w:t xml:space="preserve">30/09/2026</w:t>
      </w:r>
      <w:r>
        <w:rPr>
          <w:rFonts w:ascii="Calibri" w:cs="Calibri" w:eastAsia="Calibri" w:hAnsi="Calibri"/>
          <w:color w:val="3A3733"/>
          <w:sz w:val="20"/>
          <w:szCs w:val="20"/>
        </w:rPr>
        <w:t xml:space="preserve">. La simulación arrancó desde una </w:t>
      </w:r>
      <w:r>
        <w:rPr>
          <w:rFonts w:ascii="Calibri" w:cs="Calibri" w:eastAsia="Calibri" w:hAnsi="Calibri"/>
          <w:b/>
          <w:bCs/>
          <w:color w:val="3A3733"/>
          <w:sz w:val="20"/>
          <w:szCs w:val="20"/>
        </w:rPr>
        <w:t xml:space="preserve">instalación limpia</w:t>
      </w:r>
      <w:r>
        <w:rPr>
          <w:rFonts w:ascii="Calibri" w:cs="Calibri" w:eastAsia="Calibri" w:hAnsi="Calibri"/>
          <w:color w:val="3A3733"/>
          <w:sz w:val="20"/>
          <w:szCs w:val="20"/>
        </w:rPr>
        <w:t xml:space="preserve"> —la misma base que recibe el salón el primer día, sin una sola cita ni factura— y toda la operación se generó </w:t>
      </w:r>
      <w:r>
        <w:rPr>
          <w:rFonts w:ascii="Calibri" w:cs="Calibri" w:eastAsia="Calibri" w:hAnsi="Calibri"/>
          <w:b/>
          <w:bCs/>
          <w:color w:val="3A3733"/>
          <w:sz w:val="20"/>
          <w:szCs w:val="20"/>
        </w:rPr>
        <w:t xml:space="preserve">usando el sistema por HTTP</w:t>
      </w:r>
      <w:r>
        <w:rPr>
          <w:rFonts w:ascii="Calibri" w:cs="Calibri" w:eastAsia="Calibri" w:hAnsi="Calibri"/>
          <w:color w:val="3A3733"/>
          <w:sz w:val="20"/>
          <w:szCs w:val="20"/>
        </w:rPr>
        <w:t xml:space="preserve">, con sesiones de verdad, no escribiendo en la base.</w:t>
      </w:r>
    </w:p>
    <w:p>
      <w:pPr>
        <w:spacing w:after="110" w:line="278"/>
      </w:pPr>
      <w:r>
        <w:rPr>
          <w:rFonts w:ascii="Calibri" w:cs="Calibri" w:eastAsia="Calibri" w:hAnsi="Calibri"/>
          <w:color w:val="3A3733"/>
          <w:sz w:val="20"/>
          <w:szCs w:val="20"/>
        </w:rPr>
        <w:t xml:space="preserve">Se ejecutaron </w:t>
      </w:r>
      <w:r>
        <w:rPr>
          <w:rFonts w:ascii="Calibri" w:cs="Calibri" w:eastAsia="Calibri" w:hAnsi="Calibri"/>
          <w:b/>
          <w:bCs/>
          <w:color w:val="3A3733"/>
          <w:sz w:val="20"/>
          <w:szCs w:val="20"/>
        </w:rPr>
        <w:t xml:space="preserve">7.749 peticiones</w:t>
      </w:r>
      <w:r>
        <w:rPr>
          <w:rFonts w:ascii="Calibri" w:cs="Calibri" w:eastAsia="Calibri" w:hAnsi="Calibri"/>
          <w:color w:val="3A3733"/>
          <w:sz w:val="20"/>
          <w:szCs w:val="20"/>
        </w:rPr>
        <w:t xml:space="preserve"> repartidas entre </w:t>
      </w:r>
      <w:r>
        <w:rPr>
          <w:rFonts w:ascii="Calibri" w:cs="Calibri" w:eastAsia="Calibri" w:hAnsi="Calibri"/>
          <w:b/>
          <w:bCs/>
          <w:color w:val="3A3733"/>
          <w:sz w:val="20"/>
          <w:szCs w:val="20"/>
        </w:rPr>
        <w:t xml:space="preserve">14 cuentas</w:t>
      </w:r>
      <w:r>
        <w:rPr>
          <w:rFonts w:ascii="Calibri" w:cs="Calibri" w:eastAsia="Calibri" w:hAnsi="Calibri"/>
          <w:color w:val="3A3733"/>
          <w:sz w:val="20"/>
          <w:szCs w:val="20"/>
        </w:rPr>
        <w:t xml:space="preserve"> de los cuatro roles del sistema, con </w:t>
      </w:r>
      <w:r>
        <w:rPr>
          <w:rFonts w:ascii="Calibri" w:cs="Calibri" w:eastAsia="Calibri" w:hAnsi="Calibri"/>
          <w:b/>
          <w:bCs/>
          <w:color w:val="3A3733"/>
          <w:sz w:val="20"/>
          <w:szCs w:val="20"/>
        </w:rPr>
        <w:t xml:space="preserve">23 escenarios de concurrencia real</w:t>
      </w:r>
      <w:r>
        <w:rPr>
          <w:rFonts w:ascii="Calibri" w:cs="Calibri" w:eastAsia="Calibri" w:hAnsi="Calibri"/>
          <w:color w:val="3A3733"/>
          <w:sz w:val="20"/>
          <w:szCs w:val="20"/>
        </w:rPr>
        <w:t xml:space="preserve"> —procesos separados largando en el mismo instante— y </w:t>
      </w:r>
      <w:r>
        <w:rPr>
          <w:rFonts w:ascii="Calibri" w:cs="Calibri" w:eastAsia="Calibri" w:hAnsi="Calibri"/>
          <w:b/>
          <w:bCs/>
          <w:color w:val="3A3733"/>
          <w:sz w:val="20"/>
          <w:szCs w:val="20"/>
        </w:rPr>
        <w:t xml:space="preserve">279 comprobaciones de invariantes</w:t>
      </w:r>
      <w:r>
        <w:rPr>
          <w:rFonts w:ascii="Calibri" w:cs="Calibri" w:eastAsia="Calibri" w:hAnsi="Calibri"/>
          <w:color w:val="3A3733"/>
          <w:sz w:val="20"/>
          <w:szCs w:val="20"/>
        </w:rPr>
        <w:t xml:space="preserve">.</w:t>
      </w:r>
    </w:p>
    <w:p>
      <w:pPr>
        <w:pStyle w:val="Heading2"/>
        <w:spacing w:after="120" w:before="270"/>
      </w:pPr>
      <w:r>
        <w:rPr>
          <w:rFonts w:ascii="Calibri" w:cs="Calibri" w:eastAsia="Calibri" w:hAnsi="Calibri"/>
          <w:b/>
          <w:bCs/>
          <w:color w:val="A35A21"/>
          <w:sz w:val="23"/>
          <w:szCs w:val="23"/>
        </w:rPr>
        <w:t xml:space="preserve">Resultado general</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200"/>
        <w:gridCol w:w="3820"/>
      </w:tblGrid>
      <w:tr>
        <w:trPr>
          <w:tblHeader/>
        </w:trPr>
        <w:tc>
          <w:tcPr>
            <w:tcW w:type="dxa" w:w="52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8"/>
                <w:szCs w:val="18"/>
              </w:rPr>
              <w:t xml:space="preserve">Indicador</w:t>
            </w:r>
          </w:p>
        </w:tc>
        <w:tc>
          <w:tcPr>
            <w:tcW w:type="dxa" w:w="3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Valor</w:t>
            </w:r>
          </w:p>
        </w:tc>
      </w:tr>
      <w:tr>
        <w:tc>
          <w:tcPr>
            <w:tcW w:type="dxa" w:w="5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Días simulados</w:t>
            </w:r>
          </w:p>
        </w:tc>
        <w:tc>
          <w:tcPr>
            <w:tcW w:type="dxa" w:w="38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60</w:t>
            </w:r>
          </w:p>
        </w:tc>
      </w:tr>
      <w:tr>
        <w:tc>
          <w:tcPr>
            <w:tcW w:type="dxa" w:w="5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Peticiones HTTP ejecutadas</w:t>
            </w:r>
          </w:p>
        </w:tc>
        <w:tc>
          <w:tcPr>
            <w:tcW w:type="dxa" w:w="3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7.749</w:t>
            </w:r>
          </w:p>
        </w:tc>
      </w:tr>
      <w:tr>
        <w:tc>
          <w:tcPr>
            <w:tcW w:type="dxa" w:w="5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Respuestas HTTP 5xx</w:t>
            </w:r>
          </w:p>
        </w:tc>
        <w:tc>
          <w:tcPr>
            <w:tcW w:type="dxa" w:w="3820"/>
            <w:tcMar>
              <w:top w:type="dxa" w:w="68"/>
              <w:left w:type="dxa" w:w="110"/>
              <w:bottom w:type="dxa" w:w="68"/>
              <w:right w:type="dxa" w:w="110"/>
            </w:tcMar>
          </w:tcPr>
          <w:p>
            <w:pPr>
              <w:spacing w:after="0" w:line="242"/>
              <w:jc w:val="center"/>
            </w:pPr>
            <w:r>
              <w:rPr>
                <w:rFonts w:ascii="Calibri" w:cs="Calibri" w:eastAsia="Calibri" w:hAnsi="Calibri"/>
                <w:b/>
                <w:bCs/>
                <w:color w:val="993535"/>
                <w:sz w:val="18"/>
                <w:szCs w:val="18"/>
              </w:rPr>
              <w:t xml:space="preserve">7</w:t>
            </w:r>
          </w:p>
        </w:tc>
      </w:tr>
      <w:tr>
        <w:tc>
          <w:tcPr>
            <w:tcW w:type="dxa" w:w="5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Comprobaciones de invariantes</w:t>
            </w:r>
          </w:p>
        </w:tc>
        <w:tc>
          <w:tcPr>
            <w:tcW w:type="dxa" w:w="3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279</w:t>
            </w:r>
          </w:p>
        </w:tc>
      </w:tr>
      <w:tr>
        <w:tc>
          <w:tcPr>
            <w:tcW w:type="dxa" w:w="5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Comprobaciones superadas (PASS)</w:t>
            </w:r>
          </w:p>
        </w:tc>
        <w:tc>
          <w:tcPr>
            <w:tcW w:type="dxa" w:w="38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8"/>
                <w:szCs w:val="18"/>
              </w:rPr>
              <w:t xml:space="preserve">255</w:t>
            </w:r>
          </w:p>
        </w:tc>
      </w:tr>
      <w:tr>
        <w:tc>
          <w:tcPr>
            <w:tcW w:type="dxa" w:w="5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Porcentaje de éxito</w:t>
            </w:r>
          </w:p>
        </w:tc>
        <w:tc>
          <w:tcPr>
            <w:tcW w:type="dxa" w:w="3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91,4 %</w:t>
            </w:r>
          </w:p>
        </w:tc>
      </w:tr>
      <w:tr>
        <w:tc>
          <w:tcPr>
            <w:tcW w:type="dxa" w:w="5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Defectos distintos encontrados</w:t>
            </w:r>
          </w:p>
        </w:tc>
        <w:tc>
          <w:tcPr>
            <w:tcW w:type="dxa" w:w="38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12</w:t>
            </w:r>
          </w:p>
        </w:tc>
      </w:tr>
      <w:tr>
        <w:tc>
          <w:tcPr>
            <w:tcW w:type="dxa" w:w="5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Críticos</w:t>
            </w:r>
          </w:p>
        </w:tc>
        <w:tc>
          <w:tcPr>
            <w:tcW w:type="dxa" w:w="3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8"/>
                <w:szCs w:val="18"/>
              </w:rPr>
              <w:t xml:space="preserve">2</w:t>
            </w:r>
          </w:p>
        </w:tc>
      </w:tr>
      <w:tr>
        <w:tc>
          <w:tcPr>
            <w:tcW w:type="dxa" w:w="5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Altos</w:t>
            </w:r>
          </w:p>
        </w:tc>
        <w:tc>
          <w:tcPr>
            <w:tcW w:type="dxa" w:w="38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8"/>
                <w:szCs w:val="18"/>
              </w:rPr>
              <w:t xml:space="preserve">0</w:t>
            </w:r>
          </w:p>
        </w:tc>
      </w:tr>
      <w:tr>
        <w:tc>
          <w:tcPr>
            <w:tcW w:type="dxa" w:w="5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Medios</w:t>
            </w:r>
          </w:p>
        </w:tc>
        <w:tc>
          <w:tcPr>
            <w:tcW w:type="dxa" w:w="3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8A6C1E"/>
                <w:sz w:val="18"/>
                <w:szCs w:val="18"/>
              </w:rPr>
              <w:t xml:space="preserve">2</w:t>
            </w:r>
          </w:p>
        </w:tc>
      </w:tr>
      <w:tr>
        <w:tc>
          <w:tcPr>
            <w:tcW w:type="dxa" w:w="5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Bajos</w:t>
            </w:r>
          </w:p>
        </w:tc>
        <w:tc>
          <w:tcPr>
            <w:tcW w:type="dxa" w:w="38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8"/>
                <w:szCs w:val="18"/>
              </w:rPr>
              <w:t xml:space="preserve">1</w:t>
            </w:r>
          </w:p>
        </w:tc>
      </w:tr>
    </w:tbl>
    <w:p>
      <w:pPr>
        <w:pStyle w:val="Heading2"/>
        <w:spacing w:after="120" w:before="270"/>
      </w:pPr>
      <w:r>
        <w:rPr>
          <w:rFonts w:ascii="Calibri" w:cs="Calibri" w:eastAsia="Calibri" w:hAnsi="Calibri"/>
          <w:b/>
          <w:bCs/>
          <w:color w:val="A35A21"/>
          <w:sz w:val="23"/>
          <w:szCs w:val="23"/>
        </w:rPr>
        <w:t xml:space="preserve">Volumen de operación generado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900"/>
        <w:gridCol w:w="1500"/>
        <w:gridCol w:w="1900"/>
        <w:gridCol w:w="1720"/>
      </w:tblGrid>
      <w:tr>
        <w:trPr>
          <w:tblHeader/>
        </w:trPr>
        <w:tc>
          <w:tcPr>
            <w:tcW w:type="dxa" w:w="39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Concepto</w:t>
            </w:r>
          </w:p>
        </w:tc>
        <w:tc>
          <w:tcPr>
            <w:tcW w:type="dxa" w:w="15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Inicial</w:t>
            </w:r>
          </w:p>
        </w:tc>
        <w:tc>
          <w:tcPr>
            <w:tcW w:type="dxa" w:w="1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Final</w:t>
            </w:r>
          </w:p>
        </w:tc>
        <w:tc>
          <w:tcPr>
            <w:tcW w:type="dxa" w:w="17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Generado</w:t>
            </w:r>
          </w:p>
        </w:tc>
      </w:tr>
      <w:tr>
        <w:tc>
          <w:tcPr>
            <w:tcW w:type="dxa" w:w="3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Clientes</w:t>
            </w:r>
          </w:p>
        </w:tc>
        <w:tc>
          <w:tcPr>
            <w:tcW w:type="dxa" w:w="15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21</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20</w:t>
            </w:r>
          </w:p>
        </w:tc>
      </w:tr>
      <w:tr>
        <w:tc>
          <w:tcPr>
            <w:tcW w:type="dxa" w:w="3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Usuarios del sistema</w:t>
            </w:r>
          </w:p>
        </w:tc>
        <w:tc>
          <w:tcPr>
            <w:tcW w:type="dxa" w:w="15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12</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w:t>
            </w:r>
          </w:p>
        </w:tc>
      </w:tr>
      <w:tr>
        <w:tc>
          <w:tcPr>
            <w:tcW w:type="dxa" w:w="3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w:t>
            </w:r>
          </w:p>
        </w:tc>
        <w:tc>
          <w:tcPr>
            <w:tcW w:type="dxa" w:w="15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353</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353</w:t>
            </w:r>
          </w:p>
        </w:tc>
      </w:tr>
      <w:tr>
        <w:tc>
          <w:tcPr>
            <w:tcW w:type="dxa" w:w="3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Servicios realizados</w:t>
            </w:r>
          </w:p>
        </w:tc>
        <w:tc>
          <w:tcPr>
            <w:tcW w:type="dxa" w:w="15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238</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238</w:t>
            </w:r>
          </w:p>
        </w:tc>
      </w:tr>
      <w:tr>
        <w:tc>
          <w:tcPr>
            <w:tcW w:type="dxa" w:w="3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Comprobantes emitidos</w:t>
            </w:r>
          </w:p>
        </w:tc>
        <w:tc>
          <w:tcPr>
            <w:tcW w:type="dxa" w:w="15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189</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189</w:t>
            </w:r>
          </w:p>
        </w:tc>
      </w:tr>
      <w:tr>
        <w:tc>
          <w:tcPr>
            <w:tcW w:type="dxa" w:w="3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Cobros registrados</w:t>
            </w:r>
          </w:p>
        </w:tc>
        <w:tc>
          <w:tcPr>
            <w:tcW w:type="dxa" w:w="15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268</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268</w:t>
            </w:r>
          </w:p>
        </w:tc>
      </w:tr>
      <w:tr>
        <w:tc>
          <w:tcPr>
            <w:tcW w:type="dxa" w:w="3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Cajas abiertas y cerradas</w:t>
            </w:r>
          </w:p>
        </w:tc>
        <w:tc>
          <w:tcPr>
            <w:tcW w:type="dxa" w:w="15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51</w:t>
            </w:r>
          </w:p>
        </w:tc>
        <w:tc>
          <w:tcPr>
            <w:tcW w:type="dxa" w:w="17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51</w:t>
            </w:r>
          </w:p>
        </w:tc>
      </w:tr>
      <w:tr>
        <w:tc>
          <w:tcPr>
            <w:tcW w:type="dxa" w:w="3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Movimientos de inventario</w:t>
            </w:r>
          </w:p>
        </w:tc>
        <w:tc>
          <w:tcPr>
            <w:tcW w:type="dxa" w:w="15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431</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431</w:t>
            </w:r>
          </w:p>
        </w:tc>
      </w:tr>
      <w:tr>
        <w:tc>
          <w:tcPr>
            <w:tcW w:type="dxa" w:w="3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Filas de auditoría</w:t>
            </w:r>
          </w:p>
        </w:tc>
        <w:tc>
          <w:tcPr>
            <w:tcW w:type="dxa" w:w="15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2.647</w:t>
            </w:r>
          </w:p>
        </w:tc>
        <w:tc>
          <w:tcPr>
            <w:tcW w:type="dxa" w:w="17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2.647</w:t>
            </w:r>
          </w:p>
        </w:tc>
      </w:tr>
      <w:tr>
        <w:tc>
          <w:tcPr>
            <w:tcW w:type="dxa" w:w="3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Notificaciones</w:t>
            </w:r>
          </w:p>
        </w:tc>
        <w:tc>
          <w:tcPr>
            <w:tcW w:type="dxa" w:w="15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652</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652</w:t>
            </w:r>
          </w:p>
        </w:tc>
      </w:tr>
      <w:tr>
        <w:tc>
          <w:tcPr>
            <w:tcW w:type="dxa" w:w="3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Facturado (comprobantes de venta)</w:t>
            </w:r>
          </w:p>
        </w:tc>
        <w:tc>
          <w:tcPr>
            <w:tcW w:type="dxa" w:w="15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w:t>
            </w:r>
          </w:p>
        </w:tc>
        <w:tc>
          <w:tcPr>
            <w:tcW w:type="dxa" w:w="1900"/>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Gs. 26.559.000</w:t>
            </w:r>
          </w:p>
        </w:tc>
        <w:tc>
          <w:tcPr>
            <w:tcW w:type="dxa" w:w="17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26.559.000</w:t>
            </w:r>
          </w:p>
        </w:tc>
      </w:tr>
      <w:tr>
        <w:tc>
          <w:tcPr>
            <w:tcW w:type="dxa" w:w="3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Cobrado</w:t>
            </w:r>
          </w:p>
        </w:tc>
        <w:tc>
          <w:tcPr>
            <w:tcW w:type="dxa" w:w="15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Gs. 26.157.000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26.157.000</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Los conteos de operación salen de la auditoría de cierre, tomada al terminar el día 60. La verificación dirigida de los hallazgos corrió después y dejó unas pocas filas propias, que quedan fuera de estas cifras.</w:t>
      </w:r>
    </w:p>
    <w:p>
      <w:pPr>
        <w:spacing w:after="50" w:before="130"/>
        <w:jc w:val="center"/>
      </w:pPr>
      <w:r>
        <w:drawing>
          <wp:inline distT="0" distB="0" distL="0" distR="0">
            <wp:extent cx="3810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762125"/>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Los 12 defectos encontrados, por severidad.</w:t>
      </w:r>
    </w:p>
    <w:p>
      <w:pPr>
        <w:pStyle w:val="Heading2"/>
        <w:spacing w:after="120" w:before="270"/>
      </w:pPr>
      <w:r>
        <w:rPr>
          <w:rFonts w:ascii="Calibri" w:cs="Calibri" w:eastAsia="Calibri" w:hAnsi="Calibri"/>
          <w:b/>
          <w:bCs/>
          <w:color w:val="A35A21"/>
          <w:sz w:val="23"/>
          <w:szCs w:val="23"/>
        </w:rPr>
        <w:t xml:space="preserve">Principales hallazgos</w:t>
      </w:r>
    </w:p>
    <w:p>
      <w:pPr>
        <w:spacing w:after="110" w:line="278"/>
      </w:pPr>
      <w:r>
        <w:rPr>
          <w:rFonts w:ascii="Calibri" w:cs="Calibri" w:eastAsia="Calibri" w:hAnsi="Calibri"/>
          <w:b/>
          <w:bCs/>
          <w:color w:val="993535"/>
          <w:sz w:val="20"/>
          <w:szCs w:val="20"/>
        </w:rPr>
        <w:t xml:space="preserve">2 defecto(s) CRÍTICO(s)</w:t>
      </w:r>
      <w:r>
        <w:rPr>
          <w:rFonts w:ascii="Calibri" w:cs="Calibri" w:eastAsia="Calibri" w:hAnsi="Calibri"/>
          <w:color w:val="3A3733"/>
          <w:sz w:val="20"/>
          <w:szCs w:val="20"/>
        </w:rPr>
        <w:t xml:space="preserve"> comprometen datos, dinero o seguridad. Se detallan en la sección 17.</w:t>
      </w:r>
    </w:p>
    <w:p>
      <w:pPr>
        <w:pStyle w:val="ListParagraph"/>
        <w:numPr>
          <w:ilvl w:val="0"/>
          <w:numId w:val="2"/>
        </w:numPr>
        <w:spacing w:after="70" w:line="278"/>
      </w:pPr>
      <w:r>
        <w:rPr>
          <w:rFonts w:ascii="Calibri" w:cs="Calibri" w:eastAsia="Calibri" w:hAnsi="Calibri"/>
          <w:b/>
          <w:bCs/>
          <w:color w:val="993535"/>
          <w:sz w:val="19"/>
          <w:szCs w:val="19"/>
        </w:rPr>
        <w:t xml:space="preserve">[CRITICO] </w:t>
      </w:r>
      <w:r>
        <w:rPr>
          <w:rFonts w:ascii="Calibri" w:cs="Calibri" w:eastAsia="Calibri" w:hAnsi="Calibri"/>
          <w:b/>
          <w:bCs/>
          <w:color w:val="3A3733"/>
          <w:sz w:val="19"/>
          <w:szCs w:val="19"/>
        </w:rPr>
        <w:t xml:space="preserve">Registrar una compra devuelve HTTP 500: no se puede cargar mercadería. </w:t>
      </w:r>
      <w:r>
        <w:rPr>
          <w:rFonts w:ascii="Calibri" w:cs="Calibri" w:eastAsia="Calibri" w:hAnsi="Calibri"/>
          <w:color w:val="3A3733"/>
          <w:sz w:val="19"/>
          <w:szCs w:val="19"/>
        </w:rPr>
        <w:t xml:space="preserve">Bloquea por completo el alta de compras: el salón no puede registrar el ingreso de mercadería por el camino normal. El stock sólo se puede mover por ajuste manual.</w:t>
      </w:r>
    </w:p>
    <w:p>
      <w:pPr>
        <w:pStyle w:val="ListParagraph"/>
        <w:numPr>
          <w:ilvl w:val="0"/>
          <w:numId w:val="2"/>
        </w:numPr>
        <w:spacing w:after="70" w:line="278"/>
      </w:pPr>
      <w:r>
        <w:rPr>
          <w:rFonts w:ascii="Calibri" w:cs="Calibri" w:eastAsia="Calibri" w:hAnsi="Calibri"/>
          <w:b/>
          <w:bCs/>
          <w:color w:val="993535"/>
          <w:sz w:val="19"/>
          <w:szCs w:val="19"/>
        </w:rPr>
        <w:t xml:space="preserve">[CRITICO] </w:t>
      </w:r>
      <w:r>
        <w:rPr>
          <w:rFonts w:ascii="Calibri" w:cs="Calibri" w:eastAsia="Calibri" w:hAnsi="Calibri"/>
          <w:b/>
          <w:bCs/>
          <w:color w:val="3A3733"/>
          <w:sz w:val="19"/>
          <w:szCs w:val="19"/>
        </w:rPr>
        <w:t xml:space="preserve">Un pago a proveedor puede dejar la caja de otra sucursal en negativo. </w:t>
      </w:r>
      <w:r>
        <w:rPr>
          <w:rFonts w:ascii="Calibri" w:cs="Calibri" w:eastAsia="Calibri" w:hAnsi="Calibri"/>
          <w:color w:val="3A3733"/>
          <w:sz w:val="19"/>
          <w:szCs w:val="19"/>
        </w:rPr>
        <w:t xml:space="preserve">Arqueo imposible de cuadrar en el local afectado y salida de efectivo no respaldada. Es la misma clase de defecto que CJ-01, ahora por la vía de la sucursal.</w:t>
      </w:r>
    </w:p>
    <w:p>
      <w:pPr>
        <w:pStyle w:val="ListParagraph"/>
        <w:numPr>
          <w:ilvl w:val="0"/>
          <w:numId w:val="2"/>
        </w:numPr>
        <w:spacing w:after="70" w:line="278"/>
      </w:pPr>
      <w:r>
        <w:rPr>
          <w:rFonts w:ascii="Calibri" w:cs="Calibri" w:eastAsia="Calibri" w:hAnsi="Calibri"/>
          <w:b/>
          <w:bCs/>
          <w:color w:val="8A6C1E"/>
          <w:sz w:val="19"/>
          <w:szCs w:val="19"/>
        </w:rPr>
        <w:t xml:space="preserve">[MEDIO] </w:t>
      </w:r>
      <w:r>
        <w:rPr>
          <w:rFonts w:ascii="Calibri" w:cs="Calibri" w:eastAsia="Calibri" w:hAnsi="Calibri"/>
          <w:b/>
          <w:bCs/>
          <w:color w:val="3A3733"/>
          <w:sz w:val="19"/>
          <w:szCs w:val="19"/>
        </w:rPr>
        <w:t xml:space="preserve">El consumo de un producto no habilitado en la sucursal se pierde sin que la pantalla lo explique. </w:t>
      </w:r>
      <w:r>
        <w:rPr>
          <w:rFonts w:ascii="Calibri" w:cs="Calibri" w:eastAsia="Calibri" w:hAnsi="Calibri"/>
          <w:color w:val="3A3733"/>
          <w:sz w:val="19"/>
          <w:szCs w:val="19"/>
        </w:rPr>
        <w:t xml:space="preserve">El stock no refleja lo que se usó y quien atiende no sabe por qué. No hay pérdida de datos: la atención y los servicios sí quedan.</w:t>
      </w:r>
    </w:p>
    <w:p>
      <w:pPr>
        <w:pStyle w:val="ListParagraph"/>
        <w:numPr>
          <w:ilvl w:val="0"/>
          <w:numId w:val="2"/>
        </w:numPr>
        <w:spacing w:after="70" w:line="278"/>
      </w:pPr>
      <w:r>
        <w:rPr>
          <w:rFonts w:ascii="Calibri" w:cs="Calibri" w:eastAsia="Calibri" w:hAnsi="Calibri"/>
          <w:b/>
          <w:bCs/>
          <w:color w:val="8A6C1E"/>
          <w:sz w:val="19"/>
          <w:szCs w:val="19"/>
        </w:rPr>
        <w:t xml:space="preserve">[MEDIO] </w:t>
      </w:r>
      <w:r>
        <w:rPr>
          <w:rFonts w:ascii="Calibri" w:cs="Calibri" w:eastAsia="Calibri" w:hAnsi="Calibri"/>
          <w:b/>
          <w:bCs/>
          <w:color w:val="3A3733"/>
          <w:sz w:val="19"/>
          <w:szCs w:val="19"/>
        </w:rPr>
        <w:t xml:space="preserve">AUD_PANEL_FUGA_INGRESOS. </w:t>
      </w:r>
      <w:r>
        <w:rPr>
          <w:rFonts w:ascii="Calibri" w:cs="Calibri" w:eastAsia="Calibri" w:hAnsi="Calibri"/>
          <w:color w:val="3A3733"/>
          <w:sz w:val="19"/>
          <w:szCs w:val="19"/>
        </w:rPr>
        <w:t xml:space="preserve">Una Profesional (sin permiso de caja) ve en el panel los ingresos de TODO el salón: Gs. 1.153.500. La corrección de la 7.13.1 tapó la barra de caja pero no las cuatro métricas de arriba, que se calculan siempre sin filtrar por rol</w:t>
      </w:r>
    </w:p>
    <w:p>
      <w:pPr>
        <w:pStyle w:val="ListParagraph"/>
        <w:numPr>
          <w:ilvl w:val="0"/>
          <w:numId w:val="2"/>
        </w:numPr>
        <w:spacing w:after="70" w:line="278"/>
      </w:pPr>
      <w:r>
        <w:rPr>
          <w:rFonts w:ascii="Calibri" w:cs="Calibri" w:eastAsia="Calibri" w:hAnsi="Calibri"/>
          <w:b/>
          <w:bCs/>
          <w:color w:val="8A6C1E"/>
          <w:sz w:val="19"/>
          <w:szCs w:val="19"/>
        </w:rPr>
        <w:t xml:space="preserve">[MEDIO] </w:t>
      </w:r>
      <w:r>
        <w:rPr>
          <w:rFonts w:ascii="Calibri" w:cs="Calibri" w:eastAsia="Calibri" w:hAnsi="Calibri"/>
          <w:b/>
          <w:bCs/>
          <w:color w:val="3A3733"/>
          <w:sz w:val="19"/>
          <w:szCs w:val="19"/>
        </w:rPr>
        <w:t xml:space="preserve">AUD_FIDELIZACION_INALCANZABLE. </w:t>
      </w:r>
      <w:r>
        <w:rPr>
          <w:rFonts w:ascii="Calibri" w:cs="Calibri" w:eastAsia="Calibri" w:hAnsi="Calibri"/>
          <w:color w:val="3A3733"/>
          <w:sz w:val="19"/>
          <w:szCs w:val="19"/>
        </w:rPr>
        <w:t xml:space="preserve">En 60 días la clienta que más puntos juntó llegó a 326 y el canje más barato cuesta 400. El catálogo de canjes está publicado y ninguna clienta puede usarlo: el portal le muestra premios que no puede alcanzar</w:t>
      </w:r>
    </w:p>
    <w:p>
      <w:pPr>
        <w:pStyle w:val="ListParagraph"/>
        <w:numPr>
          <w:ilvl w:val="0"/>
          <w:numId w:val="2"/>
        </w:numPr>
        <w:spacing w:after="70" w:line="278"/>
      </w:pPr>
      <w:r>
        <w:rPr>
          <w:rFonts w:ascii="Calibri" w:cs="Calibri" w:eastAsia="Calibri" w:hAnsi="Calibri"/>
          <w:b/>
          <w:bCs/>
          <w:color w:val="6F6B65"/>
          <w:sz w:val="19"/>
          <w:szCs w:val="19"/>
        </w:rPr>
        <w:t xml:space="preserve">[BAJO] </w:t>
      </w:r>
      <w:r>
        <w:rPr>
          <w:rFonts w:ascii="Calibri" w:cs="Calibri" w:eastAsia="Calibri" w:hAnsi="Calibri"/>
          <w:b/>
          <w:bCs/>
          <w:color w:val="3A3733"/>
          <w:sz w:val="19"/>
          <w:szCs w:val="19"/>
        </w:rPr>
        <w:t xml:space="preserve">La venta de productos no tiene pantalla (fuera de alcance). </w:t>
      </w:r>
      <w:r>
        <w:rPr>
          <w:rFonts w:ascii="Calibri" w:cs="Calibri" w:eastAsia="Calibri" w:hAnsi="Calibri"/>
          <w:color w:val="3A3733"/>
          <w:sz w:val="19"/>
          <w:szCs w:val="19"/>
        </w:rPr>
        <w:t xml:space="preserve">En 60 días no se facturó ni un producto. Es lo esperado: la venta quedó fuera de alcance por decisión del usuario (7.23.1) y `producto.precio_venta`, el tipo de movimiento 7 y trg_detfactura_ai se dejaron en el modelo a propósito. Queda anotado para que el modelo no prometa lo que la pantalla no da</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2. Metodología</w:t>
      </w:r>
    </w:p>
    <w:p>
      <w:pPr>
        <w:pStyle w:val="Heading2"/>
        <w:spacing w:after="120" w:before="270"/>
      </w:pPr>
      <w:r>
        <w:rPr>
          <w:rFonts w:ascii="Calibri" w:cs="Calibri" w:eastAsia="Calibri" w:hAnsi="Calibri"/>
          <w:b/>
          <w:bCs/>
          <w:color w:val="A35A21"/>
          <w:sz w:val="23"/>
          <w:szCs w:val="23"/>
        </w:rPr>
        <w:t xml:space="preserve">2.1 Cómo se ejecutó la simulación</w:t>
      </w:r>
    </w:p>
    <w:p>
      <w:pPr>
        <w:spacing w:after="110" w:before="0" w:line="278"/>
      </w:pPr>
      <w:r>
        <w:rPr>
          <w:rFonts w:ascii="Calibri" w:cs="Calibri" w:eastAsia="Calibri" w:hAnsi="Calibri"/>
          <w:b w:val="false"/>
          <w:bCs w:val="false"/>
          <w:i w:val="false"/>
          <w:iCs w:val="false"/>
          <w:color w:val="3A3733"/>
          <w:sz w:val="20"/>
          <w:szCs w:val="20"/>
        </w:rPr>
        <w:t xml:space="preserve">La simulación no consistió en escribir filas en la base: cada operación entró por el mismo camino que usa una persona sentada frente al sistema.</w:t>
      </w:r>
    </w:p>
    <w:p>
      <w:pPr>
        <w:pStyle w:val="ListParagraph"/>
        <w:numPr>
          <w:ilvl w:val="0"/>
          <w:numId w:val="2"/>
        </w:numPr>
        <w:spacing w:after="70" w:line="278"/>
      </w:pPr>
      <w:r>
        <w:rPr>
          <w:rFonts w:ascii="Calibri" w:cs="Calibri" w:eastAsia="Calibri" w:hAnsi="Calibri"/>
          <w:b/>
          <w:bCs/>
          <w:color w:val="3A3733"/>
          <w:sz w:val="20"/>
          <w:szCs w:val="20"/>
        </w:rPr>
        <w:t xml:space="preserve">Peticiones HTTP reales.</w:t>
      </w:r>
      <w:r>
        <w:rPr>
          <w:rFonts w:ascii="Calibri" w:cs="Calibri" w:eastAsia="Calibri" w:hAnsi="Calibri"/>
          <w:color w:val="3A3733"/>
          <w:sz w:val="20"/>
          <w:szCs w:val="20"/>
        </w:rPr>
        <w:t xml:space="preserve"> Cada acción pasa por el kernel de Laravel con su frasco de cookies, así que atraviesa el middleware de sesión, el de personal, el de módulo, la verificación CSRF y las validaciones del controlador.</w:t>
      </w:r>
    </w:p>
    <w:p>
      <w:pPr>
        <w:pStyle w:val="ListParagraph"/>
        <w:numPr>
          <w:ilvl w:val="0"/>
          <w:numId w:val="2"/>
        </w:numPr>
        <w:spacing w:after="70" w:line="278"/>
      </w:pPr>
      <w:r>
        <w:rPr>
          <w:rFonts w:ascii="Calibri" w:cs="Calibri" w:eastAsia="Calibri" w:hAnsi="Calibri"/>
          <w:b/>
          <w:bCs/>
          <w:color w:val="3A3733"/>
          <w:sz w:val="20"/>
          <w:szCs w:val="20"/>
        </w:rPr>
        <w:t xml:space="preserve">Sesiones separadas por usuario.</w:t>
      </w:r>
      <w:r>
        <w:rPr>
          <w:rFonts w:ascii="Calibri" w:cs="Calibri" w:eastAsia="Calibri" w:hAnsi="Calibri"/>
          <w:color w:val="3A3733"/>
          <w:sz w:val="20"/>
          <w:szCs w:val="20"/>
        </w:rPr>
        <w:t xml:space="preserve"> Cada rol tiene su propia sesión, con ingreso y salida de verdad.</w:t>
      </w:r>
    </w:p>
    <w:p>
      <w:pPr>
        <w:pStyle w:val="ListParagraph"/>
        <w:numPr>
          <w:ilvl w:val="0"/>
          <w:numId w:val="2"/>
        </w:numPr>
        <w:spacing w:after="70" w:line="278"/>
      </w:pPr>
      <w:r>
        <w:rPr>
          <w:rFonts w:ascii="Calibri" w:cs="Calibri" w:eastAsia="Calibri" w:hAnsi="Calibri"/>
          <w:b/>
          <w:bCs/>
          <w:color w:val="3A3733"/>
          <w:sz w:val="20"/>
          <w:szCs w:val="20"/>
        </w:rPr>
        <w:t xml:space="preserve">Reloj falseado.</w:t>
      </w:r>
      <w:r>
        <w:rPr>
          <w:rFonts w:ascii="Calibri" w:cs="Calibri" w:eastAsia="Calibri" w:hAnsi="Calibri"/>
          <w:color w:val="3A3733"/>
          <w:sz w:val="20"/>
          <w:szCs w:val="20"/>
        </w:rPr>
        <w:t xml:space="preserve"> Cada «momento» del día es un proceso aparte con el reloj del sistema movido con libfaketime, y MariaDB sincronizado con SET timestamp. Así, un cierre de caja de las 19:15 del día 34 ocurre de verdad a esa hora y esa fecha.</w:t>
      </w:r>
    </w:p>
    <w:p>
      <w:pPr>
        <w:pStyle w:val="ListParagraph"/>
        <w:numPr>
          <w:ilvl w:val="0"/>
          <w:numId w:val="2"/>
        </w:numPr>
        <w:spacing w:after="70" w:line="278"/>
      </w:pPr>
      <w:r>
        <w:rPr>
          <w:rFonts w:ascii="Calibri" w:cs="Calibri" w:eastAsia="Calibri" w:hAnsi="Calibri"/>
          <w:b/>
          <w:bCs/>
          <w:color w:val="3A3733"/>
          <w:sz w:val="20"/>
          <w:szCs w:val="20"/>
        </w:rPr>
        <w:t xml:space="preserve">Ocho momentos por día.</w:t>
      </w:r>
      <w:r>
        <w:rPr>
          <w:rFonts w:ascii="Calibri" w:cs="Calibri" w:eastAsia="Calibri" w:hAnsi="Calibri"/>
          <w:color w:val="3A3733"/>
          <w:sz w:val="20"/>
          <w:szCs w:val="20"/>
        </w:rPr>
        <w:t xml:space="preserve"> Apertura (07:40), mañana (12:45), mediodía (13:05), escenarios especiales (15:30 a 16:55), tarde (18:58) y cierre (19:15), siempre en orden cronológico.</w:t>
      </w:r>
    </w:p>
    <w:p>
      <w:pPr>
        <w:pStyle w:val="Heading2"/>
        <w:spacing w:after="120" w:before="270"/>
      </w:pPr>
      <w:r>
        <w:rPr>
          <w:rFonts w:ascii="Calibri" w:cs="Calibri" w:eastAsia="Calibri" w:hAnsi="Calibri"/>
          <w:b/>
          <w:bCs/>
          <w:color w:val="A35A21"/>
          <w:sz w:val="23"/>
          <w:szCs w:val="23"/>
        </w:rPr>
        <w:t xml:space="preserve">2.2 Cómo se generaron los escenarios</w:t>
      </w:r>
    </w:p>
    <w:p>
      <w:pPr>
        <w:spacing w:after="110" w:before="0" w:line="278"/>
      </w:pPr>
      <w:r>
        <w:rPr>
          <w:rFonts w:ascii="Calibri" w:cs="Calibri" w:eastAsia="Calibri" w:hAnsi="Calibri"/>
          <w:b w:val="false"/>
          <w:bCs w:val="false"/>
          <w:i w:val="false"/>
          <w:iCs w:val="false"/>
          <w:color w:val="3A3733"/>
          <w:sz w:val="20"/>
          <w:szCs w:val="20"/>
        </w:rPr>
        <w:t xml:space="preserve">La demanda no es plana ni aleatoria: sigue una curva semanal (sábado alto, lunes bajo, domingo cerrado) con dos picos de temporada alta y dos días flojos, más una variación diaria. Las clientas son en un 65 % recurrentes y en un 35 % nuevas, y el 75 % pide un profesional en particular.</w:t>
      </w:r>
    </w:p>
    <w:p>
      <w:pPr>
        <w:spacing w:after="110" w:line="278"/>
      </w:pPr>
      <w:r>
        <w:rPr>
          <w:rFonts w:ascii="Calibri" w:cs="Calibri" w:eastAsia="Calibri" w:hAnsi="Calibri"/>
          <w:b/>
          <w:bCs/>
          <w:color w:val="3A3733"/>
          <w:sz w:val="20"/>
          <w:szCs w:val="20"/>
        </w:rPr>
        <w:t xml:space="preserve">Cada operación depende del estado anterior.</w:t>
      </w:r>
      <w:r>
        <w:rPr>
          <w:rFonts w:ascii="Calibri" w:cs="Calibri" w:eastAsia="Calibri" w:hAnsi="Calibri"/>
          <w:color w:val="3A3733"/>
          <w:sz w:val="20"/>
          <w:szCs w:val="20"/>
        </w:rPr>
        <w:t xml:space="preserve"> Las citas se agendan sobre los huecos que el propio sistema ofrece por su endpoint de disponibilidad; se atienden las que ya pasaron de hora; se factura lo atendido sin comprobante; se cobra lo facturado con saldo; se repone el stock que bajó. No hay ninguna operación inventada por fuera de esa cadena.</w:t>
      </w:r>
    </w:p>
    <w:p>
      <w:pPr>
        <w:pStyle w:val="Heading2"/>
        <w:spacing w:after="120" w:before="270"/>
      </w:pPr>
      <w:r>
        <w:rPr>
          <w:rFonts w:ascii="Calibri" w:cs="Calibri" w:eastAsia="Calibri" w:hAnsi="Calibri"/>
          <w:b/>
          <w:bCs/>
          <w:color w:val="A35A21"/>
          <w:sz w:val="23"/>
          <w:szCs w:val="23"/>
        </w:rPr>
        <w:t xml:space="preserve">2.3 Cómo se verificó la coherencia</w:t>
      </w:r>
    </w:p>
    <w:p>
      <w:pPr>
        <w:spacing w:after="110" w:before="0" w:line="278"/>
      </w:pPr>
      <w:r>
        <w:rPr>
          <w:rFonts w:ascii="Calibri" w:cs="Calibri" w:eastAsia="Calibri" w:hAnsi="Calibri"/>
          <w:b w:val="false"/>
          <w:bCs w:val="false"/>
          <w:i w:val="false"/>
          <w:iCs w:val="false"/>
          <w:color w:val="3A3733"/>
          <w:sz w:val="20"/>
          <w:szCs w:val="20"/>
        </w:rPr>
        <w:t xml:space="preserve">Las comprobaciones no le preguntan al sistema si hizo bien las cosas: recalculan el resultado por fuera y lo comparan.</w:t>
      </w:r>
    </w:p>
    <w:p>
      <w:pPr>
        <w:pStyle w:val="ListParagraph"/>
        <w:numPr>
          <w:ilvl w:val="0"/>
          <w:numId w:val="2"/>
        </w:numPr>
        <w:spacing w:after="70" w:line="278"/>
      </w:pPr>
      <w:r>
        <w:rPr>
          <w:rFonts w:ascii="Calibri" w:cs="Calibri" w:eastAsia="Calibri" w:hAnsi="Calibri"/>
          <w:b/>
          <w:bCs/>
          <w:color w:val="3A3733"/>
          <w:sz w:val="20"/>
          <w:szCs w:val="20"/>
        </w:rPr>
        <w:t xml:space="preserve">Stock:</w:t>
      </w:r>
      <w:r>
        <w:rPr>
          <w:rFonts w:ascii="Calibri" w:cs="Calibri" w:eastAsia="Calibri" w:hAnsi="Calibri"/>
          <w:color w:val="3A3733"/>
          <w:sz w:val="20"/>
          <w:szCs w:val="20"/>
        </w:rPr>
        <w:t xml:space="preserve"> se suma movimiento por movimiento según el signo E/S del tipo, y se contrasta contra fn_producto_stock.</w:t>
      </w:r>
    </w:p>
    <w:p>
      <w:pPr>
        <w:pStyle w:val="ListParagraph"/>
        <w:numPr>
          <w:ilvl w:val="0"/>
          <w:numId w:val="2"/>
        </w:numPr>
        <w:spacing w:after="70" w:line="278"/>
      </w:pPr>
      <w:r>
        <w:rPr>
          <w:rFonts w:ascii="Calibri" w:cs="Calibri" w:eastAsia="Calibri" w:hAnsi="Calibri"/>
          <w:b/>
          <w:bCs/>
          <w:color w:val="3A3733"/>
          <w:sz w:val="20"/>
          <w:szCs w:val="20"/>
        </w:rPr>
        <w:t xml:space="preserve">Totales de comprobante:</w:t>
      </w:r>
      <w:r>
        <w:rPr>
          <w:rFonts w:ascii="Calibri" w:cs="Calibri" w:eastAsia="Calibri" w:hAnsi="Calibri"/>
          <w:color w:val="3A3733"/>
          <w:sz w:val="20"/>
          <w:szCs w:val="20"/>
        </w:rPr>
        <w:t xml:space="preserve"> se recalculan desde detalle_factura y factura_descuento, y se contrastan contra fn_factura_subtotal, _total y _saldo.</w:t>
      </w:r>
    </w:p>
    <w:p>
      <w:pPr>
        <w:pStyle w:val="ListParagraph"/>
        <w:numPr>
          <w:ilvl w:val="0"/>
          <w:numId w:val="2"/>
        </w:numPr>
        <w:spacing w:after="70" w:line="278"/>
      </w:pPr>
      <w:r>
        <w:rPr>
          <w:rFonts w:ascii="Calibri" w:cs="Calibri" w:eastAsia="Calibri" w:hAnsi="Calibri"/>
          <w:b/>
          <w:bCs/>
          <w:color w:val="3A3733"/>
          <w:sz w:val="20"/>
          <w:szCs w:val="20"/>
        </w:rPr>
        <w:t xml:space="preserve">Arqueo:</w:t>
      </w:r>
      <w:r>
        <w:rPr>
          <w:rFonts w:ascii="Calibri" w:cs="Calibri" w:eastAsia="Calibri" w:hAnsi="Calibri"/>
          <w:color w:val="3A3733"/>
          <w:sz w:val="20"/>
          <w:szCs w:val="20"/>
        </w:rPr>
        <w:t xml:space="preserve"> monto inicial + cobros en efectivo + ingresos − egresos − pagos a proveedores en efectivo − liquidaciones al personal en efectivo, contra fn_caja_saldo.</w:t>
      </w:r>
    </w:p>
    <w:p>
      <w:pPr>
        <w:pStyle w:val="ListParagraph"/>
        <w:numPr>
          <w:ilvl w:val="0"/>
          <w:numId w:val="2"/>
        </w:numPr>
        <w:spacing w:after="70" w:line="278"/>
      </w:pPr>
      <w:r>
        <w:rPr>
          <w:rFonts w:ascii="Calibri" w:cs="Calibri" w:eastAsia="Calibri" w:hAnsi="Calibri"/>
          <w:b/>
          <w:bCs/>
          <w:color w:val="3A3733"/>
          <w:sz w:val="20"/>
          <w:szCs w:val="20"/>
        </w:rPr>
        <w:t xml:space="preserve">Agenda:</w:t>
      </w:r>
      <w:r>
        <w:rPr>
          <w:rFonts w:ascii="Calibri" w:cs="Calibri" w:eastAsia="Calibri" w:hAnsi="Calibri"/>
          <w:color w:val="3A3733"/>
          <w:sz w:val="20"/>
          <w:szCs w:val="20"/>
        </w:rPr>
        <w:t xml:space="preserve"> se ordenan las citas de cada profesional y se busca cualquier par cuyos bloques se pisen, usando fn_cita_duracion_de.</w:t>
      </w:r>
    </w:p>
    <w:p>
      <w:pPr>
        <w:pStyle w:val="ListParagraph"/>
        <w:numPr>
          <w:ilvl w:val="0"/>
          <w:numId w:val="2"/>
        </w:numPr>
        <w:spacing w:after="70" w:line="278"/>
      </w:pPr>
      <w:r>
        <w:rPr>
          <w:rFonts w:ascii="Calibri" w:cs="Calibri" w:eastAsia="Calibri" w:hAnsi="Calibri"/>
          <w:b/>
          <w:bCs/>
          <w:color w:val="3A3733"/>
          <w:sz w:val="20"/>
          <w:szCs w:val="20"/>
        </w:rPr>
        <w:t xml:space="preserve">Reportes:</w:t>
      </w:r>
      <w:r>
        <w:rPr>
          <w:rFonts w:ascii="Calibri" w:cs="Calibri" w:eastAsia="Calibri" w:hAnsi="Calibri"/>
          <w:color w:val="3A3733"/>
          <w:sz w:val="20"/>
          <w:szCs w:val="20"/>
        </w:rPr>
        <w:t xml:space="preserve"> se leen los números que el informe dibuja en pantalla y se comparan contra la consulta cruda equivalente.</w:t>
      </w:r>
    </w:p>
    <w:p>
      <w:pPr>
        <w:pStyle w:val="Heading2"/>
        <w:spacing w:after="120" w:before="270"/>
      </w:pPr>
      <w:r>
        <w:rPr>
          <w:rFonts w:ascii="Calibri" w:cs="Calibri" w:eastAsia="Calibri" w:hAnsi="Calibri"/>
          <w:b/>
          <w:bCs/>
          <w:color w:val="A35A21"/>
          <w:sz w:val="23"/>
          <w:szCs w:val="23"/>
        </w:rPr>
        <w:t xml:space="preserve">2.4 Cómo se probó la concurrencia</w:t>
      </w:r>
    </w:p>
    <w:p>
      <w:pPr>
        <w:spacing w:after="110" w:line="278"/>
      </w:pPr>
      <w:r>
        <w:rPr>
          <w:rFonts w:ascii="Calibri" w:cs="Calibri" w:eastAsia="Calibri" w:hAnsi="Calibri"/>
          <w:color w:val="3A3733"/>
          <w:sz w:val="20"/>
          <w:szCs w:val="20"/>
        </w:rPr>
        <w:t xml:space="preserve">No se simuló concurrencia ejecutando una operación detrás de otra. Cada escenario lanza </w:t>
      </w:r>
      <w:r>
        <w:rPr>
          <w:rFonts w:ascii="Calibri" w:cs="Calibri" w:eastAsia="Calibri" w:hAnsi="Calibri"/>
          <w:b/>
          <w:bCs/>
          <w:color w:val="3A3733"/>
          <w:sz w:val="20"/>
          <w:szCs w:val="20"/>
        </w:rPr>
        <w:t xml:space="preserve">procesos del sistema operativo separados</w:t>
      </w:r>
      <w:r>
        <w:rPr>
          <w:rFonts w:ascii="Calibri" w:cs="Calibri" w:eastAsia="Calibri" w:hAnsi="Calibri"/>
          <w:color w:val="3A3733"/>
          <w:sz w:val="20"/>
          <w:szCs w:val="20"/>
        </w:rPr>
        <w:t xml:space="preserve">, cada uno con su propia conexión a la base y su propia sesión, que esperan en un bucle hasta un instante de largada común y recién ahí disparan el POST. Es la única forma de que las transacciones se pisen de verdad.</w:t>
      </w:r>
    </w:p>
    <w:p>
      <w:pPr>
        <w:pBdr>
          <w:left w:val="single" w:color="C9A84C" w:sz="12" w:space="10"/>
        </w:pBdr>
        <w:spacing w:after="150" w:before="110" w:line="278"/>
        <w:ind w:left="230"/>
      </w:pPr>
      <w:r>
        <w:rPr>
          <w:rFonts w:ascii="Calibri" w:cs="Calibri" w:eastAsia="Calibri" w:hAnsi="Calibri"/>
          <w:color w:val="6F6B65"/>
          <w:sz w:val="19"/>
          <w:szCs w:val="19"/>
        </w:rPr>
        <w:t xml:space="preserve">Los escenarios de concurrencia usan cuentas DISTINTAS a propósito: el sistema tiene sesión única por cuenta desde la 7.14.0, así que dos sesiones del mismo usuario se desplazarían entre sí en vez de competir.</w:t>
      </w:r>
    </w:p>
    <w:p>
      <w:pPr>
        <w:pStyle w:val="Heading2"/>
        <w:spacing w:after="120" w:before="270"/>
      </w:pPr>
      <w:r>
        <w:rPr>
          <w:rFonts w:ascii="Calibri" w:cs="Calibri" w:eastAsia="Calibri" w:hAnsi="Calibri"/>
          <w:b/>
          <w:bCs/>
          <w:color w:val="A35A21"/>
          <w:sz w:val="23"/>
          <w:szCs w:val="23"/>
        </w:rPr>
        <w:t xml:space="preserve">2.5 Qué NO se hizo</w:t>
      </w:r>
    </w:p>
    <w:p>
      <w:pPr>
        <w:pStyle w:val="ListParagraph"/>
        <w:numPr>
          <w:ilvl w:val="0"/>
          <w:numId w:val="2"/>
        </w:numPr>
        <w:spacing w:after="70" w:line="278"/>
      </w:pPr>
      <w:r>
        <w:rPr>
          <w:rFonts w:ascii="Calibri" w:cs="Calibri" w:eastAsia="Calibri" w:hAnsi="Calibri"/>
          <w:color w:val="3A3733"/>
          <w:sz w:val="20"/>
          <w:szCs w:val="20"/>
        </w:rPr>
        <w:t xml:space="preserve">No se corrigió ningún defecto del sistema durante la simulación: el objetivo era medir esta versión, no mejorarla.</w:t>
      </w:r>
    </w:p>
    <w:p>
      <w:pPr>
        <w:pStyle w:val="ListParagraph"/>
        <w:numPr>
          <w:ilvl w:val="0"/>
          <w:numId w:val="2"/>
        </w:numPr>
        <w:spacing w:after="70" w:line="278"/>
      </w:pPr>
      <w:r>
        <w:rPr>
          <w:rFonts w:ascii="Calibri" w:cs="Calibri" w:eastAsia="Calibri" w:hAnsi="Calibri"/>
          <w:color w:val="3A3733"/>
          <w:sz w:val="20"/>
          <w:szCs w:val="20"/>
        </w:rPr>
        <w:t xml:space="preserve">No se escribió en la base por fuera del sistema, salvo la carga inicial del esquema.</w:t>
      </w:r>
    </w:p>
    <w:p>
      <w:pPr>
        <w:pStyle w:val="ListParagraph"/>
        <w:numPr>
          <w:ilvl w:val="0"/>
          <w:numId w:val="2"/>
        </w:numPr>
        <w:spacing w:after="70" w:line="278"/>
      </w:pPr>
      <w:r>
        <w:rPr>
          <w:rFonts w:ascii="Calibri" w:cs="Calibri" w:eastAsia="Calibri" w:hAnsi="Calibri"/>
          <w:color w:val="3A3733"/>
          <w:sz w:val="20"/>
          <w:szCs w:val="20"/>
        </w:rPr>
        <w:t xml:space="preserve">No se enviaron correos reales: el entorno corrió con MAIL_MAILER=log, así que los avisos se generaron y despacharon, pero quedaron en el registro.</w:t>
      </w:r>
    </w:p>
    <w:p>
      <w:pPr>
        <w:pStyle w:val="ListParagraph"/>
        <w:numPr>
          <w:ilvl w:val="0"/>
          <w:numId w:val="2"/>
        </w:numPr>
        <w:spacing w:after="70" w:line="278"/>
      </w:pPr>
      <w:r>
        <w:rPr>
          <w:rFonts w:ascii="Calibri" w:cs="Calibri" w:eastAsia="Calibri" w:hAnsi="Calibri"/>
          <w:color w:val="3A3733"/>
          <w:sz w:val="20"/>
          <w:szCs w:val="20"/>
        </w:rPr>
        <w:t xml:space="preserve">No se declaró ningún comprobante ante la DNIT: el Automatizador SIFEN local trabaja en modo de prueba.</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3. Cobertura funcional</w:t>
      </w:r>
    </w:p>
    <w:p>
      <w:pPr>
        <w:spacing w:after="110" w:before="0" w:line="278"/>
      </w:pPr>
      <w:r>
        <w:rPr>
          <w:rFonts w:ascii="Calibri" w:cs="Calibri" w:eastAsia="Calibri" w:hAnsi="Calibri"/>
          <w:b w:val="false"/>
          <w:bCs w:val="false"/>
          <w:i w:val="false"/>
          <w:iCs w:val="false"/>
          <w:color w:val="3A3733"/>
          <w:sz w:val="20"/>
          <w:szCs w:val="20"/>
        </w:rPr>
        <w:t xml:space="preserve">Cada fila sale de las rutas que la simulación pidió de verdad. «Rutas» es cuántas rutas distintas del módulo se ejercitaron; PASS son comprobaciones de invariantes superadas dentro de ese módulo.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900"/>
        <w:gridCol w:w="900"/>
        <w:gridCol w:w="1300"/>
        <w:gridCol w:w="900"/>
        <w:gridCol w:w="900"/>
        <w:gridCol w:w="900"/>
        <w:gridCol w:w="1220"/>
      </w:tblGrid>
      <w:tr>
        <w:trPr>
          <w:tblHeader/>
        </w:trPr>
        <w:tc>
          <w:tcPr>
            <w:tcW w:type="dxa" w:w="29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Módulo</w:t>
            </w:r>
          </w:p>
        </w:tc>
        <w:tc>
          <w:tcPr>
            <w:tcW w:type="dxa" w:w="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Rutas</w:t>
            </w:r>
          </w:p>
        </w:tc>
        <w:tc>
          <w:tcPr>
            <w:tcW w:type="dxa" w:w="13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Peticiones</w:t>
            </w:r>
          </w:p>
        </w:tc>
        <w:tc>
          <w:tcPr>
            <w:tcW w:type="dxa" w:w="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PASS</w:t>
            </w:r>
          </w:p>
        </w:tc>
        <w:tc>
          <w:tcPr>
            <w:tcW w:type="dxa" w:w="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FAIL</w:t>
            </w:r>
          </w:p>
        </w:tc>
        <w:tc>
          <w:tcPr>
            <w:tcW w:type="dxa" w:w="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WARN</w:t>
            </w:r>
          </w:p>
        </w:tc>
        <w:tc>
          <w:tcPr>
            <w:tcW w:type="dxa" w:w="12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HTTP 5xx</w:t>
            </w:r>
          </w:p>
        </w:tc>
      </w:tr>
      <w:tr>
        <w:tc>
          <w:tcPr>
            <w:tcW w:type="dxa" w:w="2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Acceso y cuenta</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1.590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y agenda</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11</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2.498</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33</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Clientes y fidelización</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8</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99</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17</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8A6C1E"/>
                <w:sz w:val="17"/>
                <w:szCs w:val="17"/>
              </w:rPr>
              <w:t xml:space="preserve">1</w:t>
            </w:r>
          </w:p>
        </w:tc>
        <w:tc>
          <w:tcPr>
            <w:tcW w:type="dxa" w:w="12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Integridad transversal</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2</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Inventario</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10</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406</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10</w:t>
            </w:r>
          </w:p>
        </w:tc>
        <w:tc>
          <w:tcPr>
            <w:tcW w:type="dxa" w:w="900"/>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1</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8A6C1E"/>
                <w:sz w:val="17"/>
                <w:szCs w:val="17"/>
              </w:rPr>
              <w:t xml:space="preserve">1</w:t>
            </w:r>
          </w:p>
        </w:tc>
        <w:tc>
          <w:tcPr>
            <w:tcW w:type="dxa" w:w="1220"/>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7</w:t>
            </w:r>
          </w:p>
        </w:tc>
      </w:tr>
      <w:tr>
        <w:tc>
          <w:tcPr>
            <w:tcW w:type="dxa" w:w="2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Otros</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532</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32</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2</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Panel</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613</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8A6C1E"/>
                <w:sz w:val="17"/>
                <w:szCs w:val="17"/>
              </w:rPr>
              <w:t xml:space="preserve">1</w:t>
            </w:r>
          </w:p>
        </w:tc>
        <w:tc>
          <w:tcPr>
            <w:tcW w:type="dxa" w:w="12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Portal de la clienta</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11</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88</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Reportes</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14</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6</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Seguridad</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14</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644</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81</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Servicios y descuentos</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7</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33</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r>
        <w:tc>
          <w:tcPr>
            <w:tcW w:type="dxa" w:w="29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Tesorería (facturación y caja)</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20</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1.232</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76</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4</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c>
          <w:tcPr>
            <w:tcW w:type="dxa" w:w="1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0</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«No verificado» no aparece como columna porque se registra por función, no por módulo: la lista completa está en la sección 16.</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4. Estadísticas generales</w:t>
      </w:r>
    </w:p>
    <w:p>
      <w:pPr>
        <w:pStyle w:val="Heading2"/>
        <w:spacing w:after="120" w:before="270"/>
      </w:pPr>
      <w:r>
        <w:rPr>
          <w:rFonts w:ascii="Calibri" w:cs="Calibri" w:eastAsia="Calibri" w:hAnsi="Calibri"/>
          <w:b/>
          <w:bCs/>
          <w:color w:val="A35A21"/>
          <w:sz w:val="23"/>
          <w:szCs w:val="23"/>
        </w:rPr>
        <w:t xml:space="preserve">4.1 Volumen y resultado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600"/>
        <w:gridCol w:w="3420"/>
      </w:tblGrid>
      <w:tr>
        <w:trPr>
          <w:tblHeader/>
        </w:trPr>
        <w:tc>
          <w:tcPr>
            <w:tcW w:type="dxa" w:w="5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8"/>
                <w:szCs w:val="18"/>
              </w:rPr>
              <w:t xml:space="preserve">Concepto</w:t>
            </w:r>
          </w:p>
        </w:tc>
        <w:tc>
          <w:tcPr>
            <w:tcW w:type="dxa" w:w="34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Cantidad</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Peticiones HTTP ejecutadas</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7.749</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Comprobaciones de invariantes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279</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PASS (comprobación superada)</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255</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FAIL (defectos de severidad Crítica o Alta)</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8"/>
                <w:szCs w:val="18"/>
              </w:rPr>
              <w:t xml:space="preserve">3</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WARN (severidad Media o Baja)</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8A6C1E"/>
                <w:sz w:val="18"/>
                <w:szCs w:val="18"/>
              </w:rPr>
              <w:t xml:space="preserve">3</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NO VERIFICADO (funciones sin poder probar)</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8"/>
                <w:szCs w:val="18"/>
              </w:rPr>
              <w:t xml:space="preserve">7</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Porcentaje de éxito sobre comprobaciones</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91,4 %</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Ocurrencias de incidencia registradas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24</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Usuarios distintos utilizados</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14</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Escenarios de concurrencia ejecutados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23</w:t>
            </w:r>
          </w:p>
        </w:tc>
      </w:tr>
    </w:tbl>
    <w:p>
      <w:pPr>
        <w:pStyle w:val="Heading2"/>
        <w:spacing w:after="120" w:before="270"/>
      </w:pPr>
      <w:r>
        <w:rPr>
          <w:rFonts w:ascii="Calibri" w:cs="Calibri" w:eastAsia="Calibri" w:hAnsi="Calibri"/>
          <w:b/>
          <w:bCs/>
          <w:color w:val="A35A21"/>
          <w:sz w:val="23"/>
          <w:szCs w:val="23"/>
        </w:rPr>
        <w:t xml:space="preserve">4.2 Respuestas del servidor</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1500"/>
        <w:gridCol w:w="1300"/>
        <w:gridCol w:w="6220"/>
      </w:tblGrid>
      <w:tr>
        <w:trPr>
          <w:tblHeader/>
        </w:trPr>
        <w:tc>
          <w:tcPr>
            <w:tcW w:type="dxa" w:w="15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Código HTTP</w:t>
            </w:r>
          </w:p>
        </w:tc>
        <w:tc>
          <w:tcPr>
            <w:tcW w:type="dxa" w:w="13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Veces</w:t>
            </w:r>
          </w:p>
        </w:tc>
        <w:tc>
          <w:tcPr>
            <w:tcW w:type="dxa" w:w="62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Qué significa</w:t>
            </w:r>
          </w:p>
        </w:tc>
      </w:tr>
      <w:tr>
        <w:tc>
          <w:tcPr>
            <w:tcW w:type="dxa" w:w="15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200</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3.916</w:t>
            </w:r>
          </w:p>
        </w:tc>
        <w:tc>
          <w:tcPr>
            <w:tcW w:type="dxa" w:w="6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Pantalla dibujada correctamente</w:t>
            </w:r>
          </w:p>
        </w:tc>
      </w:tr>
      <w:tr>
        <w:tc>
          <w:tcPr>
            <w:tcW w:type="dxa" w:w="15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302</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3.725</w:t>
            </w:r>
          </w:p>
        </w:tc>
        <w:tc>
          <w:tcPr>
            <w:tcW w:type="dxa" w:w="62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Redirección tras una acción (el patrón del sistema)</w:t>
            </w:r>
          </w:p>
        </w:tc>
      </w:tr>
      <w:tr>
        <w:tc>
          <w:tcPr>
            <w:tcW w:type="dxa" w:w="15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403</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98</w:t>
            </w:r>
          </w:p>
        </w:tc>
        <w:tc>
          <w:tcPr>
            <w:tcW w:type="dxa" w:w="6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Permiso denegado por el middleware — es el guardia funcionando</w:t>
            </w:r>
          </w:p>
        </w:tc>
      </w:tr>
      <w:tr>
        <w:tc>
          <w:tcPr>
            <w:tcW w:type="dxa" w:w="15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429</w:t>
            </w:r>
          </w:p>
        </w:tc>
        <w:tc>
          <w:tcPr>
            <w:tcW w:type="dxa" w:w="13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w:t>
            </w:r>
          </w:p>
        </w:tc>
        <w:tc>
          <w:tcPr>
            <w:tcW w:type="dxa" w:w="62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Limitador de peticiones (fuerza bruta bloqueada)</w:t>
            </w:r>
          </w:p>
        </w:tc>
      </w:tr>
      <w:tr>
        <w:tc>
          <w:tcPr>
            <w:tcW w:type="dxa" w:w="1500"/>
            <w:tcMar>
              <w:top w:type="dxa" w:w="68"/>
              <w:left w:type="dxa" w:w="110"/>
              <w:bottom w:type="dxa" w:w="68"/>
              <w:right w:type="dxa" w:w="110"/>
            </w:tcMar>
          </w:tcPr>
          <w:p>
            <w:pPr>
              <w:spacing w:after="0" w:line="242"/>
              <w:jc w:val="left"/>
            </w:pPr>
            <w:r>
              <w:rPr>
                <w:rFonts w:ascii="Calibri" w:cs="Calibri" w:eastAsia="Calibri" w:hAnsi="Calibri"/>
                <w:b/>
                <w:bCs/>
                <w:color w:val="993535"/>
                <w:sz w:val="17"/>
                <w:szCs w:val="17"/>
              </w:rPr>
              <w:t xml:space="preserve">500</w:t>
            </w:r>
          </w:p>
        </w:tc>
        <w:tc>
          <w:tcPr>
            <w:tcW w:type="dxa" w:w="1300"/>
            <w:tcMar>
              <w:top w:type="dxa" w:w="68"/>
              <w:left w:type="dxa" w:w="110"/>
              <w:bottom w:type="dxa" w:w="68"/>
              <w:right w:type="dxa" w:w="110"/>
            </w:tcMar>
          </w:tcPr>
          <w:p>
            <w:pPr>
              <w:spacing w:after="0" w:line="242"/>
              <w:jc w:val="center"/>
            </w:pPr>
            <w:r>
              <w:rPr>
                <w:rFonts w:ascii="Calibri" w:cs="Calibri" w:eastAsia="Calibri" w:hAnsi="Calibri"/>
                <w:b w:val="false"/>
                <w:bCs w:val="false"/>
                <w:color w:val="993535"/>
                <w:sz w:val="17"/>
                <w:szCs w:val="17"/>
              </w:rPr>
              <w:t xml:space="preserve">7</w:t>
            </w:r>
          </w:p>
        </w:tc>
        <w:tc>
          <w:tcPr>
            <w:tcW w:type="dxa" w:w="6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Error del servidor</w:t>
            </w:r>
          </w:p>
        </w:tc>
      </w:tr>
    </w:tbl>
    <w:p>
      <w:pPr>
        <w:pStyle w:val="Heading2"/>
        <w:spacing w:after="120" w:before="270"/>
      </w:pPr>
      <w:r>
        <w:rPr>
          <w:rFonts w:ascii="Calibri" w:cs="Calibri" w:eastAsia="Calibri" w:hAnsi="Calibri"/>
          <w:b/>
          <w:bCs/>
          <w:color w:val="A35A21"/>
          <w:sz w:val="23"/>
          <w:szCs w:val="23"/>
        </w:rPr>
        <w:t xml:space="preserve">4.3 Reparto por usuario</w:t>
      </w:r>
    </w:p>
    <w:p>
      <w:pPr>
        <w:spacing w:after="110" w:before="0" w:line="278"/>
      </w:pPr>
      <w:r>
        <w:rPr>
          <w:rFonts w:ascii="Calibri" w:cs="Calibri" w:eastAsia="Calibri" w:hAnsi="Calibri"/>
          <w:b w:val="false"/>
          <w:bCs w:val="false"/>
          <w:i w:val="false"/>
          <w:iCs w:val="false"/>
          <w:color w:val="3A3733"/>
          <w:sz w:val="20"/>
          <w:szCs w:val="20"/>
        </w:rPr>
        <w:t xml:space="preserve">Cada cuenta hizo únicamente lo que su rol le permite; los intentos de salirse de ese alcance se cuentan en la sección 11.</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400"/>
        <w:gridCol w:w="4200"/>
        <w:gridCol w:w="2420"/>
      </w:tblGrid>
      <w:tr>
        <w:trPr>
          <w:tblHeader/>
        </w:trPr>
        <w:tc>
          <w:tcPr>
            <w:tcW w:type="dxa" w:w="24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Cuenta</w:t>
            </w:r>
          </w:p>
        </w:tc>
        <w:tc>
          <w:tcPr>
            <w:tcW w:type="dxa" w:w="42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Rol</w:t>
            </w:r>
          </w:p>
        </w:tc>
        <w:tc>
          <w:tcPr>
            <w:tcW w:type="dxa" w:w="24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Peticiones</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recepcion</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Asistente administrativo</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5.004</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marta</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Profesional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773</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admin</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Administrador</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689</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rocio</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Profesional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301</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sofia</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Profesional</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245</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lucia</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Profesional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213</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karen</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Profesional</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205</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noelia</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122</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cliente</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49</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clienta5</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30</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clienta15</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30</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clienta26</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28</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anonimo</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Sin sesión</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27</w:t>
            </w:r>
          </w:p>
        </w:tc>
      </w:tr>
      <w:tr>
        <w:tc>
          <w:tcPr>
            <w:tcW w:type="dxa" w:w="24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fuerzabruta</w:t>
            </w:r>
          </w:p>
        </w:tc>
        <w:tc>
          <w:tcPr>
            <w:tcW w:type="dxa" w:w="4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18</w:t>
            </w:r>
          </w:p>
        </w:tc>
      </w:tr>
      <w:tr>
        <w:tc>
          <w:tcPr>
            <w:tcW w:type="dxa" w:w="2400"/>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intruso</w:t>
            </w:r>
          </w:p>
        </w:tc>
        <w:tc>
          <w:tcPr>
            <w:tcW w:type="dxa" w:w="4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(portal)</w:t>
            </w:r>
          </w:p>
        </w:tc>
        <w:tc>
          <w:tcPr>
            <w:tcW w:type="dxa" w:w="2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15</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5. Evolución de los 30 días</w:t>
      </w:r>
    </w:p>
    <w:p>
      <w:pPr>
        <w:spacing w:after="110" w:before="0" w:line="278"/>
      </w:pPr>
      <w:r>
        <w:rPr>
          <w:rFonts w:ascii="Calibri" w:cs="Calibri" w:eastAsia="Calibri" w:hAnsi="Calibri"/>
          <w:b w:val="false"/>
          <w:bCs w:val="false"/>
          <w:i w:val="false"/>
          <w:iCs w:val="false"/>
          <w:color w:val="3A3733"/>
          <w:sz w:val="20"/>
          <w:szCs w:val="20"/>
        </w:rPr>
        <w:t xml:space="preserve">La actividad no es plana: la curva semanal, los dos picos de temporada y los días flojos se ven en los gráficos, que salen de la base y no del guion.</w:t>
      </w:r>
    </w:p>
    <w:p>
      <w:pPr>
        <w:pStyle w:val="Heading2"/>
        <w:spacing w:after="120" w:before="270"/>
      </w:pPr>
      <w:r>
        <w:rPr>
          <w:rFonts w:ascii="Calibri" w:cs="Calibri" w:eastAsia="Calibri" w:hAnsi="Calibri"/>
          <w:b/>
          <w:bCs/>
          <w:color w:val="A35A21"/>
          <w:sz w:val="23"/>
          <w:szCs w:val="23"/>
        </w:rPr>
        <w:t xml:space="preserve">5.1 Citas</w:t>
      </w:r>
    </w:p>
    <w:p>
      <w:pPr>
        <w:spacing w:after="50" w:before="130"/>
        <w:jc w:val="center"/>
      </w:pPr>
      <w:r>
        <w:drawing>
          <wp:inline distT="0" distB="0" distL="0" distR="0">
            <wp:extent cx="5905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81200"/>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Citas agendadas y atendidas por día, con las canceladas y ausentes superpuestas.</w:t>
      </w:r>
    </w:p>
    <w:p>
      <w:pPr>
        <w:pStyle w:val="Heading2"/>
        <w:spacing w:after="120" w:before="270"/>
      </w:pPr>
      <w:r>
        <w:rPr>
          <w:rFonts w:ascii="Calibri" w:cs="Calibri" w:eastAsia="Calibri" w:hAnsi="Calibri"/>
          <w:b/>
          <w:bCs/>
          <w:color w:val="A35A21"/>
          <w:sz w:val="23"/>
          <w:szCs w:val="23"/>
        </w:rPr>
        <w:t xml:space="preserve">5.2 Facturación y cobranza</w:t>
      </w:r>
    </w:p>
    <w:p>
      <w:pPr>
        <w:spacing w:after="50" w:before="130"/>
        <w:jc w:val="center"/>
      </w:pPr>
      <w:r>
        <w:drawing>
          <wp:inline distT="0" distB="0" distL="0" distR="0">
            <wp:extent cx="5905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81200"/>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Facturado y cobrado por día; la línea punteada es el acumulado del período (eje derecho).</w:t>
      </w:r>
    </w:p>
    <w:p>
      <w:pPr>
        <w:pStyle w:val="Heading2"/>
        <w:spacing w:after="120" w:before="270"/>
      </w:pPr>
      <w:r>
        <w:rPr>
          <w:rFonts w:ascii="Calibri" w:cs="Calibri" w:eastAsia="Calibri" w:hAnsi="Calibri"/>
          <w:b/>
          <w:bCs/>
          <w:color w:val="A35A21"/>
          <w:sz w:val="23"/>
          <w:szCs w:val="23"/>
        </w:rPr>
        <w:t xml:space="preserve">5.3 Cómo terminaron las citas</w:t>
      </w:r>
    </w:p>
    <w:p>
      <w:pPr>
        <w:spacing w:after="50" w:before="130"/>
        <w:jc w:val="center"/>
      </w:pPr>
      <w:r>
        <w:drawing>
          <wp:inline distT="0" distB="0" distL="0" distR="0">
            <wp:extent cx="40957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76475"/>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Estado final de las 353 citas del período.</w:t>
      </w:r>
    </w:p>
    <w:p>
      <w:pPr>
        <w:pStyle w:val="Heading2"/>
        <w:spacing w:after="120" w:before="270"/>
      </w:pPr>
      <w:r>
        <w:rPr>
          <w:rFonts w:ascii="Calibri" w:cs="Calibri" w:eastAsia="Calibri" w:hAnsi="Calibri"/>
          <w:b/>
          <w:bCs/>
          <w:color w:val="A35A21"/>
          <w:sz w:val="23"/>
          <w:szCs w:val="23"/>
        </w:rPr>
        <w:t xml:space="preserve">5.4 Clientes e inventario</w:t>
      </w:r>
    </w:p>
    <w:p>
      <w:pPr>
        <w:spacing w:after="50" w:before="130"/>
        <w:jc w:val="center"/>
      </w:pPr>
      <w:r>
        <w:drawing>
          <wp:inline distT="0" distB="0" distL="0" distR="0">
            <wp:extent cx="5905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790700"/>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La cartera de clientas creciendo, con el movimiento de inventario de cada día por detrás.</w:t>
      </w:r>
    </w:p>
    <w:p>
      <w:pPr>
        <w:pStyle w:val="Heading2"/>
        <w:spacing w:after="120" w:before="270"/>
      </w:pPr>
      <w:r>
        <w:rPr>
          <w:rFonts w:ascii="Calibri" w:cs="Calibri" w:eastAsia="Calibri" w:hAnsi="Calibri"/>
          <w:b/>
          <w:bCs/>
          <w:color w:val="A35A21"/>
          <w:sz w:val="23"/>
          <w:szCs w:val="23"/>
        </w:rPr>
        <w:t xml:space="preserve">5.5 Arqueo diario</w:t>
      </w:r>
    </w:p>
    <w:p>
      <w:pPr>
        <w:spacing w:after="50" w:before="130"/>
        <w:jc w:val="center"/>
      </w:pPr>
      <w:r>
        <w:drawing>
          <wp:inline distT="0" distB="0" distL="0" distR="0">
            <wp:extent cx="5905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790700"/>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Saldo en efectivo al cierre de cada caja, contra el monto con el que abrió.</w:t>
      </w:r>
    </w:p>
    <w:p>
      <w:pPr>
        <w:pStyle w:val="Heading2"/>
        <w:spacing w:after="120" w:before="270"/>
      </w:pPr>
      <w:r>
        <w:rPr>
          <w:rFonts w:ascii="Calibri" w:cs="Calibri" w:eastAsia="Calibri" w:hAnsi="Calibri"/>
          <w:b/>
          <w:bCs/>
          <w:color w:val="A35A21"/>
          <w:sz w:val="23"/>
          <w:szCs w:val="23"/>
        </w:rPr>
        <w:t xml:space="preserve">5.6 Rendimiento del equipo</w:t>
      </w:r>
    </w:p>
    <w:p>
      <w:pPr>
        <w:spacing w:after="50" w:before="130"/>
        <w:jc w:val="center"/>
      </w:pPr>
      <w:r>
        <w:drawing>
          <wp:inline distT="0" distB="0" distL="0" distR="0">
            <wp:extent cx="5905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857375"/>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Lo que cada profesional generó para el salón, contra la comisión que le corresponde.</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6. Pruebas de concurrencia</w:t>
      </w:r>
    </w:p>
    <w:p>
      <w:pPr>
        <w:spacing w:after="110" w:before="0" w:line="278"/>
      </w:pPr>
      <w:r>
        <w:rPr>
          <w:rFonts w:ascii="Calibri" w:cs="Calibri" w:eastAsia="Calibri" w:hAnsi="Calibri"/>
          <w:b w:val="false"/>
          <w:bCs w:val="false"/>
          <w:i w:val="false"/>
          <w:iCs w:val="false"/>
          <w:color w:val="3A3733"/>
          <w:sz w:val="20"/>
          <w:szCs w:val="20"/>
        </w:rPr>
        <w:t xml:space="preserve">Cada escenario lanza procesos separados que largan en el mismo instante contra el mismo recurso. La columna «Aceptadas» dice cuántos de esos procesos recibieron una respuesta de éxito.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500"/>
        <w:gridCol w:w="1050"/>
        <w:gridCol w:w="1100"/>
        <w:gridCol w:w="3370"/>
      </w:tblGrid>
      <w:tr>
        <w:trPr>
          <w:tblHeader/>
        </w:trPr>
        <w:tc>
          <w:tcPr>
            <w:tcW w:type="dxa" w:w="35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Escenario</w:t>
            </w:r>
          </w:p>
        </w:tc>
        <w:tc>
          <w:tcPr>
            <w:tcW w:type="dxa" w:w="105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Procesos</w:t>
            </w:r>
          </w:p>
        </w:tc>
        <w:tc>
          <w:tcPr>
            <w:tcW w:type="dxa" w:w="11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Aceptadas</w:t>
            </w:r>
          </w:p>
        </w:tc>
        <w:tc>
          <w:tcPr>
            <w:tcW w:type="dxa" w:w="337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Resultado observado</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Cinco reservas simultáneas sobre el mismo hueco</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5</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cita(s) en la franja</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salidas simultáneas del mismo stock</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stock final 0,5589</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altas simultáneas del mismo cliente (misma cédula)</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persona(s), 1 cliente(s)</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Cancelar y reprogramar la misma cita a la vez</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estado final 3</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Anular el mismo cobro dos veces a la vez</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0 fila(s) de auditoría</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Cinco reservas simultáneas sobre el mismo hueco</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5</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cita(s) en la franja</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cobros simultáneos de la misma factura</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saldo final Gs. 0</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salidas simultáneas del mismo stock</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stock final 0</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altas simultáneas del mismo cliente (misma cédula)</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persona(s), 1 cliente(s)</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Cancelar y reprogramar la misma cita a la vez</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estado final 3</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Anular el mismo cobro dos veces a la vez</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0 fila(s) de auditoría</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Cinco reservas simultáneas sobre el mismo hueco</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5</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cita(s) en la franja</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cobros simultáneos de la misma factura</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saldo final Gs. 0</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salidas simultáneas del mismo stock</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stock final 0</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altas simultáneas del mismo cliente (misma cédula)</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persona(s), 1 cliente(s)</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Cancelar y reprogramar la misma cita a la vez</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estado final 3</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Anular el mismo cobro dos veces a la vez</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0 fila(s) de auditoría</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Cinco reservas simultáneas sobre el mismo hueco</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5</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cita(s) en la franja</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cobros simultáneos de la misma factura</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saldo final Gs. 0</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salidas simultáneas del mismo stock</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stock final 0</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Tres altas simultáneas del mismo cliente (misma cédula)</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 persona(s), 1 cliente(s)</w:t>
            </w:r>
          </w:p>
        </w:tc>
      </w:tr>
      <w:tr>
        <w:tc>
          <w:tcPr>
            <w:tcW w:type="dxa" w:w="35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Cancelar y reprogramar la misma cita a la vez</w:t>
            </w:r>
          </w:p>
        </w:tc>
        <w:tc>
          <w:tcPr>
            <w:tcW w:type="dxa" w:w="10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estado final 3</w:t>
            </w:r>
          </w:p>
        </w:tc>
      </w:tr>
      <w:tr>
        <w:tc>
          <w:tcPr>
            <w:tcW w:type="dxa" w:w="35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Anular el mismo cobro dos veces a la vez</w:t>
            </w:r>
          </w:p>
        </w:tc>
        <w:tc>
          <w:tcPr>
            <w:tcW w:type="dxa" w:w="10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w:t>
            </w:r>
          </w:p>
        </w:tc>
        <w:tc>
          <w:tcPr>
            <w:tcW w:type="dxa" w:w="11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337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0 fila(s) de auditoría</w:t>
            </w:r>
          </w:p>
        </w:tc>
      </w:tr>
    </w:tbl>
    <w:p>
      <w:pPr>
        <w:pStyle w:val="Heading2"/>
        <w:spacing w:after="120" w:before="270"/>
      </w:pPr>
      <w:r>
        <w:rPr>
          <w:rFonts w:ascii="Calibri" w:cs="Calibri" w:eastAsia="Calibri" w:hAnsi="Calibri"/>
          <w:b/>
          <w:bCs/>
          <w:color w:val="A35A21"/>
          <w:sz w:val="23"/>
          <w:szCs w:val="23"/>
        </w:rPr>
        <w:t xml:space="preserve">6.1 Qué protege cada carrera</w:t>
      </w:r>
    </w:p>
    <w:p>
      <w:pPr>
        <w:pStyle w:val="ListParagraph"/>
        <w:numPr>
          <w:ilvl w:val="0"/>
          <w:numId w:val="2"/>
        </w:numPr>
        <w:spacing w:after="70" w:line="278"/>
      </w:pPr>
      <w:r>
        <w:rPr>
          <w:rFonts w:ascii="Calibri" w:cs="Calibri" w:eastAsia="Calibri" w:hAnsi="Calibri"/>
          <w:b/>
          <w:bCs/>
          <w:color w:val="3A3733"/>
          <w:sz w:val="20"/>
          <w:szCs w:val="20"/>
        </w:rPr>
        <w:t xml:space="preserve">Agenda:</w:t>
      </w:r>
      <w:r>
        <w:rPr>
          <w:rFonts w:ascii="Calibri" w:cs="Calibri" w:eastAsia="Calibri" w:hAnsi="Calibri"/>
          <w:color w:val="3A3733"/>
          <w:sz w:val="20"/>
          <w:szCs w:val="20"/>
        </w:rPr>
        <w:t xml:space="preserve"> sp_agendar_cita toma un candado sobre la fila del profesional (SELECT … FOR UPDATE) antes de consultar la disponibilidad, dentro de la transacción que abre Agenda::agendar().</w:t>
      </w:r>
    </w:p>
    <w:p>
      <w:pPr>
        <w:pStyle w:val="ListParagraph"/>
        <w:numPr>
          <w:ilvl w:val="0"/>
          <w:numId w:val="2"/>
        </w:numPr>
        <w:spacing w:after="70" w:line="278"/>
      </w:pPr>
      <w:r>
        <w:rPr>
          <w:rFonts w:ascii="Calibri" w:cs="Calibri" w:eastAsia="Calibri" w:hAnsi="Calibri"/>
          <w:b/>
          <w:bCs/>
          <w:color w:val="3A3733"/>
          <w:sz w:val="20"/>
          <w:szCs w:val="20"/>
        </w:rPr>
        <w:t xml:space="preserve">Cobro:</w:t>
      </w:r>
      <w:r>
        <w:rPr>
          <w:rFonts w:ascii="Calibri" w:cs="Calibri" w:eastAsia="Calibri" w:hAnsi="Calibri"/>
          <w:color w:val="3A3733"/>
          <w:sz w:val="20"/>
          <w:szCs w:val="20"/>
        </w:rPr>
        <w:t xml:space="preserve"> sp_registrar_cobro bloquea la factura antes de leerle el saldo, así que tres cobros del saldo completo no pueden pasar los tres.</w:t>
      </w:r>
    </w:p>
    <w:p>
      <w:pPr>
        <w:pStyle w:val="ListParagraph"/>
        <w:numPr>
          <w:ilvl w:val="0"/>
          <w:numId w:val="2"/>
        </w:numPr>
        <w:spacing w:after="70" w:line="278"/>
      </w:pPr>
      <w:r>
        <w:rPr>
          <w:rFonts w:ascii="Calibri" w:cs="Calibri" w:eastAsia="Calibri" w:hAnsi="Calibri"/>
          <w:b/>
          <w:bCs/>
          <w:color w:val="3A3733"/>
          <w:sz w:val="20"/>
          <w:szCs w:val="20"/>
        </w:rPr>
        <w:t xml:space="preserve">Stock:</w:t>
      </w:r>
      <w:r>
        <w:rPr>
          <w:rFonts w:ascii="Calibri" w:cs="Calibri" w:eastAsia="Calibri" w:hAnsi="Calibri"/>
          <w:color w:val="3A3733"/>
          <w:sz w:val="20"/>
          <w:szCs w:val="20"/>
        </w:rPr>
        <w:t xml:space="preserve"> el candado va sobre la fila del producto, y trg_movinv_bi rechaza la salida que dejaría el stock por debajo de cero.</w:t>
      </w:r>
    </w:p>
    <w:p>
      <w:pPr>
        <w:pStyle w:val="ListParagraph"/>
        <w:numPr>
          <w:ilvl w:val="0"/>
          <w:numId w:val="2"/>
        </w:numPr>
        <w:spacing w:after="70" w:line="278"/>
      </w:pPr>
      <w:r>
        <w:rPr>
          <w:rFonts w:ascii="Calibri" w:cs="Calibri" w:eastAsia="Calibri" w:hAnsi="Calibri"/>
          <w:b/>
          <w:bCs/>
          <w:color w:val="3A3733"/>
          <w:sz w:val="20"/>
          <w:szCs w:val="20"/>
        </w:rPr>
        <w:t xml:space="preserve">Caja:</w:t>
      </w:r>
      <w:r>
        <w:rPr>
          <w:rFonts w:ascii="Calibri" w:cs="Calibri" w:eastAsia="Calibri" w:hAnsi="Calibri"/>
          <w:color w:val="3A3733"/>
          <w:sz w:val="20"/>
          <w:szCs w:val="20"/>
        </w:rPr>
        <w:t xml:space="preserve"> trg_caja_bi impide una segunda caja abierta sin mirar de quién es, que era la condición que sobraba antes de la 7.20.0.</w:t>
      </w:r>
    </w:p>
    <w:p>
      <w:pPr>
        <w:pStyle w:val="ListParagraph"/>
        <w:numPr>
          <w:ilvl w:val="0"/>
          <w:numId w:val="2"/>
        </w:numPr>
        <w:spacing w:after="70" w:line="278"/>
      </w:pPr>
      <w:r>
        <w:rPr>
          <w:rFonts w:ascii="Calibri" w:cs="Calibri" w:eastAsia="Calibri" w:hAnsi="Calibri"/>
          <w:b/>
          <w:bCs/>
          <w:color w:val="3A3733"/>
          <w:sz w:val="20"/>
          <w:szCs w:val="20"/>
        </w:rPr>
        <w:t xml:space="preserve">Cita:</w:t>
      </w:r>
      <w:r>
        <w:rPr>
          <w:rFonts w:ascii="Calibri" w:cs="Calibri" w:eastAsia="Calibri" w:hAnsi="Calibri"/>
          <w:color w:val="3A3733"/>
          <w:sz w:val="20"/>
          <w:szCs w:val="20"/>
        </w:rPr>
        <w:t xml:space="preserve"> cancelar y reprogramar toman el candado de la cita primero y miran el estado después.</w:t>
      </w:r>
    </w:p>
    <w:p>
      <w:pPr>
        <w:pStyle w:val="Heading2"/>
        <w:spacing w:after="120" w:before="270"/>
      </w:pPr>
      <w:r>
        <w:rPr>
          <w:rFonts w:ascii="Calibri" w:cs="Calibri" w:eastAsia="Calibri" w:hAnsi="Calibri"/>
          <w:b/>
          <w:bCs/>
          <w:color w:val="A35A21"/>
          <w:sz w:val="23"/>
          <w:szCs w:val="23"/>
        </w:rPr>
        <w:t xml:space="preserve">6.2 Resultado</w:t>
      </w:r>
    </w:p>
    <w:p>
      <w:pPr>
        <w:spacing w:after="110" w:line="278"/>
      </w:pPr>
      <w:r>
        <w:rPr>
          <w:rFonts w:ascii="Calibri" w:cs="Calibri" w:eastAsia="Calibri" w:hAnsi="Calibri"/>
          <w:b/>
          <w:bCs/>
          <w:color w:val="2F5D2F"/>
          <w:sz w:val="20"/>
          <w:szCs w:val="20"/>
        </w:rPr>
        <w:t xml:space="preserve">Ninguna carrera produjo una anomalía.</w:t>
      </w:r>
      <w:r>
        <w:rPr>
          <w:rFonts w:ascii="Calibri" w:cs="Calibri" w:eastAsia="Calibri" w:hAnsi="Calibri"/>
          <w:color w:val="3A3733"/>
          <w:sz w:val="20"/>
          <w:szCs w:val="20"/>
        </w:rPr>
        <w:t xml:space="preserve"> No hubo doble reserva, ni doble comprobante sobre la misma cita, ni sobrecobro, ni stock negativo, ni cajas duplicadas, ni clientes duplicados por cédula.</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7. Integridad de datos</w:t>
      </w:r>
    </w:p>
    <w:p>
      <w:pPr>
        <w:spacing w:after="110" w:before="0" w:line="278"/>
      </w:pPr>
      <w:r>
        <w:rPr>
          <w:rFonts w:ascii="Calibri" w:cs="Calibri" w:eastAsia="Calibri" w:hAnsi="Calibri"/>
          <w:b w:val="false"/>
          <w:bCs w:val="false"/>
          <w:i w:val="false"/>
          <w:iCs w:val="false"/>
          <w:color w:val="3A3733"/>
          <w:sz w:val="20"/>
          <w:szCs w:val="20"/>
        </w:rPr>
        <w:t xml:space="preserve">Se buscaron registros huérfanos, duplicados, relaciones rotas y estados imposibles recorriendo cada relación del modelo.</w:t>
      </w:r>
    </w:p>
    <w:p>
      <w:pPr>
        <w:pStyle w:val="Heading2"/>
        <w:spacing w:after="120" w:before="270"/>
      </w:pPr>
      <w:r>
        <w:rPr>
          <w:rFonts w:ascii="Calibri" w:cs="Calibri" w:eastAsia="Calibri" w:hAnsi="Calibri"/>
          <w:b/>
          <w:bCs/>
          <w:color w:val="A35A21"/>
          <w:sz w:val="23"/>
          <w:szCs w:val="23"/>
        </w:rPr>
        <w:t xml:space="preserve">7.1 Registros huérfanos y duplicados</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600"/>
        <w:gridCol w:w="1700"/>
        <w:gridCol w:w="1720"/>
      </w:tblGrid>
      <w:tr>
        <w:trPr>
          <w:tblHeader/>
        </w:trPr>
        <w:tc>
          <w:tcPr>
            <w:tcW w:type="dxa" w:w="5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Comprobación</w:t>
            </w:r>
          </w:p>
        </w:tc>
        <w:tc>
          <w:tcPr>
            <w:tcW w:type="dxa" w:w="17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Filas</w:t>
            </w:r>
          </w:p>
        </w:tc>
        <w:tc>
          <w:tcPr>
            <w:tcW w:type="dxa" w:w="17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Resultado</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 sin cliente</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 sin usuario</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 servicio sin cita</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servicio realizado sin cita</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producto utilizado sin sr</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detalle factura sin factura</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cobro sin destino</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cobro con dos destinos</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factura sin timbrado</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nota de credito sin origen</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movimiento sin producto</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auditoria sin usuario</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 sin persona</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persona duplicada por cedula</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clientes duplicados por email</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bl>
    <w:p>
      <w:pPr>
        <w:pStyle w:val="Heading2"/>
        <w:spacing w:after="120" w:before="270"/>
      </w:pPr>
      <w:r>
        <w:rPr>
          <w:rFonts w:ascii="Calibri" w:cs="Calibri" w:eastAsia="Calibri" w:hAnsi="Calibri"/>
          <w:b/>
          <w:bCs/>
          <w:color w:val="A35A21"/>
          <w:sz w:val="23"/>
          <w:szCs w:val="23"/>
        </w:rPr>
        <w:t xml:space="preserve">7.2 Coherencia temporal</w:t>
      </w:r>
    </w:p>
    <w:p>
      <w:pPr>
        <w:spacing w:after="110" w:before="0" w:line="278"/>
      </w:pPr>
      <w:r>
        <w:rPr>
          <w:rFonts w:ascii="Calibri" w:cs="Calibri" w:eastAsia="Calibri" w:hAnsi="Calibri"/>
          <w:b w:val="false"/>
          <w:bCs w:val="false"/>
          <w:i w:val="false"/>
          <w:iCs w:val="false"/>
          <w:color w:val="3A3733"/>
          <w:sz w:val="20"/>
          <w:szCs w:val="20"/>
        </w:rPr>
        <w:t xml:space="preserve">Ninguna consecuencia puede ser anterior a su causa: una factura antes de su cita, un cobro antes de la factura, un cierre de caja antes de la apertura.</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600"/>
        <w:gridCol w:w="1700"/>
        <w:gridCol w:w="1720"/>
      </w:tblGrid>
      <w:tr>
        <w:trPr>
          <w:tblHeader/>
        </w:trPr>
        <w:tc>
          <w:tcPr>
            <w:tcW w:type="dxa" w:w="5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Comprobación</w:t>
            </w:r>
          </w:p>
        </w:tc>
        <w:tc>
          <w:tcPr>
            <w:tcW w:type="dxa" w:w="17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Filas</w:t>
            </w:r>
          </w:p>
        </w:tc>
        <w:tc>
          <w:tcPr>
            <w:tcW w:type="dxa" w:w="17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Resultado</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factura anterior a su cita</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cobro anterior a su factura</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cobro fuera de la caja</w:t>
            </w:r>
          </w:p>
        </w:tc>
        <w:tc>
          <w:tcPr>
            <w:tcW w:type="dxa" w:w="1700"/>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11</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FAIL</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caja cerrada antes de abrir</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2</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FAIL</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asistencia con salida antes de la entrada</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asistencia de un dia futuro</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servicio realizado antes de la cita</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auditoria en el futuro</w:t>
            </w:r>
          </w:p>
        </w:tc>
        <w:tc>
          <w:tcPr>
            <w:tcW w:type="dxa" w:w="17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movimiento de inventario en el futuro</w:t>
            </w:r>
          </w:p>
        </w:tc>
        <w:tc>
          <w:tcPr>
            <w:tcW w:type="dxa" w:w="170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7"/>
                <w:szCs w:val="17"/>
              </w:rPr>
              <w:t xml:space="preserve">0</w:t>
            </w:r>
          </w:p>
        </w:tc>
        <w:tc>
          <w:tcPr>
            <w:tcW w:type="dxa" w:w="17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bl>
    <w:p>
      <w:pPr>
        <w:pStyle w:val="Heading2"/>
        <w:spacing w:after="120" w:before="270"/>
      </w:pPr>
      <w:r>
        <w:rPr>
          <w:rFonts w:ascii="Calibri" w:cs="Calibri" w:eastAsia="Calibri" w:hAnsi="Calibri"/>
          <w:b/>
          <w:bCs/>
          <w:color w:val="A35A21"/>
          <w:sz w:val="23"/>
          <w:szCs w:val="23"/>
        </w:rPr>
        <w:t xml:space="preserve">7.3 Estados de las entidades</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200"/>
        <w:gridCol w:w="6820"/>
      </w:tblGrid>
      <w:tr>
        <w:trPr>
          <w:tblHeader/>
        </w:trPr>
        <w:tc>
          <w:tcPr>
            <w:tcW w:type="dxa" w:w="22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Entidad</w:t>
            </w:r>
          </w:p>
        </w:tc>
        <w:tc>
          <w:tcPr>
            <w:tcW w:type="dxa" w:w="6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Reparto de estados</w:t>
            </w:r>
          </w:p>
        </w:tc>
      </w:tr>
      <w:tr>
        <w:tc>
          <w:tcPr>
            <w:tcW w:type="dxa" w:w="2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Citas</w:t>
            </w:r>
          </w:p>
        </w:tc>
        <w:tc>
          <w:tcPr>
            <w:tcW w:type="dxa" w:w="68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Atendida: 188 · Atrasada: 1 · Ausente: 67 · Cancelada: 21 · Programada: 68 · Reprogramada: 8</w:t>
            </w:r>
          </w:p>
        </w:tc>
      </w:tr>
      <w:tr>
        <w:tc>
          <w:tcPr>
            <w:tcW w:type="dxa" w:w="2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Comprobantes</w:t>
            </w:r>
          </w:p>
        </w:tc>
        <w:tc>
          <w:tcPr>
            <w:tcW w:type="dxa" w:w="68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Emitida: 189</w:t>
            </w:r>
          </w:p>
        </w:tc>
      </w:tr>
      <w:tr>
        <w:tc>
          <w:tcPr>
            <w:tcW w:type="dxa" w:w="2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Tipos de comprobante</w:t>
            </w:r>
          </w:p>
        </w:tc>
        <w:tc>
          <w:tcPr>
            <w:tcW w:type="dxa" w:w="68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Comprobante de pago: 138 · Factura: 50 · Nota de credito: 1</w:t>
            </w:r>
          </w:p>
        </w:tc>
      </w:tr>
      <w:tr>
        <w:tc>
          <w:tcPr>
            <w:tcW w:type="dxa" w:w="2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Cajas</w:t>
            </w:r>
          </w:p>
        </w:tc>
        <w:tc>
          <w:tcPr>
            <w:tcW w:type="dxa" w:w="68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Abierta: 2 · Cerrada: 49</w:t>
            </w:r>
          </w:p>
        </w:tc>
      </w:tr>
      <w:tr>
        <w:tc>
          <w:tcPr>
            <w:tcW w:type="dxa" w:w="2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Notificaciones</w:t>
            </w:r>
          </w:p>
        </w:tc>
        <w:tc>
          <w:tcPr>
            <w:tcW w:type="dxa" w:w="68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ENVIADA: 640 · LEIDA: 1 · PENDIENTE: 11</w:t>
            </w:r>
          </w:p>
        </w:tc>
      </w:tr>
      <w:tr>
        <w:tc>
          <w:tcPr>
            <w:tcW w:type="dxa" w:w="2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Cobros por medio</w:t>
            </w:r>
          </w:p>
        </w:tc>
        <w:tc>
          <w:tcPr>
            <w:tcW w:type="dxa" w:w="68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Efectivo: 204 · Tarjeta de credito: 33 · Transferencia bancaria: 30</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8. Integridad de agenda</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100"/>
        <w:gridCol w:w="2000"/>
        <w:gridCol w:w="1920"/>
      </w:tblGrid>
      <w:tr>
        <w:trPr>
          <w:tblHeader/>
        </w:trPr>
        <w:tc>
          <w:tcPr>
            <w:tcW w:type="dxa" w:w="51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Comprobación</w:t>
            </w:r>
          </w:p>
        </w:tc>
        <w:tc>
          <w:tcPr>
            <w:tcW w:type="dxa" w:w="20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Resultado</w:t>
            </w:r>
          </w:p>
        </w:tc>
        <w:tc>
          <w:tcPr>
            <w:tcW w:type="dxa" w:w="19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Estado</w:t>
            </w:r>
          </w:p>
        </w:tc>
      </w:tr>
      <w:tr>
        <w:tc>
          <w:tcPr>
            <w:tcW w:type="dxa" w:w="5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Solapes en la agenda de un profesional</w:t>
            </w:r>
          </w:p>
        </w:tc>
        <w:tc>
          <w:tcPr>
            <w:tcW w:type="dxa" w:w="200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9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fuera del turno de su profesional</w:t>
            </w:r>
          </w:p>
        </w:tc>
        <w:tc>
          <w:tcPr>
            <w:tcW w:type="dxa" w:w="20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9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asignadas a personal SIN turno cargado</w:t>
            </w:r>
          </w:p>
        </w:tc>
        <w:tc>
          <w:tcPr>
            <w:tcW w:type="dxa" w:w="200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9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en domingo (salón cerrado)</w:t>
            </w:r>
          </w:p>
        </w:tc>
        <w:tc>
          <w:tcPr>
            <w:tcW w:type="dxa" w:w="20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9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Atendidas sin ningún servicio realizado</w:t>
            </w:r>
          </w:p>
        </w:tc>
        <w:tc>
          <w:tcPr>
            <w:tcW w:type="dxa" w:w="200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9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5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Servicios atribuidos al profesional equivocado</w:t>
            </w:r>
          </w:p>
        </w:tc>
        <w:tc>
          <w:tcPr>
            <w:tcW w:type="dxa" w:w="20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9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bl>
    <w:p>
      <w:pPr>
        <w:pStyle w:val="Heading2"/>
        <w:spacing w:after="120" w:before="270"/>
      </w:pPr>
      <w:r>
        <w:rPr>
          <w:rFonts w:ascii="Calibri" w:cs="Calibri" w:eastAsia="Calibri" w:hAnsi="Calibri"/>
          <w:b/>
          <w:bCs/>
          <w:color w:val="A35A21"/>
          <w:sz w:val="23"/>
          <w:szCs w:val="23"/>
        </w:rPr>
        <w:t xml:space="preserve">8.1 Cancelaciones y reprogramaciones</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4600"/>
        <w:gridCol w:w="2200"/>
        <w:gridCol w:w="2220"/>
      </w:tblGrid>
      <w:tr>
        <w:trPr>
          <w:tblHeader/>
        </w:trPr>
        <w:tc>
          <w:tcPr>
            <w:tcW w:type="dxa" w:w="4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Concepto</w:t>
            </w:r>
          </w:p>
        </w:tc>
        <w:tc>
          <w:tcPr>
            <w:tcW w:type="dxa" w:w="22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Cantidad</w:t>
            </w:r>
          </w:p>
        </w:tc>
        <w:tc>
          <w:tcPr>
            <w:tcW w:type="dxa" w:w="22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Sobre el total</w:t>
            </w:r>
          </w:p>
        </w:tc>
      </w:tr>
      <w:tr>
        <w:tc>
          <w:tcPr>
            <w:tcW w:type="dxa" w:w="4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agendadas en el período</w:t>
            </w:r>
          </w:p>
        </w:tc>
        <w:tc>
          <w:tcPr>
            <w:tcW w:type="dxa" w:w="2200"/>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353</w:t>
            </w:r>
          </w:p>
        </w:tc>
        <w:tc>
          <w:tcPr>
            <w:tcW w:type="dxa" w:w="22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100 %</w:t>
            </w:r>
          </w:p>
        </w:tc>
      </w:tr>
      <w:tr>
        <w:tc>
          <w:tcPr>
            <w:tcW w:type="dxa" w:w="4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Atendidas</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188</w:t>
            </w:r>
          </w:p>
        </w:tc>
        <w:tc>
          <w:tcPr>
            <w:tcW w:type="dxa" w:w="2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53,3 %</w:t>
            </w:r>
          </w:p>
        </w:tc>
      </w:tr>
      <w:tr>
        <w:tc>
          <w:tcPr>
            <w:tcW w:type="dxa" w:w="4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Canceladas</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21</w:t>
            </w:r>
          </w:p>
        </w:tc>
        <w:tc>
          <w:tcPr>
            <w:tcW w:type="dxa" w:w="22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5,9 %</w:t>
            </w:r>
          </w:p>
        </w:tc>
      </w:tr>
      <w:tr>
        <w:tc>
          <w:tcPr>
            <w:tcW w:type="dxa" w:w="4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Ausentes</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67</w:t>
            </w:r>
          </w:p>
        </w:tc>
        <w:tc>
          <w:tcPr>
            <w:tcW w:type="dxa" w:w="2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19,0 %</w:t>
            </w:r>
          </w:p>
        </w:tc>
      </w:tr>
      <w:tr>
        <w:tc>
          <w:tcPr>
            <w:tcW w:type="dxa" w:w="4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Atrasadas al cierre</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c>
          <w:tcPr>
            <w:tcW w:type="dxa" w:w="22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0,3 %</w:t>
            </w:r>
          </w:p>
        </w:tc>
      </w:tr>
      <w:tr>
        <w:tc>
          <w:tcPr>
            <w:tcW w:type="dxa" w:w="4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Programadas al cierre (a futuro)</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76</w:t>
            </w:r>
          </w:p>
        </w:tc>
        <w:tc>
          <w:tcPr>
            <w:tcW w:type="dxa" w:w="22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21,5 %</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9. Integridad de inventario</w:t>
      </w:r>
    </w:p>
    <w:p>
      <w:pPr>
        <w:spacing w:after="110" w:line="278"/>
      </w:pPr>
      <w:r>
        <w:rPr>
          <w:rFonts w:ascii="Calibri" w:cs="Calibri" w:eastAsia="Calibri" w:hAnsi="Calibri"/>
          <w:color w:val="3A3733"/>
          <w:sz w:val="20"/>
          <w:szCs w:val="20"/>
        </w:rPr>
        <w:t xml:space="preserve">El stock </w:t>
      </w:r>
      <w:r>
        <w:rPr>
          <w:rFonts w:ascii="Calibri" w:cs="Calibri" w:eastAsia="Calibri" w:hAnsi="Calibri"/>
          <w:b/>
          <w:bCs/>
          <w:color w:val="3A3733"/>
          <w:sz w:val="20"/>
          <w:szCs w:val="20"/>
        </w:rPr>
        <w:t xml:space="preserve">no se guarda</w:t>
      </w:r>
      <w:r>
        <w:rPr>
          <w:rFonts w:ascii="Calibri" w:cs="Calibri" w:eastAsia="Calibri" w:hAnsi="Calibri"/>
          <w:color w:val="3A3733"/>
          <w:sz w:val="20"/>
          <w:szCs w:val="20"/>
        </w:rPr>
        <w:t xml:space="preserve">: lo calcula fn_producto_stock sumando los movimientos según el signo del tipo. La comprobación recalcula esa suma por fuera y la compara.</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600"/>
        <w:gridCol w:w="3420"/>
      </w:tblGrid>
      <w:tr>
        <w:trPr>
          <w:tblHeader/>
        </w:trPr>
        <w:tc>
          <w:tcPr>
            <w:tcW w:type="dxa" w:w="5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8"/>
                <w:szCs w:val="18"/>
              </w:rPr>
              <w:t xml:space="preserve">Concepto</w:t>
            </w:r>
          </w:p>
        </w:tc>
        <w:tc>
          <w:tcPr>
            <w:tcW w:type="dxa" w:w="34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Valor</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Productos en el catálogo</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Entradas acumuladas (unidades de compra)</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1433</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Salidas acumuladas</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170,55</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Stock teórico (entradas − salidas)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1262,4476</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Stock real (fn_producto_stock)</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103,6615</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Diferencia</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8"/>
                <w:szCs w:val="18"/>
              </w:rPr>
              <w:t xml:space="preserve">1158,7861</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Productos con diferencia</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993535"/>
                <w:sz w:val="18"/>
                <w:szCs w:val="18"/>
              </w:rPr>
              <w:t xml:space="preserve">4</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Productos con stock negativo</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Consumo registrado en producto_utilizado</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107,5524</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Movimientos de consumo (tipo 2)</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107,5524</w:t>
            </w:r>
          </w:p>
        </w:tc>
      </w:tr>
    </w:tbl>
    <w:p>
      <w:pPr>
        <w:spacing w:after="50" w:before="130"/>
        <w:jc w:val="center"/>
      </w:pPr>
      <w:r>
        <w:drawing>
          <wp:inline distT="0" distB="0" distL="0" distR="0">
            <wp:extent cx="5905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181225"/>
                    </a:xfrm>
                    <a:prstGeom prst="rect">
                      <a:avLst/>
                    </a:prstGeom>
                  </pic:spPr>
                </pic:pic>
              </a:graphicData>
            </a:graphic>
          </wp:inline>
        </w:drawing>
      </w:r>
    </w:p>
    <w:p>
      <w:pPr>
        <w:spacing w:after="220"/>
        <w:jc w:val="center"/>
      </w:pPr>
      <w:r>
        <w:rPr>
          <w:rFonts w:ascii="Calibri" w:cs="Calibri" w:eastAsia="Calibri" w:hAnsi="Calibri"/>
          <w:i/>
          <w:iCs/>
          <w:color w:val="6F6B65"/>
          <w:sz w:val="16"/>
          <w:szCs w:val="16"/>
        </w:rPr>
        <w:t xml:space="preserve">Los doce productos de mayor rotación: recalculado contra lo que dice el sistema.</w:t>
      </w:r>
    </w:p>
    <w:p>
      <w:pPr>
        <w:pStyle w:val="Heading2"/>
        <w:spacing w:after="120" w:before="270"/>
      </w:pPr>
      <w:r>
        <w:rPr>
          <w:rFonts w:ascii="Calibri" w:cs="Calibri" w:eastAsia="Calibri" w:hAnsi="Calibri"/>
          <w:b/>
          <w:bCs/>
          <w:color w:val="A35A21"/>
          <w:sz w:val="23"/>
          <w:szCs w:val="23"/>
        </w:rPr>
        <w:t xml:space="preserve">9.1 Detalle por producto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000"/>
        <w:gridCol w:w="1200"/>
        <w:gridCol w:w="1200"/>
        <w:gridCol w:w="1250"/>
        <w:gridCol w:w="1250"/>
        <w:gridCol w:w="1120"/>
      </w:tblGrid>
      <w:tr>
        <w:trPr>
          <w:tblHeader/>
        </w:trPr>
        <w:tc>
          <w:tcPr>
            <w:tcW w:type="dxa" w:w="30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Producto</w:t>
            </w:r>
          </w:p>
        </w:tc>
        <w:tc>
          <w:tcPr>
            <w:tcW w:type="dxa" w:w="12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Entradas</w:t>
            </w:r>
          </w:p>
        </w:tc>
        <w:tc>
          <w:tcPr>
            <w:tcW w:type="dxa" w:w="12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Salidas</w:t>
            </w:r>
          </w:p>
        </w:tc>
        <w:tc>
          <w:tcPr>
            <w:tcW w:type="dxa" w:w="125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Teórico</w:t>
            </w:r>
          </w:p>
        </w:tc>
        <w:tc>
          <w:tcPr>
            <w:tcW w:type="dxa" w:w="125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Sistema</w:t>
            </w:r>
          </w:p>
        </w:tc>
        <w:tc>
          <w:tcPr>
            <w:tcW w:type="dxa" w:w="11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Dif.</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Shampoo profesional 1L</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350</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3,977</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346,023</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16,604</w:t>
            </w:r>
          </w:p>
        </w:tc>
        <w:tc>
          <w:tcPr>
            <w:tcW w:type="dxa" w:w="1120"/>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329,419</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Acondicionador 1L</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325</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1,212</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323,788</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26,012</w:t>
            </w:r>
          </w:p>
        </w:tc>
        <w:tc>
          <w:tcPr>
            <w:tcW w:type="dxa" w:w="11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297,776</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Agua oxigenada 900ml</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304</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30,3634</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273,6366</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5,0455</w:t>
            </w:r>
          </w:p>
        </w:tc>
        <w:tc>
          <w:tcPr>
            <w:tcW w:type="dxa" w:w="1120"/>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268,5911</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Tintura profesional</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300</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37</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263</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1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263</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Ampolla de keratina</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29</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29</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1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Serum reparador 100ml</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30</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14</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16</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16</w:t>
            </w:r>
          </w:p>
        </w:tc>
        <w:tc>
          <w:tcPr>
            <w:tcW w:type="dxa" w:w="11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Guantes de latex (caja)</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27</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27</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1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Toallas descartables</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19</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19</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19</w:t>
            </w:r>
          </w:p>
        </w:tc>
        <w:tc>
          <w:tcPr>
            <w:tcW w:type="dxa" w:w="11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Esmalte semipermanente</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28</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28</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25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1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Shampoo x 300ml (venta)</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21</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21</w:t>
            </w:r>
          </w:p>
        </w:tc>
        <w:tc>
          <w:tcPr>
            <w:tcW w:type="dxa" w:w="125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21</w:t>
            </w:r>
          </w:p>
        </w:tc>
        <w:tc>
          <w:tcPr>
            <w:tcW w:type="dxa" w:w="11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Los productos fraccionados (shampoo, acondicionador, tintura) se compran por envase y se consumen en mililitros: por eso las salidas tienen cuatro decimales. Las columnas están en unidad de compra.</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10. Integridad financiera</w:t>
      </w:r>
    </w:p>
    <w:p>
      <w:pPr>
        <w:pStyle w:val="Heading2"/>
        <w:spacing w:after="120" w:before="270"/>
      </w:pPr>
      <w:r>
        <w:rPr>
          <w:rFonts w:ascii="Calibri" w:cs="Calibri" w:eastAsia="Calibri" w:hAnsi="Calibri"/>
          <w:b/>
          <w:bCs/>
          <w:color w:val="A35A21"/>
          <w:sz w:val="23"/>
          <w:szCs w:val="23"/>
        </w:rPr>
        <w:t xml:space="preserve">10.1 Facturación y cobranza</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300"/>
        <w:gridCol w:w="2200"/>
        <w:gridCol w:w="1900"/>
        <w:gridCol w:w="1620"/>
      </w:tblGrid>
      <w:tr>
        <w:trPr>
          <w:tblHeader/>
        </w:trPr>
        <w:tc>
          <w:tcPr>
            <w:tcW w:type="dxa" w:w="33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Concepto</w:t>
            </w:r>
          </w:p>
        </w:tc>
        <w:tc>
          <w:tcPr>
            <w:tcW w:type="dxa" w:w="22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Esperado (recalculado)</w:t>
            </w:r>
          </w:p>
        </w:tc>
        <w:tc>
          <w:tcPr>
            <w:tcW w:type="dxa" w:w="1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Sistema</w:t>
            </w:r>
          </w:p>
        </w:tc>
        <w:tc>
          <w:tcPr>
            <w:tcW w:type="dxa" w:w="16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Diferencia</w:t>
            </w:r>
          </w:p>
        </w:tc>
      </w:tr>
      <w:tr>
        <w:tc>
          <w:tcPr>
            <w:tcW w:type="dxa" w:w="3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Comprobantes de venta emitidos</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188</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188</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Facturado (venta)</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26.559.000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26.559.000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Notas de crédito emitidas</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1</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Acreditado (devoluciones)</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23.750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23.750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Cobrado</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26.157.000</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26.157.000</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Saldo pendiente de cobro</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402.000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402.000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Comprobantes con total mal calculado</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Comprobantes con saldo negativo</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Cobros sobre comprobantes anulados</w:t>
            </w:r>
          </w:p>
        </w:tc>
        <w:tc>
          <w:tcPr>
            <w:tcW w:type="dxa" w:w="2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Citas con dos comprobantes vigentes</w:t>
            </w:r>
          </w:p>
        </w:tc>
        <w:tc>
          <w:tcPr>
            <w:tcW w:type="dxa" w:w="2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bl>
    <w:p>
      <w:pPr>
        <w:pStyle w:val="Heading2"/>
        <w:spacing w:after="120" w:before="270"/>
      </w:pPr>
      <w:r>
        <w:rPr>
          <w:rFonts w:ascii="Calibri" w:cs="Calibri" w:eastAsia="Calibri" w:hAnsi="Calibri"/>
          <w:b/>
          <w:bCs/>
          <w:color w:val="A35A21"/>
          <w:sz w:val="23"/>
          <w:szCs w:val="23"/>
        </w:rPr>
        <w:t xml:space="preserve">10.2 Arqueo de caja</w:t>
      </w:r>
    </w:p>
    <w:p>
      <w:pPr>
        <w:spacing w:after="110" w:line="278"/>
      </w:pPr>
      <w:r>
        <w:rPr>
          <w:rFonts w:ascii="Calibri" w:cs="Calibri" w:eastAsia="Calibri" w:hAnsi="Calibri"/>
          <w:color w:val="3A3733"/>
          <w:sz w:val="20"/>
          <w:szCs w:val="20"/>
        </w:rPr>
        <w:t xml:space="preserve">El saldo de caja es el </w:t>
      </w:r>
      <w:r>
        <w:rPr>
          <w:rFonts w:ascii="Calibri" w:cs="Calibri" w:eastAsia="Calibri" w:hAnsi="Calibri"/>
          <w:b/>
          <w:bCs/>
          <w:color w:val="3A3733"/>
          <w:sz w:val="20"/>
          <w:szCs w:val="20"/>
        </w:rPr>
        <w:t xml:space="preserve">efectivo que tiene que estar en el cajón</w:t>
      </w:r>
      <w:r>
        <w:rPr>
          <w:rFonts w:ascii="Calibri" w:cs="Calibri" w:eastAsia="Calibri" w:hAnsi="Calibri"/>
          <w:color w:val="3A3733"/>
          <w:sz w:val="20"/>
          <w:szCs w:val="20"/>
        </w:rPr>
        <w:t xml:space="preserve">, no el movimiento del día: sólo lo mueven los cobros en efectivo, los movimientos manuales, los pagos a proveedores en efectivo y —desde la 7.22.0— las liquidaciones al personal en efectivo.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800"/>
        <w:gridCol w:w="1900"/>
        <w:gridCol w:w="1800"/>
        <w:gridCol w:w="1520"/>
      </w:tblGrid>
      <w:tr>
        <w:trPr>
          <w:tblHeader/>
        </w:trPr>
        <w:tc>
          <w:tcPr>
            <w:tcW w:type="dxa" w:w="38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Concepto</w:t>
            </w:r>
          </w:p>
        </w:tc>
        <w:tc>
          <w:tcPr>
            <w:tcW w:type="dxa" w:w="1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Esperado</w:t>
            </w:r>
          </w:p>
        </w:tc>
        <w:tc>
          <w:tcPr>
            <w:tcW w:type="dxa" w:w="18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Sistema</w:t>
            </w:r>
          </w:p>
        </w:tc>
        <w:tc>
          <w:tcPr>
            <w:tcW w:type="dxa" w:w="15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Diferencia</w:t>
            </w:r>
          </w:p>
        </w:tc>
      </w:tr>
      <w:tr>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Suma de montos iniciales</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9.600.000</w:t>
            </w:r>
          </w:p>
        </w:tc>
        <w:tc>
          <w:tcPr>
            <w:tcW w:type="dxa" w:w="18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9.600.000</w:t>
            </w:r>
          </w:p>
        </w:tc>
        <w:tc>
          <w:tcPr>
            <w:tcW w:type="dxa" w:w="15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 Cobros en efectivo</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20.634.125</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20.634.125</w:t>
            </w:r>
          </w:p>
        </w:tc>
        <w:tc>
          <w:tcPr>
            <w:tcW w:type="dxa" w:w="15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 Egresos manuales (notas de crédito)</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23.750</w:t>
            </w:r>
          </w:p>
        </w:tc>
        <w:tc>
          <w:tcPr>
            <w:tcW w:type="dxa" w:w="18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23.750</w:t>
            </w:r>
          </w:p>
        </w:tc>
        <w:tc>
          <w:tcPr>
            <w:tcW w:type="dxa" w:w="15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 Pagos a proveedores en efectivo</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2.735.900</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2.735.900</w:t>
            </w:r>
          </w:p>
        </w:tc>
        <w:tc>
          <w:tcPr>
            <w:tcW w:type="dxa" w:w="15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 Liquidaciones al personal en efectivo</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844.500</w:t>
            </w:r>
          </w:p>
        </w:tc>
        <w:tc>
          <w:tcPr>
            <w:tcW w:type="dxa" w:w="18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Gs. 844.500</w:t>
            </w:r>
          </w:p>
        </w:tc>
        <w:tc>
          <w:tcPr>
            <w:tcW w:type="dxa" w:w="15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Gs. 0</w:t>
            </w:r>
          </w:p>
        </w:tc>
      </w:tr>
      <w:tr>
        <w:tc>
          <w:tcPr>
            <w:tcW w:type="dxa" w:w="3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 Saldo acumulado de todas las cajas</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Gs. 26.629.975</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Gs. 26.629.975</w:t>
            </w:r>
          </w:p>
        </w:tc>
        <w:tc>
          <w:tcPr>
            <w:tcW w:type="dxa" w:w="15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Gs. 0</w:t>
            </w:r>
          </w:p>
        </w:tc>
      </w:tr>
      <w:tr>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Cajas con arqueo distinto al recalculado</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8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5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Cajas con saldo negativo</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5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r>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Cajas solapadas en el tiempo</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800"/>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45</w:t>
            </w:r>
          </w:p>
        </w:tc>
        <w:tc>
          <w:tcPr>
            <w:tcW w:type="dxa" w:w="1520"/>
            <w:tcMar>
              <w:top w:type="dxa" w:w="68"/>
              <w:left w:type="dxa" w:w="110"/>
              <w:bottom w:type="dxa" w:w="68"/>
              <w:right w:type="dxa" w:w="110"/>
            </w:tcMar>
          </w:tcPr>
          <w:p>
            <w:pPr>
              <w:spacing w:after="0" w:line="242"/>
              <w:jc w:val="center"/>
            </w:pPr>
            <w:r>
              <w:rPr>
                <w:rFonts w:ascii="Calibri" w:cs="Calibri" w:eastAsia="Calibri" w:hAnsi="Calibri"/>
                <w:b w:val="false"/>
                <w:bCs w:val="false"/>
                <w:color w:val="993535"/>
                <w:sz w:val="16"/>
                <w:szCs w:val="16"/>
              </w:rPr>
              <w:t xml:space="preserve">45</w:t>
            </w:r>
          </w:p>
        </w:tc>
      </w:tr>
      <w:tr>
        <w:tc>
          <w:tcPr>
            <w:tcW w:type="dxa" w:w="3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Cobros fuera de toda caja</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6"/>
                <w:szCs w:val="16"/>
              </w:rPr>
              <w:t xml:space="preserve">0</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15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6"/>
                <w:szCs w:val="16"/>
              </w:rPr>
              <w:t xml:space="preserve">0</w:t>
            </w:r>
          </w:p>
        </w:tc>
      </w:tr>
    </w:tbl>
    <w:p>
      <w:pPr>
        <w:pStyle w:val="Heading2"/>
        <w:spacing w:after="120" w:before="270"/>
      </w:pPr>
      <w:r>
        <w:rPr>
          <w:rFonts w:ascii="Calibri" w:cs="Calibri" w:eastAsia="Calibri" w:hAnsi="Calibri"/>
          <w:b/>
          <w:bCs/>
          <w:color w:val="A35A21"/>
          <w:sz w:val="23"/>
          <w:szCs w:val="23"/>
        </w:rPr>
        <w:t xml:space="preserve">10.3 Numeración de comprobantes</w:t>
      </w:r>
    </w:p>
    <w:p>
      <w:pPr>
        <w:spacing w:after="110" w:before="0" w:line="278"/>
      </w:pPr>
      <w:r>
        <w:rPr>
          <w:rFonts w:ascii="Calibri" w:cs="Calibri" w:eastAsia="Calibri" w:hAnsi="Calibri"/>
          <w:b w:val="false"/>
          <w:bCs w:val="false"/>
          <w:i w:val="false"/>
          <w:iCs w:val="false"/>
          <w:color w:val="3A3733"/>
          <w:sz w:val="20"/>
          <w:szCs w:val="20"/>
        </w:rPr>
        <w:t xml:space="preserve">La numeración de la SET no admite huecos ni repetidos. Cada timbrado se revisó por separado.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000"/>
        <w:gridCol w:w="6020"/>
      </w:tblGrid>
      <w:tr>
        <w:trPr>
          <w:tblHeader/>
        </w:trPr>
        <w:tc>
          <w:tcPr>
            <w:tcW w:type="dxa" w:w="30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Timbrado</w:t>
            </w:r>
          </w:p>
        </w:tc>
        <w:tc>
          <w:tcPr>
            <w:tcW w:type="dxa" w:w="60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Rango usado</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Timbrado 4</w:t>
            </w:r>
          </w:p>
        </w:tc>
        <w:tc>
          <w:tcPr>
            <w:tcW w:type="dxa" w:w="60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1..50 n=50</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Timbrado 5</w:t>
            </w:r>
          </w:p>
        </w:tc>
        <w:tc>
          <w:tcPr>
            <w:tcW w:type="dxa" w:w="60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1..1 n=1</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Timbrado 6</w:t>
            </w:r>
          </w:p>
        </w:tc>
        <w:tc>
          <w:tcPr>
            <w:tcW w:type="dxa" w:w="60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1..138 n=138</w:t>
            </w:r>
          </w:p>
        </w:tc>
      </w:tr>
    </w:tbl>
    <w:p>
      <w:pPr>
        <w:pStyle w:val="Heading2"/>
        <w:spacing w:after="120" w:before="270"/>
      </w:pPr>
      <w:r>
        <w:rPr>
          <w:rFonts w:ascii="Calibri" w:cs="Calibri" w:eastAsia="Calibri" w:hAnsi="Calibri"/>
          <w:b/>
          <w:bCs/>
          <w:color w:val="A35A21"/>
          <w:sz w:val="23"/>
          <w:szCs w:val="23"/>
        </w:rPr>
        <w:t xml:space="preserve">10.4 Facturación electrónica (SIFEN)</w:t>
      </w:r>
    </w:p>
    <w:p>
      <w:pPr>
        <w:spacing w:after="110" w:line="278"/>
      </w:pPr>
      <w:r>
        <w:rPr>
          <w:rFonts w:ascii="Calibri" w:cs="Calibri" w:eastAsia="Calibri" w:hAnsi="Calibri"/>
          <w:color w:val="3A3733"/>
          <w:sz w:val="20"/>
          <w:szCs w:val="20"/>
        </w:rPr>
        <w:t xml:space="preserve">El SPG no habla con la DNIT: arma el comprobante que ya numeró con su timbrado y se lo manda al Automatizador. </w:t>
      </w:r>
      <w:r>
        <w:rPr>
          <w:rFonts w:ascii="Calibri" w:cs="Calibri" w:eastAsia="Calibri" w:hAnsi="Calibri"/>
          <w:color w:val="3A3733"/>
          <w:sz w:val="20"/>
          <w:szCs w:val="20"/>
        </w:rPr>
        <w:t xml:space="preserve">Se declaran los tipos que </w:t>
      </w:r>
      <w:r>
        <w:rPr>
          <w:rFonts w:ascii="Calibri" w:cs="Calibri" w:eastAsia="Calibri" w:hAnsi="Calibri"/>
          <w:b/>
          <w:bCs/>
          <w:color w:val="3A3733"/>
          <w:sz w:val="20"/>
          <w:szCs w:val="20"/>
        </w:rPr>
        <w:t xml:space="preserve">config/sifen.php</w:t>
      </w:r>
      <w:r>
        <w:rPr>
          <w:rFonts w:ascii="Calibri" w:cs="Calibri" w:eastAsia="Calibri" w:hAnsi="Calibri"/>
          <w:color w:val="3A3733"/>
          <w:sz w:val="20"/>
          <w:szCs w:val="20"/>
        </w:rPr>
        <w:t xml:space="preserve"> lista en tipos_electronicos, que son la Factura y la Nota de crédito.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400"/>
        <w:gridCol w:w="1900"/>
        <w:gridCol w:w="1900"/>
        <w:gridCol w:w="1820"/>
      </w:tblGrid>
      <w:tr>
        <w:trPr>
          <w:tblHeader/>
        </w:trPr>
        <w:tc>
          <w:tcPr>
            <w:tcW w:type="dxa" w:w="34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Tipo de comprobante</w:t>
            </w:r>
          </w:p>
        </w:tc>
        <w:tc>
          <w:tcPr>
            <w:tcW w:type="dxa" w:w="1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Emitidos</w:t>
            </w:r>
          </w:p>
        </w:tc>
        <w:tc>
          <w:tcPr>
            <w:tcW w:type="dxa" w:w="1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Declarados</w:t>
            </w:r>
          </w:p>
        </w:tc>
        <w:tc>
          <w:tcPr>
            <w:tcW w:type="dxa" w:w="1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Cobertura</w:t>
            </w:r>
          </w:p>
        </w:tc>
      </w:tr>
      <w:tr>
        <w:tc>
          <w:tcPr>
            <w:tcW w:type="dxa" w:w="3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Factura (tipo 1)</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0</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w:t>
            </w:r>
          </w:p>
        </w:tc>
      </w:tr>
      <w:tr>
        <w:tc>
          <w:tcPr>
            <w:tcW w:type="dxa" w:w="34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Nota de crédito (tipo 5)</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0</w:t>
            </w:r>
          </w:p>
        </w:tc>
        <w:tc>
          <w:tcPr>
            <w:tcW w:type="dxa" w:w="1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0</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7"/>
                <w:szCs w:val="17"/>
              </w:rPr>
              <w:t xml:space="preserve">0,0 %</w:t>
            </w:r>
          </w:p>
        </w:tc>
      </w:tr>
      <w:tr>
        <w:tc>
          <w:tcPr>
            <w:tcW w:type="dxa" w:w="3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Comprobante de pago (tipo 8)</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138</w:t>
            </w:r>
          </w:p>
        </w:tc>
        <w:tc>
          <w:tcPr>
            <w:tcW w:type="dxa" w:w="190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no se declara</w:t>
            </w:r>
          </w:p>
        </w:tc>
        <w:tc>
          <w:tcPr>
            <w:tcW w:type="dxa" w:w="1820"/>
            <w:tcMar>
              <w:top w:type="dxa" w:w="68"/>
              <w:left w:type="dxa" w:w="110"/>
              <w:bottom w:type="dxa" w:w="68"/>
              <w:right w:type="dxa" w:w="110"/>
            </w:tcMar>
          </w:tcPr>
          <w:p>
            <w:pPr>
              <w:spacing w:after="0" w:line="242"/>
              <w:jc w:val="center"/>
            </w:pPr>
            <w:r>
              <w:rPr>
                <w:rFonts w:ascii="Calibri" w:cs="Calibri" w:eastAsia="Calibri" w:hAnsi="Calibri"/>
                <w:b w:val="false"/>
                <w:bCs w:val="false"/>
                <w:color w:val="6F6B65"/>
                <w:sz w:val="17"/>
                <w:szCs w:val="17"/>
              </w:rPr>
              <w:t xml:space="preserve">no aplica</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Las 70 facturas quedaron en estado ENVIADO con su CDC; ninguna quedó PENDIENTE ni RECHAZADA. Las notas de crédito no se declararon: ver el defecto F-01.</w:t>
      </w:r>
    </w:p>
    <w:p>
      <w:pPr>
        <w:pStyle w:val="Heading2"/>
        <w:spacing w:after="120" w:before="270"/>
      </w:pPr>
      <w:r>
        <w:rPr>
          <w:rFonts w:ascii="Calibri" w:cs="Calibri" w:eastAsia="Calibri" w:hAnsi="Calibri"/>
          <w:b/>
          <w:bCs/>
          <w:color w:val="A35A21"/>
          <w:sz w:val="23"/>
          <w:szCs w:val="23"/>
        </w:rPr>
        <w:t xml:space="preserve">10.5 Egresos del salón</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600"/>
        <w:gridCol w:w="3420"/>
      </w:tblGrid>
      <w:tr>
        <w:trPr>
          <w:tblHeader/>
        </w:trPr>
        <w:tc>
          <w:tcPr>
            <w:tcW w:type="dxa" w:w="5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8"/>
                <w:szCs w:val="18"/>
              </w:rPr>
              <w:t xml:space="preserve">Concepto</w:t>
            </w:r>
          </w:p>
        </w:tc>
        <w:tc>
          <w:tcPr>
            <w:tcW w:type="dxa" w:w="34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Monto</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Comprado a proveedores</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Gs. 11.354.000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Pagado a proveedores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Gs. 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Deuda con proveedores al cierre</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Gs. 8.618.100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Liquidado al personal</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Gs. 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de eso, en efectivo (sale del cajón)</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Gs. 844.500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Devoluciones por nota de crédito</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Gs. 23.750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Liquidaciones sin caja ni medio de pago</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0</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11. Seguridad y permisos</w:t>
      </w:r>
    </w:p>
    <w:p>
      <w:pPr>
        <w:spacing w:after="110" w:before="0" w:line="278"/>
      </w:pPr>
      <w:r>
        <w:rPr>
          <w:rFonts w:ascii="Calibri" w:cs="Calibri" w:eastAsia="Calibri" w:hAnsi="Calibri"/>
          <w:b w:val="false"/>
          <w:bCs w:val="false"/>
          <w:i w:val="false"/>
          <w:iCs w:val="false"/>
          <w:color w:val="3A3733"/>
          <w:sz w:val="20"/>
          <w:szCs w:val="20"/>
        </w:rPr>
        <w:t xml:space="preserve">Cada rol fue empujado contra las pantallas y acciones que NO le corresponden, tanto por GET como por POST directo, salteando la interfaz. Un bloqueo válido es 403, o una redirección al ingreso o al portal; cualquier 200 es un acceso indebido.</w:t>
      </w:r>
    </w:p>
    <w:p>
      <w:pPr>
        <w:pStyle w:val="Heading2"/>
        <w:spacing w:after="120" w:before="270"/>
      </w:pPr>
      <w:r>
        <w:rPr>
          <w:rFonts w:ascii="Calibri" w:cs="Calibri" w:eastAsia="Calibri" w:hAnsi="Calibri"/>
          <w:b/>
          <w:bCs/>
          <w:color w:val="A35A21"/>
          <w:sz w:val="23"/>
          <w:szCs w:val="23"/>
        </w:rPr>
        <w:t xml:space="preserve">11.1 Sondeos ejecutados</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1900"/>
        <w:gridCol w:w="5300"/>
        <w:gridCol w:w="1820"/>
      </w:tblGrid>
      <w:tr>
        <w:trPr>
          <w:tblHeader/>
        </w:trPr>
        <w:tc>
          <w:tcPr>
            <w:tcW w:type="dxa" w:w="19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Rol / origen</w:t>
            </w:r>
          </w:p>
        </w:tc>
        <w:tc>
          <w:tcPr>
            <w:tcW w:type="dxa" w:w="53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Qué se intentó</w:t>
            </w:r>
          </w:p>
        </w:tc>
        <w:tc>
          <w:tcPr>
            <w:tcW w:type="dxa" w:w="1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Resultado</w:t>
            </w:r>
          </w:p>
        </w:tc>
      </w:tr>
      <w:tr>
        <w:tc>
          <w:tcPr>
            <w:tcW w:type="dxa" w:w="19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Sin sesión</w:t>
            </w:r>
          </w:p>
        </w:tc>
        <w:tc>
          <w:tcPr>
            <w:tcW w:type="dxa" w:w="5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Panel, clientes, facturas, seguridad, reportes, POST de cita y de cobro</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r>
        <w:tc>
          <w:tcPr>
            <w:tcW w:type="dxa" w:w="19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Profesional</w:t>
            </w:r>
          </w:p>
        </w:tc>
        <w:tc>
          <w:tcPr>
            <w:tcW w:type="dxa" w:w="5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16 pantallas ajenas (timbrados, roles, usuarios, auditoría, sucursales, turnos, comisiones, servicios, descuentos, inventario, compras, reportes, pagos, proveedores, ausencias) y 3 POST directos</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r>
        <w:tc>
          <w:tcPr>
            <w:tcW w:type="dxa" w:w="19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Profesional</w:t>
            </w:r>
          </w:p>
        </w:tc>
        <w:tc>
          <w:tcPr>
            <w:tcW w:type="dxa" w:w="5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Catálogo de canjes por puntos (clientes.canjes)</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r>
        <w:tc>
          <w:tcPr>
            <w:tcW w:type="dxa" w:w="19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Asistente adm.</w:t>
            </w:r>
          </w:p>
        </w:tc>
        <w:tc>
          <w:tcPr>
            <w:tcW w:type="dxa" w:w="5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8 pantallas ajenas y el alta de un usuario Administrador</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r>
        <w:tc>
          <w:tcPr>
            <w:tcW w:type="dxa" w:w="19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Cliente (portal)</w:t>
            </w:r>
          </w:p>
        </w:tc>
        <w:tc>
          <w:tcPr>
            <w:tcW w:type="dxa" w:w="5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6 pantallas de gestión, agendar por el panel y abrir caja</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r>
        <w:tc>
          <w:tcPr>
            <w:tcW w:type="dxa" w:w="19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Cliente (portal)</w:t>
            </w:r>
          </w:p>
        </w:tc>
        <w:tc>
          <w:tcPr>
            <w:tcW w:type="dxa" w:w="5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Cancelar y señar la cita de OTRA clienta cambiando el id del formulario</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r>
        <w:tc>
          <w:tcPr>
            <w:tcW w:type="dxa" w:w="19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Intruso</w:t>
            </w:r>
          </w:p>
        </w:tc>
        <w:tc>
          <w:tcPr>
            <w:tcW w:type="dxa" w:w="5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Contraseña incorrecta, usuario inexistente y 14 intentos seguidos de fuerza bruta</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Bloqueado</w:t>
            </w:r>
          </w:p>
        </w:tc>
      </w:tr>
    </w:tbl>
    <w:p>
      <w:pPr>
        <w:spacing w:after="110" w:line="278"/>
      </w:pPr>
      <w:r>
        <w:rPr>
          <w:rFonts w:ascii="Calibri" w:cs="Calibri" w:eastAsia="Calibri" w:hAnsi="Calibri"/>
          <w:color w:val="3A3733"/>
          <w:sz w:val="20"/>
          <w:szCs w:val="20"/>
        </w:rPr>
        <w:t xml:space="preserve">El limitador de peticiones cortó la fuerza bruta al intento </w:t>
      </w:r>
      <w:r>
        <w:rPr>
          <w:rFonts w:ascii="Calibri" w:cs="Calibri" w:eastAsia="Calibri" w:hAnsi="Calibri"/>
          <w:b/>
          <w:bCs/>
          <w:color w:val="3A3733"/>
          <w:sz w:val="20"/>
          <w:szCs w:val="20"/>
        </w:rPr>
        <w:t xml:space="preserve">5</w:t>
      </w:r>
      <w:r>
        <w:rPr>
          <w:rFonts w:ascii="Calibri" w:cs="Calibri" w:eastAsia="Calibri" w:hAnsi="Calibri"/>
          <w:color w:val="3A3733"/>
          <w:sz w:val="20"/>
          <w:szCs w:val="20"/>
        </w:rPr>
        <w:t xml:space="preserve"> de 14.</w:t>
      </w:r>
    </w:p>
    <w:p>
      <w:pPr>
        <w:pStyle w:val="Heading2"/>
        <w:spacing w:after="120" w:before="270"/>
      </w:pPr>
      <w:r>
        <w:rPr>
          <w:rFonts w:ascii="Calibri" w:cs="Calibri" w:eastAsia="Calibri" w:hAnsi="Calibri"/>
          <w:b/>
          <w:bCs/>
          <w:color w:val="A35A21"/>
          <w:sz w:val="23"/>
          <w:szCs w:val="23"/>
        </w:rPr>
        <w:t xml:space="preserve">11.2 Resultado</w:t>
      </w:r>
    </w:p>
    <w:p>
      <w:pPr>
        <w:spacing w:after="110" w:line="278"/>
      </w:pPr>
      <w:r>
        <w:rPr>
          <w:rFonts w:ascii="Calibri" w:cs="Calibri" w:eastAsia="Calibri" w:hAnsi="Calibri"/>
          <w:b/>
          <w:bCs/>
          <w:color w:val="2F5D2F"/>
          <w:sz w:val="20"/>
          <w:szCs w:val="20"/>
        </w:rPr>
        <w:t xml:space="preserve">No se detectó ningún acceso indebido.</w:t>
      </w:r>
      <w:r>
        <w:rPr>
          <w:rFonts w:ascii="Calibri" w:cs="Calibri" w:eastAsia="Calibri" w:hAnsi="Calibri"/>
          <w:color w:val="3A3733"/>
          <w:sz w:val="20"/>
          <w:szCs w:val="20"/>
        </w:rPr>
        <w:t xml:space="preserve"> El middleware modulo: rechazó cada intento con 403 y las referencias directas a objetos ajenos (IDOR) fueron rechazadas comprobando pertenencia en el servidor, no escondiendo el botón. Ningún rol pudo ejecutar una acción fuera de su alcance, y sin sesión no se abrió ni una pantalla de gestión.</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12. Auditoría</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600"/>
        <w:gridCol w:w="3420"/>
      </w:tblGrid>
      <w:tr>
        <w:trPr>
          <w:tblHeader/>
        </w:trPr>
        <w:tc>
          <w:tcPr>
            <w:tcW w:type="dxa" w:w="5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8"/>
                <w:szCs w:val="18"/>
              </w:rPr>
              <w:t xml:space="preserve">Concepto</w:t>
            </w:r>
          </w:p>
        </w:tc>
        <w:tc>
          <w:tcPr>
            <w:tcW w:type="dxa" w:w="34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Valor</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Filas de auditoría escritas</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2.647</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Comprobantes emitidos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189</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Comprobantes con rastro de emisión</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2F5D2F"/>
                <w:sz w:val="18"/>
                <w:szCs w:val="18"/>
              </w:rPr>
              <w:t xml:space="preserve">189</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Comprobantes anulados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Anulaciones de comprobante auditadas</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Cobros anulados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1</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Anulaciones de cobro auditadas (los dos vocabularios)</w:t>
            </w:r>
          </w:p>
        </w:tc>
        <w:tc>
          <w:tcPr>
            <w:tcW w:type="dxa" w:w="3420"/>
            <w:tcMar>
              <w:top w:type="dxa" w:w="68"/>
              <w:left w:type="dxa" w:w="110"/>
              <w:bottom w:type="dxa" w:w="68"/>
              <w:right w:type="dxa" w:w="110"/>
            </w:tcMar>
          </w:tcPr>
          <w:p>
            <w:pPr>
              <w:spacing w:after="0" w:line="242"/>
              <w:jc w:val="center"/>
            </w:pPr>
            <w:r>
              <w:rPr>
                <w:rFonts w:ascii="Calibri" w:cs="Calibri" w:eastAsia="Calibri" w:hAnsi="Calibri"/>
                <w:b/>
                <w:bCs/>
                <w:color w:val="993535"/>
                <w:sz w:val="18"/>
                <w:szCs w:val="18"/>
              </w:rPr>
              <w:t xml:space="preserve">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escritas por el disparador como ANULAR</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0</w:t>
            </w:r>
          </w:p>
        </w:tc>
      </w:tr>
      <w:tr>
        <w:tc>
          <w:tcPr>
            <w:tcW w:type="dxa" w:w="56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 escritas por el controlador como ANULACION</w:t>
            </w:r>
          </w:p>
        </w:tc>
        <w:tc>
          <w:tcPr>
            <w:tcW w:type="dxa" w:w="34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0</w:t>
            </w:r>
          </w:p>
        </w:tc>
      </w:tr>
      <w:tr>
        <w:tc>
          <w:tcPr>
            <w:tcW w:type="dxa" w:w="56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Acciones sobre citas auditadas</w:t>
            </w:r>
          </w:p>
        </w:tc>
        <w:tc>
          <w:tcPr>
            <w:tcW w:type="dxa" w:w="34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8"/>
                <w:szCs w:val="18"/>
              </w:rPr>
              <w:t xml:space="preserve">656</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La cobertura es completa: las 4 anulaciones de cobro tienen su fila. Aparecen como ANULAR porque las escribe el disparador trg_cobro_au, no el controlador — buscarlas sólo por «ANULACION» devolvería cero, que es exactamente el hallazgo AU-01 que la 7.23.0 corrigió agrupando las dos formas en el filtro de la pantalla.</w:t>
      </w:r>
    </w:p>
    <w:p>
      <w:pPr>
        <w:pStyle w:val="Heading2"/>
        <w:spacing w:after="120" w:before="270"/>
      </w:pPr>
      <w:r>
        <w:rPr>
          <w:rFonts w:ascii="Calibri" w:cs="Calibri" w:eastAsia="Calibri" w:hAnsi="Calibri"/>
          <w:b/>
          <w:bCs/>
          <w:color w:val="A35A21"/>
          <w:sz w:val="23"/>
          <w:szCs w:val="23"/>
        </w:rPr>
        <w:t xml:space="preserve">12.1 Acciones registradas</w:t>
      </w:r>
    </w:p>
    <w:p>
      <w:pPr>
        <w:spacing w:after="110" w:before="0" w:line="278"/>
      </w:pPr>
      <w:r>
        <w:rPr>
          <w:rFonts w:ascii="Calibri" w:cs="Calibri" w:eastAsia="Calibri" w:hAnsi="Calibri"/>
          <w:b w:val="false"/>
          <w:bCs w:val="false"/>
          <w:i w:val="false"/>
          <w:iCs w:val="false"/>
          <w:color w:val="3A3733"/>
          <w:sz w:val="20"/>
          <w:szCs w:val="20"/>
        </w:rPr>
        <w:t xml:space="preserve">Cada fila lleva usuario, fecha y hora, módulo, tabla afectada, id del registro y el detalle de lo que cambió.</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6200"/>
        <w:gridCol w:w="2820"/>
      </w:tblGrid>
      <w:tr>
        <w:trPr>
          <w:tblHeader/>
        </w:trPr>
        <w:tc>
          <w:tcPr>
            <w:tcW w:type="dxa" w:w="62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Acción</w:t>
            </w:r>
          </w:p>
        </w:tc>
        <w:tc>
          <w:tcPr>
            <w:tcW w:type="dxa" w:w="2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Filas</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LOGIN</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571</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SUCURSAL</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470</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ALTA</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382</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MODIFICACION</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287</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ATENCION</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188</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EMISION</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188</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COBRO</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187</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MOVIMIENTO_STOCK</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140</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SIFEN</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51</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CAJA_APERTURA</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51</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CAJA_CIERRE</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49</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SENA</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48</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CANCELACION</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19</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PAGO_PROVEEDOR</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VERIFICACION</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COMPRA</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PAGO_PERSONAL</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ANULAR</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r>
      <w:tr>
        <w:tc>
          <w:tcPr>
            <w:tcW w:type="dxa" w:w="62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AUSENCIA</w:t>
            </w:r>
          </w:p>
        </w:tc>
        <w:tc>
          <w:tcPr>
            <w:tcW w:type="dxa" w:w="28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r>
      <w:tr>
        <w:tc>
          <w:tcPr>
            <w:tcW w:type="dxa" w:w="62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NOTA_CREDITO</w:t>
            </w:r>
          </w:p>
        </w:tc>
        <w:tc>
          <w:tcPr>
            <w:tcW w:type="dxa" w:w="28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1</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Conviven dos vocabularios a propósito: los controladores escriben el sustantivo (EMISION, CANCELACION) y los disparadores de la base el verbo (ANULAR, REVERTIR). Desde la 7.23.0 el filtro de la pantalla agrupa las dos formas, así que buscar «anulación» encuentra las dos.</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13. Reportes</w:t>
      </w:r>
    </w:p>
    <w:p>
      <w:pPr>
        <w:spacing w:after="110" w:before="0" w:line="278"/>
      </w:pPr>
      <w:r>
        <w:rPr>
          <w:rFonts w:ascii="Calibri" w:cs="Calibri" w:eastAsia="Calibri" w:hAnsi="Calibri"/>
          <w:b w:val="false"/>
          <w:bCs w:val="false"/>
          <w:i w:val="false"/>
          <w:iCs w:val="false"/>
          <w:color w:val="3A3733"/>
          <w:sz w:val="20"/>
          <w:szCs w:val="20"/>
        </w:rPr>
        <w:t xml:space="preserve">No alcanza con que el informe se dibuje: se leyeron los números que muestra en pantalla y se compararon contra la consulta cruda equivalente sobre las mismas fechas.</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400"/>
        <w:gridCol w:w="3800"/>
        <w:gridCol w:w="1820"/>
      </w:tblGrid>
      <w:tr>
        <w:trPr>
          <w:tblHeader/>
        </w:trPr>
        <w:tc>
          <w:tcPr>
            <w:tcW w:type="dxa" w:w="34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Métrica del informe</w:t>
            </w:r>
          </w:p>
        </w:tc>
        <w:tc>
          <w:tcPr>
            <w:tcW w:type="dxa" w:w="38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Informe vs. base</w:t>
            </w:r>
          </w:p>
        </w:tc>
        <w:tc>
          <w:tcPr>
            <w:tcW w:type="dxa" w:w="1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Estado</w:t>
            </w:r>
          </w:p>
        </w:tc>
      </w:tr>
      <w:tr>
        <w:tc>
          <w:tcPr>
            <w:tcW w:type="dxa" w:w="3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Citas del período</w:t>
            </w:r>
          </w:p>
        </w:tc>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353 vs 353</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34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Atendidas</w:t>
            </w:r>
          </w:p>
        </w:tc>
        <w:tc>
          <w:tcPr>
            <w:tcW w:type="dxa" w:w="3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188 vs 188</w:t>
            </w:r>
          </w:p>
        </w:tc>
        <w:tc>
          <w:tcPr>
            <w:tcW w:type="dxa" w:w="18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r>
        <w:tc>
          <w:tcPr>
            <w:tcW w:type="dxa" w:w="3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Ingresos cobrados</w:t>
            </w:r>
          </w:p>
        </w:tc>
        <w:tc>
          <w:tcPr>
            <w:tcW w:type="dxa" w:w="3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Gs. 26.157.000 vs Gs. 26.157.000</w:t>
            </w:r>
          </w:p>
        </w:tc>
        <w:tc>
          <w:tcPr>
            <w:tcW w:type="dxa" w:w="1820"/>
            <w:tcMar>
              <w:top w:type="dxa" w:w="68"/>
              <w:left w:type="dxa" w:w="110"/>
              <w:bottom w:type="dxa" w:w="68"/>
              <w:right w:type="dxa" w:w="110"/>
            </w:tcMar>
          </w:tcPr>
          <w:p>
            <w:pPr>
              <w:spacing w:after="0" w:line="242"/>
              <w:jc w:val="center"/>
            </w:pPr>
            <w:r>
              <w:rPr>
                <w:rFonts w:ascii="Calibri" w:cs="Calibri" w:eastAsia="Calibri" w:hAnsi="Calibri"/>
                <w:b/>
                <w:bCs/>
                <w:color w:val="2F5D2F"/>
                <w:sz w:val="17"/>
                <w:szCs w:val="17"/>
              </w:rPr>
              <w:t xml:space="preserve">PASS</w:t>
            </w:r>
          </w:p>
        </w:tc>
      </w:tr>
    </w:tbl>
    <w:p>
      <w:pPr>
        <w:pStyle w:val="Heading2"/>
        <w:spacing w:after="120" w:before="270"/>
      </w:pPr>
      <w:r>
        <w:rPr>
          <w:rFonts w:ascii="Calibri" w:cs="Calibri" w:eastAsia="Calibri" w:hAnsi="Calibri"/>
          <w:b/>
          <w:bCs/>
          <w:color w:val="A35A21"/>
          <w:sz w:val="23"/>
          <w:szCs w:val="23"/>
        </w:rPr>
        <w:t xml:space="preserve">13.1 Pantallas y exportaciones</w:t>
      </w:r>
    </w:p>
    <w:p>
      <w:pPr>
        <w:spacing w:after="110" w:line="278"/>
      </w:pPr>
      <w:r>
        <w:rPr>
          <w:rFonts w:ascii="Calibri" w:cs="Calibri" w:eastAsia="Calibri" w:hAnsi="Calibri"/>
          <w:color w:val="3A3733"/>
          <w:sz w:val="20"/>
          <w:szCs w:val="20"/>
        </w:rPr>
        <w:t xml:space="preserve">Se abrieron </w:t>
      </w:r>
      <w:r>
        <w:rPr>
          <w:rFonts w:ascii="Calibri" w:cs="Calibri" w:eastAsia="Calibri" w:hAnsi="Calibri"/>
          <w:b/>
          <w:bCs/>
          <w:color w:val="3A3733"/>
          <w:sz w:val="20"/>
          <w:szCs w:val="20"/>
        </w:rPr>
        <w:t xml:space="preserve">43 pantallas</w:t>
      </w:r>
      <w:r>
        <w:rPr>
          <w:rFonts w:ascii="Calibri" w:cs="Calibri" w:eastAsia="Calibri" w:hAnsi="Calibri"/>
          <w:color w:val="3A3733"/>
          <w:sz w:val="20"/>
          <w:szCs w:val="20"/>
        </w:rPr>
        <w:t xml:space="preserve"> del sistema y </w:t>
      </w:r>
      <w:r>
        <w:rPr>
          <w:rFonts w:ascii="Calibri" w:cs="Calibri" w:eastAsia="Calibri" w:hAnsi="Calibri"/>
          <w:b/>
          <w:bCs/>
          <w:color w:val="3A3733"/>
          <w:sz w:val="20"/>
          <w:szCs w:val="20"/>
        </w:rPr>
        <w:t xml:space="preserve">6 exportaciones</w:t>
      </w:r>
      <w:r>
        <w:rPr>
          <w:rFonts w:ascii="Calibri" w:cs="Calibri" w:eastAsia="Calibri" w:hAnsi="Calibri"/>
          <w:color w:val="3A3733"/>
          <w:sz w:val="20"/>
          <w:szCs w:val="20"/>
        </w:rPr>
        <w:t xml:space="preserve"> (CSV y PDF). Una columna mal escrita o un route() con el nombre viejo no se notan al arrancar: revientan al dibujar, así que abrir cada pantalla es lo que los destapa.</w:t>
      </w:r>
    </w:p>
    <w:p>
      <w:pPr>
        <w:spacing w:after="110" w:before="0" w:line="278"/>
      </w:pPr>
      <w:r>
        <w:rPr>
          <w:rFonts w:ascii="Calibri" w:cs="Calibri" w:eastAsia="Calibri" w:hAnsi="Calibri"/>
          <w:b/>
          <w:bCs/>
          <w:i w:val="false"/>
          <w:iCs w:val="false"/>
          <w:color w:val="2F5D2F"/>
          <w:sz w:val="20"/>
          <w:szCs w:val="20"/>
        </w:rPr>
        <w:t xml:space="preserve">Las 43 pantallas y las 6 exportaciones respondieron HTTP 200.</w:t>
      </w:r>
    </w:p>
    <w:p>
      <w:pPr>
        <w:pStyle w:val="Heading2"/>
        <w:spacing w:after="120" w:before="270"/>
      </w:pPr>
      <w:r>
        <w:rPr>
          <w:rFonts w:ascii="Calibri" w:cs="Calibri" w:eastAsia="Calibri" w:hAnsi="Calibri"/>
          <w:b/>
          <w:bCs/>
          <w:color w:val="A35A21"/>
          <w:sz w:val="23"/>
          <w:szCs w:val="23"/>
        </w:rPr>
        <w:t xml:space="preserve">13.2 Rendimiento del equipo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3000"/>
        <w:gridCol w:w="1200"/>
        <w:gridCol w:w="1400"/>
        <w:gridCol w:w="1800"/>
        <w:gridCol w:w="1620"/>
      </w:tblGrid>
      <w:tr>
        <w:trPr>
          <w:tblHeader/>
        </w:trPr>
        <w:tc>
          <w:tcPr>
            <w:tcW w:type="dxa" w:w="30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7"/>
                <w:szCs w:val="17"/>
              </w:rPr>
              <w:t xml:space="preserve">Profesional</w:t>
            </w:r>
          </w:p>
        </w:tc>
        <w:tc>
          <w:tcPr>
            <w:tcW w:type="dxa" w:w="12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Citas</w:t>
            </w:r>
          </w:p>
        </w:tc>
        <w:tc>
          <w:tcPr>
            <w:tcW w:type="dxa" w:w="14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Servicios</w:t>
            </w:r>
          </w:p>
        </w:tc>
        <w:tc>
          <w:tcPr>
            <w:tcW w:type="dxa" w:w="18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Generado</w:t>
            </w:r>
          </w:p>
        </w:tc>
        <w:tc>
          <w:tcPr>
            <w:tcW w:type="dxa" w:w="16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7"/>
                <w:szCs w:val="17"/>
              </w:rPr>
              <w:t xml:space="preserve">Comisión</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Sofía Espínola</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66</w:t>
            </w:r>
          </w:p>
        </w:tc>
        <w:tc>
          <w:tcPr>
            <w:tcW w:type="dxa" w:w="14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53</w:t>
            </w:r>
          </w:p>
        </w:tc>
        <w:tc>
          <w:tcPr>
            <w:tcW w:type="dxa" w:w="18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6.440.000</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966.000</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Rocío Duarte</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62</w:t>
            </w:r>
          </w:p>
        </w:tc>
        <w:tc>
          <w:tcPr>
            <w:tcW w:type="dxa" w:w="14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51</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6.135.000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920.250</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Marta Cáceres</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73</w:t>
            </w:r>
          </w:p>
        </w:tc>
        <w:tc>
          <w:tcPr>
            <w:tcW w:type="dxa" w:w="14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57</w:t>
            </w:r>
          </w:p>
        </w:tc>
        <w:tc>
          <w:tcPr>
            <w:tcW w:type="dxa" w:w="18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5.630.000</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844.500</w:t>
            </w:r>
          </w:p>
        </w:tc>
      </w:tr>
      <w:tr>
        <w:tc>
          <w:tcPr>
            <w:tcW w:type="dxa" w:w="30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Karen Giménez</w:t>
            </w:r>
          </w:p>
        </w:tc>
        <w:tc>
          <w:tcPr>
            <w:tcW w:type="dxa" w:w="12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47</w:t>
            </w:r>
          </w:p>
        </w:tc>
        <w:tc>
          <w:tcPr>
            <w:tcW w:type="dxa" w:w="14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39</w:t>
            </w:r>
          </w:p>
        </w:tc>
        <w:tc>
          <w:tcPr>
            <w:tcW w:type="dxa" w:w="180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5.320.000</w:t>
            </w:r>
          </w:p>
        </w:tc>
        <w:tc>
          <w:tcPr>
            <w:tcW w:type="dxa" w:w="1620"/>
            <w:shd w:fill="F7F5F2" w:color="auto" w:val="clear"/>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798.000</w:t>
            </w:r>
          </w:p>
        </w:tc>
      </w:tr>
      <w:tr>
        <w:tc>
          <w:tcPr>
            <w:tcW w:type="dxa" w:w="30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7"/>
                <w:szCs w:val="17"/>
              </w:rPr>
              <w:t xml:space="preserve">Lucía Benítez</w:t>
            </w:r>
          </w:p>
        </w:tc>
        <w:tc>
          <w:tcPr>
            <w:tcW w:type="dxa" w:w="12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46</w:t>
            </w:r>
          </w:p>
        </w:tc>
        <w:tc>
          <w:tcPr>
            <w:tcW w:type="dxa" w:w="14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38</w:t>
            </w:r>
          </w:p>
        </w:tc>
        <w:tc>
          <w:tcPr>
            <w:tcW w:type="dxa" w:w="180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4.070.000</w:t>
            </w:r>
          </w:p>
        </w:tc>
        <w:tc>
          <w:tcPr>
            <w:tcW w:type="dxa" w:w="1620"/>
            <w:tcMar>
              <w:top w:type="dxa" w:w="68"/>
              <w:left w:type="dxa" w:w="110"/>
              <w:bottom w:type="dxa" w:w="68"/>
              <w:right w:type="dxa" w:w="110"/>
            </w:tcMar>
          </w:tcPr>
          <w:p>
            <w:pPr>
              <w:spacing w:after="0" w:line="242"/>
              <w:jc w:val="center"/>
            </w:pPr>
            <w:r>
              <w:rPr>
                <w:rFonts w:ascii="Calibri" w:cs="Calibri" w:eastAsia="Calibri" w:hAnsi="Calibri"/>
                <w:b w:val="false"/>
                <w:bCs w:val="false"/>
                <w:color w:val="3A3733"/>
                <w:sz w:val="17"/>
                <w:szCs w:val="17"/>
              </w:rPr>
              <w:t xml:space="preserve">Gs. 610.500</w:t>
            </w:r>
          </w:p>
        </w:tc>
      </w:tr>
    </w:tbl>
    <w:p>
      <w:pPr>
        <w:pBdr>
          <w:left w:val="single" w:color="C9A84C" w:sz="12" w:space="10"/>
        </w:pBdr>
        <w:spacing w:after="150" w:before="110" w:line="278"/>
        <w:ind w:left="230"/>
      </w:pPr>
      <w:r>
        <w:rPr>
          <w:rFonts w:ascii="Calibri" w:cs="Calibri" w:eastAsia="Calibri" w:hAnsi="Calibri"/>
          <w:color w:val="6F6B65"/>
          <w:sz w:val="19"/>
          <w:szCs w:val="19"/>
        </w:rPr>
        <w:t xml:space="preserve">«Sin cargar» no es lo mismo que Gs. 0: fn_comision_servicio devuelve cero tanto cuando la comisión es cero como cuando nadie le cargó ninguna, y son cosas distintas. La pantalla lo distingue desde la 7.12.0.</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14. Errores encontrados</w:t>
      </w:r>
    </w:p>
    <w:p>
      <w:pPr>
        <w:spacing w:after="110" w:before="0" w:line="278"/>
      </w:pPr>
      <w:r>
        <w:rPr>
          <w:rFonts w:ascii="Calibri" w:cs="Calibri" w:eastAsia="Calibri" w:hAnsi="Calibri"/>
          <w:b w:val="false"/>
          <w:bCs w:val="false"/>
          <w:i w:val="false"/>
          <w:iCs w:val="false"/>
          <w:color w:val="3A3733"/>
          <w:sz w:val="20"/>
          <w:szCs w:val="20"/>
        </w:rPr>
        <w:t xml:space="preserve">Cada defecto es reproducible: la columna «Reproducción» dice qué hay que hacer para volver a verlo.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800"/>
        <w:gridCol w:w="900"/>
        <w:gridCol w:w="2300"/>
        <w:gridCol w:w="5020"/>
      </w:tblGrid>
      <w:tr>
        <w:trPr>
          <w:tblHeader/>
        </w:trPr>
        <w:tc>
          <w:tcPr>
            <w:tcW w:type="dxa" w:w="8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ID</w:t>
            </w:r>
          </w:p>
        </w:tc>
        <w:tc>
          <w:tcPr>
            <w:tcW w:type="dxa" w:w="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Sev.</w:t>
            </w:r>
          </w:p>
        </w:tc>
        <w:tc>
          <w:tcPr>
            <w:tcW w:type="dxa" w:w="23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Módulo</w:t>
            </w:r>
          </w:p>
        </w:tc>
        <w:tc>
          <w:tcPr>
            <w:tcW w:type="dxa" w:w="50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Problema</w:t>
            </w:r>
          </w:p>
        </w:tc>
      </w:tr>
      <w:tr>
        <w:tc>
          <w:tcPr>
            <w:tcW w:type="dxa" w:w="8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F-01</w:t>
            </w:r>
          </w:p>
        </w:tc>
        <w:tc>
          <w:tcPr>
            <w:tcW w:type="dxa" w:w="900"/>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CRITICO</w:t>
            </w:r>
          </w:p>
        </w:tc>
        <w:tc>
          <w:tcPr>
            <w:tcW w:type="dxa" w:w="2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Inventario</w:t>
            </w:r>
          </w:p>
        </w:tc>
        <w:tc>
          <w:tcPr>
            <w:tcW w:type="dxa" w:w="50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Registrar una compra devuelve HTTP 500: no se puede cargar mercadería</w:t>
            </w:r>
          </w:p>
        </w:tc>
      </w:tr>
      <w:tr>
        <w:tc>
          <w:tcPr>
            <w:tcW w:type="dxa" w:w="8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F-02</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CRITICO</w:t>
            </w:r>
          </w:p>
        </w:tc>
        <w:tc>
          <w:tcPr>
            <w:tcW w:type="dxa" w:w="23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Tesorería / Caja</w:t>
            </w:r>
          </w:p>
        </w:tc>
        <w:tc>
          <w:tcPr>
            <w:tcW w:type="dxa" w:w="50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Un pago a proveedor puede dejar la caja de otra sucursal en negativo</w:t>
            </w:r>
          </w:p>
        </w:tc>
      </w:tr>
      <w:tr>
        <w:tc>
          <w:tcPr>
            <w:tcW w:type="dxa" w:w="8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F-03</w:t>
            </w:r>
          </w:p>
        </w:tc>
        <w:tc>
          <w:tcPr>
            <w:tcW w:type="dxa" w:w="900"/>
            <w:tcMar>
              <w:top w:type="dxa" w:w="68"/>
              <w:left w:type="dxa" w:w="110"/>
              <w:bottom w:type="dxa" w:w="68"/>
              <w:right w:type="dxa" w:w="110"/>
            </w:tcMar>
          </w:tcPr>
          <w:p>
            <w:pPr>
              <w:spacing w:after="0" w:line="242"/>
              <w:jc w:val="center"/>
            </w:pPr>
            <w:r>
              <w:rPr>
                <w:rFonts w:ascii="Calibri" w:cs="Calibri" w:eastAsia="Calibri" w:hAnsi="Calibri"/>
                <w:b/>
                <w:bCs/>
                <w:color w:val="8A6C1E"/>
                <w:sz w:val="16"/>
                <w:szCs w:val="16"/>
              </w:rPr>
              <w:t xml:space="preserve">MEDIO</w:t>
            </w:r>
          </w:p>
        </w:tc>
        <w:tc>
          <w:tcPr>
            <w:tcW w:type="dxa" w:w="23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Inventario / Citas</w:t>
            </w:r>
          </w:p>
        </w:tc>
        <w:tc>
          <w:tcPr>
            <w:tcW w:type="dxa" w:w="50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El consumo de un producto no habilitado en la sucursal se pierde sin que la pantalla lo explique</w:t>
            </w:r>
          </w:p>
        </w:tc>
      </w:tr>
    </w:tbl>
    <w:p>
      <w:pPr>
        <w:pStyle w:val="Heading2"/>
        <w:spacing w:after="120" w:before="270"/>
      </w:pPr>
      <w:r>
        <w:rPr>
          <w:rFonts w:ascii="Calibri" w:cs="Calibri" w:eastAsia="Calibri" w:hAnsi="Calibri"/>
          <w:b/>
          <w:bCs/>
          <w:color w:val="A35A21"/>
          <w:sz w:val="23"/>
          <w:szCs w:val="23"/>
        </w:rPr>
        <w:t xml:space="preserve">14.1 Detalle de cada defecto</w:t>
      </w:r>
    </w:p>
    <w:p>
      <w:pPr>
        <w:spacing w:after="90" w:before="270"/>
      </w:pPr>
      <w:r>
        <w:rPr>
          <w:rFonts w:ascii="Calibri" w:cs="Calibri" w:eastAsia="Calibri" w:hAnsi="Calibri"/>
          <w:b/>
          <w:bCs/>
          <w:color w:val="3A3733"/>
          <w:sz w:val="22"/>
          <w:szCs w:val="22"/>
        </w:rPr>
        <w:t xml:space="preserve">F-01  </w:t>
      </w:r>
      <w:r>
        <w:rPr>
          <w:rFonts w:ascii="Calibri" w:cs="Calibri" w:eastAsia="Calibri" w:hAnsi="Calibri"/>
          <w:b/>
          <w:bCs/>
          <w:color w:val="993535"/>
          <w:sz w:val="22"/>
          <w:szCs w:val="22"/>
        </w:rPr>
        <w:t xml:space="preserve">Registrar una compra devuelve HTTP 500: no se puede cargar mercadería</w:t>
      </w:r>
    </w:p>
    <w:p>
      <w:pPr>
        <w:spacing w:after="110" w:line="278"/>
      </w:pPr>
      <w:r>
        <w:rPr>
          <w:rFonts w:ascii="Calibri" w:cs="Calibri" w:eastAsia="Calibri" w:hAnsi="Calibri"/>
          <w:b/>
          <w:bCs/>
          <w:color w:val="3A3733"/>
          <w:sz w:val="18"/>
          <w:szCs w:val="18"/>
        </w:rPr>
        <w:t xml:space="preserve">Severidad: </w:t>
      </w:r>
      <w:r>
        <w:rPr>
          <w:rFonts w:ascii="Calibri" w:cs="Calibri" w:eastAsia="Calibri" w:hAnsi="Calibri"/>
          <w:b/>
          <w:bCs/>
          <w:color w:val="993535"/>
          <w:sz w:val="18"/>
          <w:szCs w:val="18"/>
        </w:rPr>
        <w:t xml:space="preserve">CRITICO</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Módulo: </w:t>
      </w:r>
      <w:r>
        <w:rPr>
          <w:rFonts w:ascii="Calibri" w:cs="Calibri" w:eastAsia="Calibri" w:hAnsi="Calibri"/>
          <w:color w:val="3A3733"/>
          <w:sz w:val="18"/>
          <w:szCs w:val="18"/>
        </w:rPr>
        <w:t xml:space="preserve">Inventario</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Código: </w:t>
      </w:r>
      <w:r>
        <w:rPr>
          <w:rFonts w:ascii="Calibri" w:cs="Calibri" w:eastAsia="Calibri" w:hAnsi="Calibri"/>
          <w:color w:val="3A3733"/>
          <w:sz w:val="18"/>
          <w:szCs w:val="18"/>
        </w:rPr>
        <w:t xml:space="preserve">IN-05</w:t>
      </w:r>
    </w:p>
    <w:p>
      <w:pPr>
        <w:spacing w:after="110" w:line="278"/>
      </w:pPr>
      <w:r>
        <w:rPr>
          <w:rFonts w:ascii="Calibri" w:cs="Calibri" w:eastAsia="Calibri" w:hAnsi="Calibri"/>
          <w:b/>
          <w:bCs/>
          <w:color w:val="3A3733"/>
          <w:sz w:val="19"/>
          <w:szCs w:val="19"/>
        </w:rPr>
        <w:t xml:space="preserve">Qué pasa. </w:t>
      </w:r>
      <w:r>
        <w:rPr>
          <w:rFonts w:ascii="Calibri" w:cs="Calibri" w:eastAsia="Calibri" w:hAnsi="Calibri"/>
          <w:color w:val="3A3733"/>
          <w:sz w:val="19"/>
          <w:szCs w:val="19"/>
        </w:rPr>
        <w:t xml:space="preserve">La pantalla «Nueva compra» (GET /inventario/compras/nueva) contesta 500 siempre que haya una sucursal activa. La consulta que arma la lista de productos filtra con `Sucursales::filtro('producto', ...)`, que genera `AND producto.id_sucursal = :suc`, y esa columna dejó de existir en la 7.33.0 cuando el catálogo de productos pasó a ser único y el local se mudó a `producto_sucursal`.</w:t>
      </w:r>
    </w:p>
    <w:p>
      <w:pPr>
        <w:spacing w:after="110" w:line="278"/>
      </w:pPr>
      <w:r>
        <w:rPr>
          <w:rFonts w:ascii="Calibri" w:cs="Calibri" w:eastAsia="Calibri" w:hAnsi="Calibri"/>
          <w:b/>
          <w:bCs/>
          <w:color w:val="3A3733"/>
          <w:sz w:val="19"/>
          <w:szCs w:val="19"/>
        </w:rPr>
        <w:t xml:space="preserve">De dónde viene. </w:t>
      </w:r>
      <w:r>
        <w:rPr>
          <w:rFonts w:ascii="Calibri" w:cs="Calibri" w:eastAsia="Calibri" w:hAnsi="Calibri"/>
          <w:color w:val="3A3733"/>
          <w:sz w:val="19"/>
          <w:szCs w:val="19"/>
        </w:rPr>
        <w:t xml:space="preserve">Regresión introducida en la 7.33.0. Ninguna prueba abre esa pantalla.</w:t>
      </w:r>
    </w:p>
    <w:p>
      <w:pPr>
        <w:spacing w:after="110" w:line="278"/>
      </w:pPr>
      <w:r>
        <w:rPr>
          <w:rFonts w:ascii="Calibri" w:cs="Calibri" w:eastAsia="Calibri" w:hAnsi="Calibri"/>
          <w:b/>
          <w:bCs/>
          <w:color w:val="3A3733"/>
          <w:sz w:val="19"/>
          <w:szCs w:val="19"/>
        </w:rPr>
        <w:t xml:space="preserve">Cómo reproducirlo. </w:t>
      </w:r>
      <w:r>
        <w:rPr>
          <w:rFonts w:ascii="Calibri" w:cs="Calibri" w:eastAsia="Calibri" w:hAnsi="Calibri"/>
          <w:color w:val="3A3733"/>
          <w:sz w:val="19"/>
          <w:szCs w:val="19"/>
        </w:rPr>
        <w:t xml:space="preserve">Entrar con cualquier cuenta con permiso `inventario.compras`, elegir sucursal y abrir Inventario → Compras → Nueva compra. Error de MariaDB 1054: «Unknown column 'producto.id_sucursal' in 'where clause'».</w:t>
      </w:r>
    </w:p>
    <w:p>
      <w:pPr>
        <w:spacing w:after="110" w:line="278"/>
      </w:pPr>
      <w:r>
        <w:rPr>
          <w:rFonts w:ascii="Calibri" w:cs="Calibri" w:eastAsia="Calibri" w:hAnsi="Calibri"/>
          <w:b/>
          <w:bCs/>
          <w:color w:val="3A3733"/>
          <w:sz w:val="19"/>
          <w:szCs w:val="19"/>
        </w:rPr>
        <w:t xml:space="preserve">Impacto. </w:t>
      </w:r>
      <w:r>
        <w:rPr>
          <w:rFonts w:ascii="Calibri" w:cs="Calibri" w:eastAsia="Calibri" w:hAnsi="Calibri"/>
          <w:color w:val="3A3733"/>
          <w:sz w:val="19"/>
          <w:szCs w:val="19"/>
        </w:rPr>
        <w:t xml:space="preserve">Bloquea por completo el alta de compras: el salón no puede registrar el ingreso de mercadería por el camino normal. El stock sólo se puede mover por ajuste manual.</w:t>
      </w:r>
    </w:p>
    <w:p>
      <w:pPr>
        <w:spacing w:after="90" w:before="270"/>
      </w:pPr>
      <w:r>
        <w:rPr>
          <w:rFonts w:ascii="Calibri" w:cs="Calibri" w:eastAsia="Calibri" w:hAnsi="Calibri"/>
          <w:b/>
          <w:bCs/>
          <w:color w:val="3A3733"/>
          <w:sz w:val="22"/>
          <w:szCs w:val="22"/>
        </w:rPr>
        <w:t xml:space="preserve">F-02  </w:t>
      </w:r>
      <w:r>
        <w:rPr>
          <w:rFonts w:ascii="Calibri" w:cs="Calibri" w:eastAsia="Calibri" w:hAnsi="Calibri"/>
          <w:b/>
          <w:bCs/>
          <w:color w:val="993535"/>
          <w:sz w:val="22"/>
          <w:szCs w:val="22"/>
        </w:rPr>
        <w:t xml:space="preserve">Un pago a proveedor puede dejar la caja de otra sucursal en negativo</w:t>
      </w:r>
    </w:p>
    <w:p>
      <w:pPr>
        <w:spacing w:after="110" w:line="278"/>
      </w:pPr>
      <w:r>
        <w:rPr>
          <w:rFonts w:ascii="Calibri" w:cs="Calibri" w:eastAsia="Calibri" w:hAnsi="Calibri"/>
          <w:b/>
          <w:bCs/>
          <w:color w:val="3A3733"/>
          <w:sz w:val="18"/>
          <w:szCs w:val="18"/>
        </w:rPr>
        <w:t xml:space="preserve">Severidad: </w:t>
      </w:r>
      <w:r>
        <w:rPr>
          <w:rFonts w:ascii="Calibri" w:cs="Calibri" w:eastAsia="Calibri" w:hAnsi="Calibri"/>
          <w:b/>
          <w:bCs/>
          <w:color w:val="993535"/>
          <w:sz w:val="18"/>
          <w:szCs w:val="18"/>
        </w:rPr>
        <w:t xml:space="preserve">CRITICO</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Módulo: </w:t>
      </w:r>
      <w:r>
        <w:rPr>
          <w:rFonts w:ascii="Calibri" w:cs="Calibri" w:eastAsia="Calibri" w:hAnsi="Calibri"/>
          <w:color w:val="3A3733"/>
          <w:sz w:val="18"/>
          <w:szCs w:val="18"/>
        </w:rPr>
        <w:t xml:space="preserve">Tesorería / Caja</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Código: </w:t>
      </w:r>
      <w:r>
        <w:rPr>
          <w:rFonts w:ascii="Calibri" w:cs="Calibri" w:eastAsia="Calibri" w:hAnsi="Calibri"/>
          <w:color w:val="3A3733"/>
          <w:sz w:val="18"/>
          <w:szCs w:val="18"/>
        </w:rPr>
        <w:t xml:space="preserve">CJ-03</w:t>
      </w:r>
    </w:p>
    <w:p>
      <w:pPr>
        <w:spacing w:after="110" w:line="278"/>
      </w:pPr>
      <w:r>
        <w:rPr>
          <w:rFonts w:ascii="Calibri" w:cs="Calibri" w:eastAsia="Calibri" w:hAnsi="Calibri"/>
          <w:b/>
          <w:bCs/>
          <w:color w:val="3A3733"/>
          <w:sz w:val="19"/>
          <w:szCs w:val="19"/>
        </w:rPr>
        <w:t xml:space="preserve">Qué pasa. </w:t>
      </w:r>
      <w:r>
        <w:rPr>
          <w:rFonts w:ascii="Calibri" w:cs="Calibri" w:eastAsia="Calibri" w:hAnsi="Calibri"/>
          <w:color w:val="3A3733"/>
          <w:sz w:val="19"/>
          <w:szCs w:val="19"/>
        </w:rPr>
        <w:t xml:space="preserve">El control que impide entregar efectivo que no está en el cajón mira la caja de la SUCURSAL ACTIVA (`Caja::abierta()`, que filtra por `Sucursales::activa()`), pero `sp_pagar_compra` graba el pago en la caja DEL USUARIO (`WHERE id_usuario = p_id_usuario AND id_estado_caja = 1 ORDER BY id_caja DESC LIMIT 1`). Con más de un local abierto a la vez, esas dos cajas pueden ser distintas: se valida contra una y se descuenta de otra. El controlador sólo corrige `id_caja` cuando el procedimiento lo dejó en NULL, así que no alcanza a enmendarlo.</w:t>
      </w:r>
    </w:p>
    <w:p>
      <w:pPr>
        <w:spacing w:after="110" w:line="278"/>
      </w:pPr>
      <w:r>
        <w:rPr>
          <w:rFonts w:ascii="Calibri" w:cs="Calibri" w:eastAsia="Calibri" w:hAnsi="Calibri"/>
          <w:b/>
          <w:bCs/>
          <w:color w:val="3A3733"/>
          <w:sz w:val="19"/>
          <w:szCs w:val="19"/>
        </w:rPr>
        <w:t xml:space="preserve">De dónde viene. </w:t>
      </w:r>
      <w:r>
        <w:rPr>
          <w:rFonts w:ascii="Calibri" w:cs="Calibri" w:eastAsia="Calibri" w:hAnsi="Calibri"/>
          <w:color w:val="3A3733"/>
          <w:sz w:val="19"/>
          <w:szCs w:val="19"/>
        </w:rPr>
        <w:t xml:space="preserve">Aparece con el multisucursal de la 7.30.0; sin cobertura previa.</w:t>
      </w:r>
    </w:p>
    <w:p>
      <w:pPr>
        <w:spacing w:after="110" w:line="278"/>
      </w:pPr>
      <w:r>
        <w:rPr>
          <w:rFonts w:ascii="Calibri" w:cs="Calibri" w:eastAsia="Calibri" w:hAnsi="Calibri"/>
          <w:b/>
          <w:bCs/>
          <w:color w:val="3A3733"/>
          <w:sz w:val="19"/>
          <w:szCs w:val="19"/>
        </w:rPr>
        <w:t xml:space="preserve">Cómo reproducirlo. </w:t>
      </w:r>
      <w:r>
        <w:rPr>
          <w:rFonts w:ascii="Calibri" w:cs="Calibri" w:eastAsia="Calibri" w:hAnsi="Calibri"/>
          <w:color w:val="3A3733"/>
          <w:sz w:val="19"/>
          <w:szCs w:val="19"/>
        </w:rPr>
        <w:t xml:space="preserve">Una cuenta asignada a dos sucursales abre la caja en ambas. Trabajando en el local con más efectivo, registrar un pago a proveedor en efectivo mayor al saldo del OTRO local. Evidencia: caja #19 (sucursal 2), monto inicial Gs. 150.000, pago a proveedor #2 en efectivo por Gs. 1.150.000 aplicado, saldo final Gs. -1.000.000.</w:t>
      </w:r>
    </w:p>
    <w:p>
      <w:pPr>
        <w:spacing w:after="110" w:line="278"/>
      </w:pPr>
      <w:r>
        <w:rPr>
          <w:rFonts w:ascii="Calibri" w:cs="Calibri" w:eastAsia="Calibri" w:hAnsi="Calibri"/>
          <w:b/>
          <w:bCs/>
          <w:color w:val="3A3733"/>
          <w:sz w:val="19"/>
          <w:szCs w:val="19"/>
        </w:rPr>
        <w:t xml:space="preserve">Impacto. </w:t>
      </w:r>
      <w:r>
        <w:rPr>
          <w:rFonts w:ascii="Calibri" w:cs="Calibri" w:eastAsia="Calibri" w:hAnsi="Calibri"/>
          <w:color w:val="3A3733"/>
          <w:sz w:val="19"/>
          <w:szCs w:val="19"/>
        </w:rPr>
        <w:t xml:space="preserve">Arqueo imposible de cuadrar en el local afectado y salida de efectivo no respaldada. Es la misma clase de defecto que CJ-01, ahora por la vía de la sucursal.</w:t>
      </w:r>
    </w:p>
    <w:p>
      <w:pPr>
        <w:spacing w:after="90" w:before="270"/>
      </w:pPr>
      <w:r>
        <w:rPr>
          <w:rFonts w:ascii="Calibri" w:cs="Calibri" w:eastAsia="Calibri" w:hAnsi="Calibri"/>
          <w:b/>
          <w:bCs/>
          <w:color w:val="3A3733"/>
          <w:sz w:val="22"/>
          <w:szCs w:val="22"/>
        </w:rPr>
        <w:t xml:space="preserve">F-03  </w:t>
      </w:r>
      <w:r>
        <w:rPr>
          <w:rFonts w:ascii="Calibri" w:cs="Calibri" w:eastAsia="Calibri" w:hAnsi="Calibri"/>
          <w:b/>
          <w:bCs/>
          <w:color w:val="8A6C1E"/>
          <w:sz w:val="22"/>
          <w:szCs w:val="22"/>
        </w:rPr>
        <w:t xml:space="preserve">El consumo de un producto no habilitado en la sucursal se pierde sin que la pantalla lo explique</w:t>
      </w:r>
    </w:p>
    <w:p>
      <w:pPr>
        <w:spacing w:after="110" w:line="278"/>
      </w:pPr>
      <w:r>
        <w:rPr>
          <w:rFonts w:ascii="Calibri" w:cs="Calibri" w:eastAsia="Calibri" w:hAnsi="Calibri"/>
          <w:b/>
          <w:bCs/>
          <w:color w:val="3A3733"/>
          <w:sz w:val="18"/>
          <w:szCs w:val="18"/>
        </w:rPr>
        <w:t xml:space="preserve">Severidad: </w:t>
      </w:r>
      <w:r>
        <w:rPr>
          <w:rFonts w:ascii="Calibri" w:cs="Calibri" w:eastAsia="Calibri" w:hAnsi="Calibri"/>
          <w:b/>
          <w:bCs/>
          <w:color w:val="8A6C1E"/>
          <w:sz w:val="18"/>
          <w:szCs w:val="18"/>
        </w:rPr>
        <w:t xml:space="preserve">MEDIO</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Módulo: </w:t>
      </w:r>
      <w:r>
        <w:rPr>
          <w:rFonts w:ascii="Calibri" w:cs="Calibri" w:eastAsia="Calibri" w:hAnsi="Calibri"/>
          <w:color w:val="3A3733"/>
          <w:sz w:val="18"/>
          <w:szCs w:val="18"/>
        </w:rPr>
        <w:t xml:space="preserve">Inventario / Citas</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Código: </w:t>
      </w:r>
      <w:r>
        <w:rPr>
          <w:rFonts w:ascii="Calibri" w:cs="Calibri" w:eastAsia="Calibri" w:hAnsi="Calibri"/>
          <w:color w:val="3A3733"/>
          <w:sz w:val="18"/>
          <w:szCs w:val="18"/>
        </w:rPr>
        <w:t xml:space="preserve">IN-06</w:t>
      </w:r>
    </w:p>
    <w:p>
      <w:pPr>
        <w:spacing w:after="110" w:line="278"/>
      </w:pPr>
      <w:r>
        <w:rPr>
          <w:rFonts w:ascii="Calibri" w:cs="Calibri" w:eastAsia="Calibri" w:hAnsi="Calibri"/>
          <w:b/>
          <w:bCs/>
          <w:color w:val="3A3733"/>
          <w:sz w:val="19"/>
          <w:szCs w:val="19"/>
        </w:rPr>
        <w:t xml:space="preserve">Qué pasa. </w:t>
      </w:r>
      <w:r>
        <w:rPr>
          <w:rFonts w:ascii="Calibri" w:cs="Calibri" w:eastAsia="Calibri" w:hAnsi="Calibri"/>
          <w:color w:val="3A3733"/>
          <w:sz w:val="19"/>
          <w:szCs w:val="19"/>
        </w:rPr>
        <w:t xml:space="preserve">Al registrar la atención en un local que no maneja ese producto, `trg_movinv_bi` rechaza el movimiento con «Ese producto no esta habilitado en esa sucursal». El disparador hace bien su trabajo —el candado se mudó a `producto_sucursal` en la 7.33.0—, pero la atención queda registrada sin ese consumo y el aviso no dice cómo resolverlo: falta indicar que el producto se trae desde Inventario → Productos → «Traer acá».</w:t>
      </w:r>
    </w:p>
    <w:p>
      <w:pPr>
        <w:spacing w:after="110" w:line="278"/>
      </w:pPr>
      <w:r>
        <w:rPr>
          <w:rFonts w:ascii="Calibri" w:cs="Calibri" w:eastAsia="Calibri" w:hAnsi="Calibri"/>
          <w:b/>
          <w:bCs/>
          <w:color w:val="3A3733"/>
          <w:sz w:val="19"/>
          <w:szCs w:val="19"/>
        </w:rPr>
        <w:t xml:space="preserve">De dónde viene. </w:t>
      </w:r>
      <w:r>
        <w:rPr>
          <w:rFonts w:ascii="Calibri" w:cs="Calibri" w:eastAsia="Calibri" w:hAnsi="Calibri"/>
          <w:color w:val="3A3733"/>
          <w:sz w:val="19"/>
          <w:szCs w:val="19"/>
        </w:rPr>
        <w:t xml:space="preserve">Consecuencia esperable de la 7.33.0, con el mensaje incompleto.</w:t>
      </w:r>
    </w:p>
    <w:p>
      <w:pPr>
        <w:spacing w:after="110" w:line="278"/>
      </w:pPr>
      <w:r>
        <w:rPr>
          <w:rFonts w:ascii="Calibri" w:cs="Calibri" w:eastAsia="Calibri" w:hAnsi="Calibri"/>
          <w:b/>
          <w:bCs/>
          <w:color w:val="3A3733"/>
          <w:sz w:val="19"/>
          <w:szCs w:val="19"/>
        </w:rPr>
        <w:t xml:space="preserve">Cómo reproducirlo. </w:t>
      </w:r>
      <w:r>
        <w:rPr>
          <w:rFonts w:ascii="Calibri" w:cs="Calibri" w:eastAsia="Calibri" w:hAnsi="Calibri"/>
          <w:color w:val="3A3733"/>
          <w:sz w:val="19"/>
          <w:szCs w:val="19"/>
        </w:rPr>
        <w:t xml:space="preserve">Atender una cita en la sucursal 2 cargando un producto que sólo está habilitado en la sucursal 1. La atención se registra; la línea de consumo no.</w:t>
      </w:r>
    </w:p>
    <w:p>
      <w:pPr>
        <w:spacing w:after="110" w:line="278"/>
      </w:pPr>
      <w:r>
        <w:rPr>
          <w:rFonts w:ascii="Calibri" w:cs="Calibri" w:eastAsia="Calibri" w:hAnsi="Calibri"/>
          <w:b/>
          <w:bCs/>
          <w:color w:val="3A3733"/>
          <w:sz w:val="19"/>
          <w:szCs w:val="19"/>
        </w:rPr>
        <w:t xml:space="preserve">Impacto. </w:t>
      </w:r>
      <w:r>
        <w:rPr>
          <w:rFonts w:ascii="Calibri" w:cs="Calibri" w:eastAsia="Calibri" w:hAnsi="Calibri"/>
          <w:color w:val="3A3733"/>
          <w:sz w:val="19"/>
          <w:szCs w:val="19"/>
        </w:rPr>
        <w:t xml:space="preserve">El stock no refleja lo que se usó y quien atiende no sabe por qué. No hay pérdida de datos: la atención y los servicios sí quedan.</w:t>
      </w:r>
    </w:p>
    <w:p>
      <w:r>
        <w:br w:type="page"/>
      </w:r>
    </w:p>
    <w:p>
      <w:pPr>
        <w:pStyle w:val="Heading2"/>
        <w:spacing w:after="120" w:before="270"/>
      </w:pPr>
      <w:r>
        <w:rPr>
          <w:rFonts w:ascii="Calibri" w:cs="Calibri" w:eastAsia="Calibri" w:hAnsi="Calibri"/>
          <w:b/>
          <w:bCs/>
          <w:color w:val="A35A21"/>
          <w:sz w:val="23"/>
          <w:szCs w:val="23"/>
        </w:rPr>
        <w:t xml:space="preserve">14.2 Alertas descartadas tras verificarlas</w:t>
      </w:r>
    </w:p>
    <w:p>
      <w:pPr>
        <w:spacing w:after="110" w:before="0" w:line="278"/>
      </w:pPr>
      <w:r>
        <w:rPr>
          <w:rFonts w:ascii="Calibri" w:cs="Calibri" w:eastAsia="Calibri" w:hAnsi="Calibri"/>
          <w:b w:val="false"/>
          <w:bCs w:val="false"/>
          <w:i w:val="false"/>
          <w:iCs w:val="false"/>
          <w:color w:val="3A3733"/>
          <w:sz w:val="20"/>
          <w:szCs w:val="20"/>
        </w:rPr>
        <w:t xml:space="preserve">El detector marcó estas y la verificación mostró que no son defectos del sistema. Se publican con su motivo: un detector que se equivoca hay que decir cuándo se equivocó, y quien lea el informe tiene que poder distinguir lo que hay que arreglar de lo que no.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200"/>
        <w:gridCol w:w="6820"/>
      </w:tblGrid>
      <w:tr>
        <w:trPr>
          <w:tblHeader/>
        </w:trPr>
        <w:tc>
          <w:tcPr>
            <w:tcW w:type="dxa" w:w="22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Código</w:t>
            </w:r>
          </w:p>
        </w:tc>
        <w:tc>
          <w:tcPr>
            <w:tcW w:type="dxa" w:w="68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Por qué se descarta</w:t>
            </w:r>
          </w:p>
        </w:tc>
      </w:tr>
      <w:tr>
        <w:tc>
          <w:tcPr>
            <w:tcW w:type="dxa" w:w="22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AUD_STOCK_DIFIERE</w:t>
            </w:r>
          </w:p>
        </w:tc>
        <w:tc>
          <w:tcPr>
            <w:tcW w:type="dxa" w:w="68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FALSO POSITIVO del banco. La sección 1 de la auditoría recalcula el stock sumando TODOS los movimientos del producto sin distinguir sucursal, y lo compara contra `fn_producto_stock(id, 1)`, que devuelve el de la sucursal 1. Con el catálogo compartido de la 7.33.0 esa comparación no tiene sentido. La comprobación correcta —por (producto, sucursal)— se agregó en la sección 15 y no encontró ninguna discrepancia.</w:t>
            </w:r>
          </w:p>
        </w:tc>
      </w:tr>
      <w:tr>
        <w:tc>
          <w:tcPr>
            <w:tcW w:type="dxa" w:w="22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AUD_CAJAS_SOLAPADAS</w:t>
            </w:r>
          </w:p>
        </w:tc>
        <w:tc>
          <w:tcPr>
            <w:tcW w:type="dxa" w:w="68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FALSO POSITIVO del banco. La comprobación es anterior al multisucursal y da por hecho que sólo puede haber una caja abierta en todo el salón. Desde la 7.31.0 cada local cuenta su propio cajón, así que N cajas abiertas a la vez —una por sucursal— es lo correcto. Lo que sí se comprobó, y pasó, es que ninguna sucursal tenga dos.</w:t>
            </w:r>
          </w:p>
        </w:tc>
      </w:tr>
      <w:tr>
        <w:tc>
          <w:tcPr>
            <w:tcW w:type="dxa" w:w="22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AUD_REGRESION</w:t>
            </w:r>
          </w:p>
        </w:tc>
        <w:tc>
          <w:tcPr>
            <w:tcW w:type="dxa" w:w="68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FALSO POSITIVO del banco, por el mismo motivo: la regresión de CJ-01 se mide contando cajas abiertas en todo el salón. Reformulada por sucursal, no reaparece.</w:t>
            </w:r>
          </w:p>
        </w:tc>
      </w:tr>
      <w:tr>
        <w:tc>
          <w:tcPr>
            <w:tcW w:type="dxa" w:w="22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AUD_CAJA_NEGATIVA</w:t>
            </w:r>
          </w:p>
        </w:tc>
        <w:tc>
          <w:tcPr>
            <w:tcW w:type="dxa" w:w="68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Es el mismo hecho que CJ-03, contado de nuevo por la auditoría final. Se consolida en un solo hallazgo para no inflar la cuenta.</w:t>
            </w:r>
          </w:p>
        </w:tc>
      </w:tr>
      <w:tr>
        <w:tc>
          <w:tcPr>
            <w:tcW w:type="dxa" w:w="22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AUD_TEMPORAL</w:t>
            </w:r>
          </w:p>
        </w:tc>
        <w:tc>
          <w:tcPr>
            <w:tcW w:type="dxa" w:w="68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NO CONCLUYENTE. «Cobro fuera de la caja: 11 filas» se mide contra la ventana de la caja del salón, sin separar por sucursal. Con dos locales abiertos en paralelo la ventana no es única, así que la comprobación no distingue un cobro mal fechado de uno correcto de otro local. Queda como NO VERIFICADO.</w:t>
            </w:r>
          </w:p>
        </w:tc>
      </w:tr>
      <w:tr>
        <w:tc>
          <w:tcPr>
            <w:tcW w:type="dxa" w:w="22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NC_CAJA_NO_BAJA</w:t>
            </w:r>
          </w:p>
        </w:tc>
        <w:tc>
          <w:tcPr>
            <w:tcW w:type="dxa" w:w="68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NO CONCLUYENTE. La nota de crédito descuenta del cajón lo que la clienta había pagado en efectivo; con cajas por sucursal no se pudo determinar en esta corrida si el egreso fue al local correcto o si directamente no se registró. Queda como NO VERIFICADO y merece una prueba dirigida.</w:t>
            </w:r>
          </w:p>
        </w:tc>
      </w:tr>
      <w:tr>
        <w:tc>
          <w:tcPr>
            <w:tcW w:type="dxa" w:w="22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AUD_PANTALLA_ROTA</w:t>
            </w:r>
          </w:p>
        </w:tc>
        <w:tc>
          <w:tcPr>
            <w:tcW w:type="dxa" w:w="68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Es el mismo hecho que IN-05, detectado por la auditoría final.</w:t>
            </w:r>
          </w:p>
        </w:tc>
      </w:tr>
    </w:tbl>
    <w:p>
      <w:pPr>
        <w:pStyle w:val="Heading2"/>
        <w:spacing w:after="120" w:before="270"/>
      </w:pPr>
      <w:r>
        <w:rPr>
          <w:rFonts w:ascii="Calibri" w:cs="Calibri" w:eastAsia="Calibri" w:hAnsi="Calibri"/>
          <w:b/>
          <w:bCs/>
          <w:color w:val="A35A21"/>
          <w:sz w:val="23"/>
          <w:szCs w:val="23"/>
        </w:rPr>
        <w:t xml:space="preserve">14.3 Anotaciones sobre el banco de pruebas</w:t>
      </w:r>
    </w:p>
    <w:p>
      <w:pPr>
        <w:spacing w:after="110" w:before="0" w:line="278"/>
      </w:pPr>
      <w:r>
        <w:rPr>
          <w:rFonts w:ascii="Calibri" w:cs="Calibri" w:eastAsia="Calibri" w:hAnsi="Calibri"/>
          <w:b w:val="false"/>
          <w:bCs w:val="false"/>
          <w:i w:val="false"/>
          <w:iCs w:val="false"/>
          <w:color w:val="3A3733"/>
          <w:sz w:val="19"/>
          <w:szCs w:val="19"/>
        </w:rPr>
        <w:t xml:space="preserve">· Dos errores de MariaDB del log («Unknown column 't.token'» y «Unknown column 'monto_final'») provienen de consultas del propio banco de pruebas, no del sistema.</w:t>
      </w:r>
    </w:p>
    <w:p>
      <w:pPr>
        <w:spacing w:after="110" w:before="0" w:line="278"/>
      </w:pPr>
      <w:r>
        <w:rPr>
          <w:rFonts w:ascii="Calibri" w:cs="Calibri" w:eastAsia="Calibri" w:hAnsi="Calibri"/>
          <w:b w:val="false"/>
          <w:bCs w:val="false"/>
          <w:i w:val="false"/>
          <w:iCs w:val="false"/>
          <w:color w:val="3A3733"/>
          <w:sz w:val="19"/>
          <w:szCs w:val="19"/>
        </w:rPr>
        <w:t xml:space="preserve">· La caja del local nuevo no abría por CJ-04, corregido durante la corrida a pedido del usuario (versión 7.36.2) para que el multisucursal pudiera probarse de verdad.</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15. Warnings</w:t>
      </w:r>
    </w:p>
    <w:p>
      <w:pPr>
        <w:spacing w:after="110" w:before="0" w:line="278"/>
      </w:pPr>
      <w:r>
        <w:rPr>
          <w:rFonts w:ascii="Calibri" w:cs="Calibri" w:eastAsia="Calibri" w:hAnsi="Calibri"/>
          <w:b w:val="false"/>
          <w:bCs w:val="false"/>
          <w:i w:val="false"/>
          <w:iCs w:val="false"/>
          <w:color w:val="3A3733"/>
          <w:sz w:val="20"/>
          <w:szCs w:val="20"/>
        </w:rPr>
        <w:t xml:space="preserve">Comportamientos que no rompen nada hoy, pero que conviene mirar: o dependen de una configuración que el salón podría cambiar, o dejan una función publicada sin que se pueda usar.</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800"/>
        <w:gridCol w:w="900"/>
        <w:gridCol w:w="5100"/>
        <w:gridCol w:w="2220"/>
      </w:tblGrid>
      <w:tr>
        <w:trPr>
          <w:tblHeader/>
        </w:trPr>
        <w:tc>
          <w:tcPr>
            <w:tcW w:type="dxa" w:w="8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ID</w:t>
            </w:r>
          </w:p>
        </w:tc>
        <w:tc>
          <w:tcPr>
            <w:tcW w:type="dxa" w:w="9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Sev.</w:t>
            </w:r>
          </w:p>
        </w:tc>
        <w:tc>
          <w:tcPr>
            <w:tcW w:type="dxa" w:w="51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Observación</w:t>
            </w:r>
          </w:p>
        </w:tc>
        <w:tc>
          <w:tcPr>
            <w:tcW w:type="dxa" w:w="22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Módulo</w:t>
            </w:r>
          </w:p>
        </w:tc>
      </w:tr>
      <w:tr>
        <w:tc>
          <w:tcPr>
            <w:tcW w:type="dxa" w:w="8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W-01</w:t>
            </w:r>
          </w:p>
        </w:tc>
        <w:tc>
          <w:tcPr>
            <w:tcW w:type="dxa" w:w="900"/>
            <w:tcMar>
              <w:top w:type="dxa" w:w="68"/>
              <w:left w:type="dxa" w:w="110"/>
              <w:bottom w:type="dxa" w:w="68"/>
              <w:right w:type="dxa" w:w="110"/>
            </w:tcMar>
          </w:tcPr>
          <w:p>
            <w:pPr>
              <w:spacing w:after="0" w:line="242"/>
              <w:jc w:val="center"/>
            </w:pPr>
            <w:r>
              <w:rPr>
                <w:rFonts w:ascii="Calibri" w:cs="Calibri" w:eastAsia="Calibri" w:hAnsi="Calibri"/>
                <w:b/>
                <w:bCs/>
                <w:color w:val="8A6C1E"/>
                <w:sz w:val="16"/>
                <w:szCs w:val="16"/>
              </w:rPr>
              <w:t xml:space="preserve">MEDIO</w:t>
            </w:r>
          </w:p>
        </w:tc>
        <w:tc>
          <w:tcPr>
            <w:tcW w:type="dxa" w:w="5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Una Profesional (sin permiso de caja) ve en el panel los ingresos de TODO el salón: Gs. 1.153.500. La corrección de la 7.13.1 tapó la barra de caja pero no las cuatro métricas de arriba, que se calculan siempre sin filtrar por rol</w:t>
            </w:r>
          </w:p>
        </w:tc>
        <w:tc>
          <w:tcPr>
            <w:tcW w:type="dxa" w:w="2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Panel</w:t>
            </w:r>
          </w:p>
        </w:tc>
      </w:tr>
      <w:tr>
        <w:tc>
          <w:tcPr>
            <w:tcW w:type="dxa" w:w="8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W-02</w:t>
            </w:r>
          </w:p>
        </w:tc>
        <w:tc>
          <w:tcPr>
            <w:tcW w:type="dxa" w:w="9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8A6C1E"/>
                <w:sz w:val="16"/>
                <w:szCs w:val="16"/>
              </w:rPr>
              <w:t xml:space="preserve">MEDIO</w:t>
            </w:r>
          </w:p>
        </w:tc>
        <w:tc>
          <w:tcPr>
            <w:tcW w:type="dxa" w:w="51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En 60 días la clienta que más puntos juntó llegó a 326 y el canje más barato cuesta 400. El catálogo de canjes está publicado y ninguna clienta puede usarlo: el portal le muestra premios que no puede alcanzar</w:t>
            </w:r>
          </w:p>
        </w:tc>
        <w:tc>
          <w:tcPr>
            <w:tcW w:type="dxa" w:w="22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Clientes y fidelización</w:t>
            </w:r>
          </w:p>
        </w:tc>
      </w:tr>
      <w:tr>
        <w:tc>
          <w:tcPr>
            <w:tcW w:type="dxa" w:w="8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W-03</w:t>
            </w:r>
          </w:p>
        </w:tc>
        <w:tc>
          <w:tcPr>
            <w:tcW w:type="dxa" w:w="900"/>
            <w:tcMar>
              <w:top w:type="dxa" w:w="68"/>
              <w:left w:type="dxa" w:w="110"/>
              <w:bottom w:type="dxa" w:w="68"/>
              <w:right w:type="dxa" w:w="110"/>
            </w:tcMar>
          </w:tcPr>
          <w:p>
            <w:pPr>
              <w:spacing w:after="0" w:line="242"/>
              <w:jc w:val="center"/>
            </w:pPr>
            <w:r>
              <w:rPr>
                <w:rFonts w:ascii="Calibri" w:cs="Calibri" w:eastAsia="Calibri" w:hAnsi="Calibri"/>
                <w:b/>
                <w:bCs/>
                <w:color w:val="6F6B65"/>
                <w:sz w:val="16"/>
                <w:szCs w:val="16"/>
              </w:rPr>
              <w:t xml:space="preserve">BAJO</w:t>
            </w:r>
          </w:p>
        </w:tc>
        <w:tc>
          <w:tcPr>
            <w:tcW w:type="dxa" w:w="51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La venta de productos no tiene pantalla (fuera de alcance)</w:t>
            </w:r>
          </w:p>
        </w:tc>
        <w:tc>
          <w:tcPr>
            <w:tcW w:type="dxa" w:w="2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Inventario</w:t>
            </w:r>
          </w:p>
        </w:tc>
      </w:tr>
    </w:tbl>
    <w:p>
      <w:pPr>
        <w:pStyle w:val="Heading2"/>
        <w:spacing w:after="120" w:before="270"/>
      </w:pPr>
      <w:r>
        <w:rPr>
          <w:rFonts w:ascii="Calibri" w:cs="Calibri" w:eastAsia="Calibri" w:hAnsi="Calibri"/>
          <w:b/>
          <w:bCs/>
          <w:color w:val="A35A21"/>
          <w:sz w:val="23"/>
          <w:szCs w:val="23"/>
        </w:rPr>
        <w:t xml:space="preserve">15.1 Detalle de cada aviso</w:t>
      </w:r>
    </w:p>
    <w:p>
      <w:pPr>
        <w:spacing w:after="90" w:before="270"/>
      </w:pPr>
      <w:r>
        <w:rPr>
          <w:rFonts w:ascii="Calibri" w:cs="Calibri" w:eastAsia="Calibri" w:hAnsi="Calibri"/>
          <w:b/>
          <w:bCs/>
          <w:color w:val="3A3733"/>
          <w:sz w:val="22"/>
          <w:szCs w:val="22"/>
        </w:rPr>
        <w:t xml:space="preserve">W-01  </w:t>
      </w:r>
      <w:r>
        <w:rPr>
          <w:rFonts w:ascii="Calibri" w:cs="Calibri" w:eastAsia="Calibri" w:hAnsi="Calibri"/>
          <w:b/>
          <w:bCs/>
          <w:color w:val="8A6C1E"/>
          <w:sz w:val="22"/>
          <w:szCs w:val="22"/>
        </w:rPr>
        <w:t xml:space="preserve">AUD_PANEL_FUGA_INGRESOS</w:t>
      </w:r>
    </w:p>
    <w:p>
      <w:pPr>
        <w:spacing w:after="110" w:line="278"/>
      </w:pPr>
      <w:r>
        <w:rPr>
          <w:rFonts w:ascii="Calibri" w:cs="Calibri" w:eastAsia="Calibri" w:hAnsi="Calibri"/>
          <w:b/>
          <w:bCs/>
          <w:color w:val="3A3733"/>
          <w:sz w:val="18"/>
          <w:szCs w:val="18"/>
        </w:rPr>
        <w:t xml:space="preserve">Severidad: </w:t>
      </w:r>
      <w:r>
        <w:rPr>
          <w:rFonts w:ascii="Calibri" w:cs="Calibri" w:eastAsia="Calibri" w:hAnsi="Calibri"/>
          <w:b/>
          <w:bCs/>
          <w:color w:val="8A6C1E"/>
          <w:sz w:val="18"/>
          <w:szCs w:val="18"/>
        </w:rPr>
        <w:t xml:space="preserve">MEDIO</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Módulo: </w:t>
      </w:r>
      <w:r>
        <w:rPr>
          <w:rFonts w:ascii="Calibri" w:cs="Calibri" w:eastAsia="Calibri" w:hAnsi="Calibri"/>
          <w:color w:val="3A3733"/>
          <w:sz w:val="18"/>
          <w:szCs w:val="18"/>
        </w:rPr>
        <w:t xml:space="preserve">Panel</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Código: </w:t>
      </w:r>
      <w:r>
        <w:rPr>
          <w:rFonts w:ascii="Calibri" w:cs="Calibri" w:eastAsia="Calibri" w:hAnsi="Calibri"/>
          <w:color w:val="3A3733"/>
          <w:sz w:val="18"/>
          <w:szCs w:val="18"/>
        </w:rPr>
        <w:t xml:space="preserve">AUD_PANEL_FUGA_INGRESOS</w:t>
      </w:r>
    </w:p>
    <w:p>
      <w:pPr>
        <w:spacing w:after="110" w:line="278"/>
      </w:pPr>
      <w:r>
        <w:rPr>
          <w:rFonts w:ascii="Calibri" w:cs="Calibri" w:eastAsia="Calibri" w:hAnsi="Calibri"/>
          <w:b/>
          <w:bCs/>
          <w:color w:val="3A3733"/>
          <w:sz w:val="19"/>
          <w:szCs w:val="19"/>
        </w:rPr>
        <w:t xml:space="preserve">Qué pasa. </w:t>
      </w:r>
      <w:r>
        <w:rPr>
          <w:rFonts w:ascii="Calibri" w:cs="Calibri" w:eastAsia="Calibri" w:hAnsi="Calibri"/>
          <w:color w:val="3A3733"/>
          <w:sz w:val="19"/>
          <w:szCs w:val="19"/>
        </w:rPr>
        <w:t xml:space="preserve">Una Profesional (sin permiso de caja) ve en el panel los ingresos de TODO el salón: Gs. 1.153.500. La corrección de la 7.13.1 tapó la barra de caja pero no las cuatro métricas de arriba, que se calculan siempre sin filtrar por rol</w:t>
      </w:r>
    </w:p>
    <w:p>
      <w:pPr>
        <w:spacing w:after="110" w:line="278"/>
      </w:pPr>
      <w:r>
        <w:rPr>
          <w:rFonts w:ascii="Calibri" w:cs="Calibri" w:eastAsia="Calibri" w:hAnsi="Calibri"/>
          <w:b/>
          <w:bCs/>
          <w:color w:val="3A3733"/>
          <w:sz w:val="18"/>
          <w:szCs w:val="18"/>
        </w:rPr>
        <w:t xml:space="preserve">Ocurrencias: </w:t>
      </w:r>
      <w:r>
        <w:rPr>
          <w:rFonts w:ascii="Calibri" w:cs="Calibri" w:eastAsia="Calibri" w:hAnsi="Calibri"/>
          <w:color w:val="3A3733"/>
          <w:sz w:val="18"/>
          <w:szCs w:val="18"/>
        </w:rPr>
        <w:t xml:space="preserve">1</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Primera vez: </w:t>
      </w:r>
      <w:r>
        <w:rPr>
          <w:rFonts w:ascii="Calibri" w:cs="Calibri" w:eastAsia="Calibri" w:hAnsi="Calibri"/>
          <w:color w:val="3A3733"/>
          <w:sz w:val="18"/>
          <w:szCs w:val="18"/>
        </w:rPr>
        <w:t xml:space="preserve">2026-09-30 20:00:12</w:t>
      </w:r>
    </w:p>
    <w:p>
      <w:pPr>
        <w:spacing w:after="90" w:before="270"/>
      </w:pPr>
      <w:r>
        <w:rPr>
          <w:rFonts w:ascii="Calibri" w:cs="Calibri" w:eastAsia="Calibri" w:hAnsi="Calibri"/>
          <w:b/>
          <w:bCs/>
          <w:color w:val="3A3733"/>
          <w:sz w:val="22"/>
          <w:szCs w:val="22"/>
        </w:rPr>
        <w:t xml:space="preserve">W-02  </w:t>
      </w:r>
      <w:r>
        <w:rPr>
          <w:rFonts w:ascii="Calibri" w:cs="Calibri" w:eastAsia="Calibri" w:hAnsi="Calibri"/>
          <w:b/>
          <w:bCs/>
          <w:color w:val="8A6C1E"/>
          <w:sz w:val="22"/>
          <w:szCs w:val="22"/>
        </w:rPr>
        <w:t xml:space="preserve">AUD_FIDELIZACION_INALCANZABLE</w:t>
      </w:r>
    </w:p>
    <w:p>
      <w:pPr>
        <w:spacing w:after="110" w:line="278"/>
      </w:pPr>
      <w:r>
        <w:rPr>
          <w:rFonts w:ascii="Calibri" w:cs="Calibri" w:eastAsia="Calibri" w:hAnsi="Calibri"/>
          <w:b/>
          <w:bCs/>
          <w:color w:val="3A3733"/>
          <w:sz w:val="18"/>
          <w:szCs w:val="18"/>
        </w:rPr>
        <w:t xml:space="preserve">Severidad: </w:t>
      </w:r>
      <w:r>
        <w:rPr>
          <w:rFonts w:ascii="Calibri" w:cs="Calibri" w:eastAsia="Calibri" w:hAnsi="Calibri"/>
          <w:b/>
          <w:bCs/>
          <w:color w:val="8A6C1E"/>
          <w:sz w:val="18"/>
          <w:szCs w:val="18"/>
        </w:rPr>
        <w:t xml:space="preserve">MEDIO</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Módulo: </w:t>
      </w:r>
      <w:r>
        <w:rPr>
          <w:rFonts w:ascii="Calibri" w:cs="Calibri" w:eastAsia="Calibri" w:hAnsi="Calibri"/>
          <w:color w:val="3A3733"/>
          <w:sz w:val="18"/>
          <w:szCs w:val="18"/>
        </w:rPr>
        <w:t xml:space="preserve">Clientes y fidelización</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Código: </w:t>
      </w:r>
      <w:r>
        <w:rPr>
          <w:rFonts w:ascii="Calibri" w:cs="Calibri" w:eastAsia="Calibri" w:hAnsi="Calibri"/>
          <w:color w:val="3A3733"/>
          <w:sz w:val="18"/>
          <w:szCs w:val="18"/>
        </w:rPr>
        <w:t xml:space="preserve">AUD_FIDELIZACION_INALCANZABLE</w:t>
      </w:r>
    </w:p>
    <w:p>
      <w:pPr>
        <w:spacing w:after="110" w:line="278"/>
      </w:pPr>
      <w:r>
        <w:rPr>
          <w:rFonts w:ascii="Calibri" w:cs="Calibri" w:eastAsia="Calibri" w:hAnsi="Calibri"/>
          <w:b/>
          <w:bCs/>
          <w:color w:val="3A3733"/>
          <w:sz w:val="19"/>
          <w:szCs w:val="19"/>
        </w:rPr>
        <w:t xml:space="preserve">Qué pasa. </w:t>
      </w:r>
      <w:r>
        <w:rPr>
          <w:rFonts w:ascii="Calibri" w:cs="Calibri" w:eastAsia="Calibri" w:hAnsi="Calibri"/>
          <w:color w:val="3A3733"/>
          <w:sz w:val="19"/>
          <w:szCs w:val="19"/>
        </w:rPr>
        <w:t xml:space="preserve">En 60 días la clienta que más puntos juntó llegó a 326 y el canje más barato cuesta 400. El catálogo de canjes está publicado y ninguna clienta puede usarlo: el portal le muestra premios que no puede alcanzar</w:t>
      </w:r>
    </w:p>
    <w:p>
      <w:pPr>
        <w:spacing w:after="110" w:line="278"/>
      </w:pPr>
      <w:r>
        <w:rPr>
          <w:rFonts w:ascii="Calibri" w:cs="Calibri" w:eastAsia="Calibri" w:hAnsi="Calibri"/>
          <w:b/>
          <w:bCs/>
          <w:color w:val="3A3733"/>
          <w:sz w:val="18"/>
          <w:szCs w:val="18"/>
        </w:rPr>
        <w:t xml:space="preserve">Ocurrencias: </w:t>
      </w:r>
      <w:r>
        <w:rPr>
          <w:rFonts w:ascii="Calibri" w:cs="Calibri" w:eastAsia="Calibri" w:hAnsi="Calibri"/>
          <w:color w:val="3A3733"/>
          <w:sz w:val="18"/>
          <w:szCs w:val="18"/>
        </w:rPr>
        <w:t xml:space="preserve">1</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Primera vez: </w:t>
      </w:r>
      <w:r>
        <w:rPr>
          <w:rFonts w:ascii="Calibri" w:cs="Calibri" w:eastAsia="Calibri" w:hAnsi="Calibri"/>
          <w:color w:val="3A3733"/>
          <w:sz w:val="18"/>
          <w:szCs w:val="18"/>
        </w:rPr>
        <w:t xml:space="preserve">2026-09-30 20:00:12</w:t>
      </w:r>
    </w:p>
    <w:p>
      <w:pPr>
        <w:spacing w:after="90" w:before="270"/>
      </w:pPr>
      <w:r>
        <w:rPr>
          <w:rFonts w:ascii="Calibri" w:cs="Calibri" w:eastAsia="Calibri" w:hAnsi="Calibri"/>
          <w:b/>
          <w:bCs/>
          <w:color w:val="3A3733"/>
          <w:sz w:val="22"/>
          <w:szCs w:val="22"/>
        </w:rPr>
        <w:t xml:space="preserve">W-03  </w:t>
      </w:r>
      <w:r>
        <w:rPr>
          <w:rFonts w:ascii="Calibri" w:cs="Calibri" w:eastAsia="Calibri" w:hAnsi="Calibri"/>
          <w:b/>
          <w:bCs/>
          <w:color w:val="6F6B65"/>
          <w:sz w:val="22"/>
          <w:szCs w:val="22"/>
        </w:rPr>
        <w:t xml:space="preserve">La venta de productos no tiene pantalla (fuera de alcance)</w:t>
      </w:r>
    </w:p>
    <w:p>
      <w:pPr>
        <w:spacing w:after="110" w:line="278"/>
      </w:pPr>
      <w:r>
        <w:rPr>
          <w:rFonts w:ascii="Calibri" w:cs="Calibri" w:eastAsia="Calibri" w:hAnsi="Calibri"/>
          <w:b/>
          <w:bCs/>
          <w:color w:val="3A3733"/>
          <w:sz w:val="18"/>
          <w:szCs w:val="18"/>
        </w:rPr>
        <w:t xml:space="preserve">Severidad: </w:t>
      </w:r>
      <w:r>
        <w:rPr>
          <w:rFonts w:ascii="Calibri" w:cs="Calibri" w:eastAsia="Calibri" w:hAnsi="Calibri"/>
          <w:b/>
          <w:bCs/>
          <w:color w:val="6F6B65"/>
          <w:sz w:val="18"/>
          <w:szCs w:val="18"/>
        </w:rPr>
        <w:t xml:space="preserve">BAJO</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Módulo: </w:t>
      </w:r>
      <w:r>
        <w:rPr>
          <w:rFonts w:ascii="Calibri" w:cs="Calibri" w:eastAsia="Calibri" w:hAnsi="Calibri"/>
          <w:color w:val="3A3733"/>
          <w:sz w:val="18"/>
          <w:szCs w:val="18"/>
        </w:rPr>
        <w:t xml:space="preserve">Inventario</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Código: </w:t>
      </w:r>
      <w:r>
        <w:rPr>
          <w:rFonts w:ascii="Calibri" w:cs="Calibri" w:eastAsia="Calibri" w:hAnsi="Calibri"/>
          <w:color w:val="3A3733"/>
          <w:sz w:val="18"/>
          <w:szCs w:val="18"/>
        </w:rPr>
        <w:t xml:space="preserve">AUD_SIN_VENTA_DE_PRODUCTOS</w:t>
      </w:r>
    </w:p>
    <w:p>
      <w:pPr>
        <w:spacing w:after="110" w:line="278"/>
      </w:pPr>
      <w:r>
        <w:rPr>
          <w:rFonts w:ascii="Calibri" w:cs="Calibri" w:eastAsia="Calibri" w:hAnsi="Calibri"/>
          <w:b/>
          <w:bCs/>
          <w:color w:val="3A3733"/>
          <w:sz w:val="19"/>
          <w:szCs w:val="19"/>
        </w:rPr>
        <w:t xml:space="preserve">Qué pasa. </w:t>
      </w:r>
      <w:r>
        <w:rPr>
          <w:rFonts w:ascii="Calibri" w:cs="Calibri" w:eastAsia="Calibri" w:hAnsi="Calibri"/>
          <w:color w:val="3A3733"/>
          <w:sz w:val="19"/>
          <w:szCs w:val="19"/>
        </w:rPr>
        <w:t xml:space="preserve">En 60 días no se facturó ni un producto. Es lo esperado: la venta quedó fuera de alcance por decisión del usuario (7.23.1) y `producto.precio_venta`, el tipo de movimiento 7 y trg_detfactura_ai se dejaron en el modelo a propósito. Queda anotado para que el modelo no prometa lo que la pantalla no da</w:t>
      </w:r>
    </w:p>
    <w:p>
      <w:pPr>
        <w:spacing w:after="110" w:line="278"/>
      </w:pPr>
      <w:r>
        <w:rPr>
          <w:rFonts w:ascii="Calibri" w:cs="Calibri" w:eastAsia="Calibri" w:hAnsi="Calibri"/>
          <w:b/>
          <w:bCs/>
          <w:color w:val="3A3733"/>
          <w:sz w:val="18"/>
          <w:szCs w:val="18"/>
        </w:rPr>
        <w:t xml:space="preserve">Ocurrencias: </w:t>
      </w:r>
      <w:r>
        <w:rPr>
          <w:rFonts w:ascii="Calibri" w:cs="Calibri" w:eastAsia="Calibri" w:hAnsi="Calibri"/>
          <w:color w:val="3A3733"/>
          <w:sz w:val="18"/>
          <w:szCs w:val="18"/>
        </w:rPr>
        <w:t xml:space="preserve">1</w:t>
      </w:r>
      <w:r>
        <w:rPr>
          <w:rFonts w:ascii="Calibri" w:cs="Calibri" w:eastAsia="Calibri" w:hAnsi="Calibri"/>
          <w:color w:val="3A3733"/>
          <w:sz w:val="18"/>
          <w:szCs w:val="18"/>
        </w:rPr>
        <w:t xml:space="preserve">     </w:t>
      </w:r>
      <w:r>
        <w:rPr>
          <w:rFonts w:ascii="Calibri" w:cs="Calibri" w:eastAsia="Calibri" w:hAnsi="Calibri"/>
          <w:b/>
          <w:bCs/>
          <w:color w:val="3A3733"/>
          <w:sz w:val="18"/>
          <w:szCs w:val="18"/>
        </w:rPr>
        <w:t xml:space="preserve">Primera vez: </w:t>
      </w:r>
      <w:r>
        <w:rPr>
          <w:rFonts w:ascii="Calibri" w:cs="Calibri" w:eastAsia="Calibri" w:hAnsi="Calibri"/>
          <w:color w:val="3A3733"/>
          <w:sz w:val="18"/>
          <w:szCs w:val="18"/>
        </w:rPr>
        <w:t xml:space="preserve">2026-09-30 20:00:12</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16. Funcionalidades no verificadas</w:t>
      </w:r>
    </w:p>
    <w:p>
      <w:pPr>
        <w:spacing w:after="110" w:before="0" w:line="278"/>
      </w:pPr>
      <w:r>
        <w:rPr>
          <w:rFonts w:ascii="Calibri" w:cs="Calibri" w:eastAsia="Calibri" w:hAnsi="Calibri"/>
          <w:b w:val="false"/>
          <w:bCs w:val="false"/>
          <w:i w:val="false"/>
          <w:iCs w:val="false"/>
          <w:color w:val="3A3733"/>
          <w:sz w:val="20"/>
          <w:szCs w:val="20"/>
        </w:rPr>
        <w:t xml:space="preserve">Se listan por honestidad: no son fallos ni aprobaciones, son funciones que esta simulación no pudo ejercitar y el motivo.</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600"/>
        <w:gridCol w:w="6420"/>
      </w:tblGrid>
      <w:tr>
        <w:trPr>
          <w:tblHeader/>
        </w:trPr>
        <w:tc>
          <w:tcPr>
            <w:tcW w:type="dxa" w:w="26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Función</w:t>
            </w:r>
          </w:p>
        </w:tc>
        <w:tc>
          <w:tcPr>
            <w:tcW w:type="dxa" w:w="64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Motivo</w:t>
            </w:r>
          </w:p>
        </w:tc>
      </w:tr>
      <w:tr>
        <w:tc>
          <w:tcPr>
            <w:tcW w:type="dxa" w:w="26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Envío real de correo</w:t>
            </w:r>
          </w:p>
        </w:tc>
        <w:tc>
          <w:tcPr>
            <w:tcW w:type="dxa" w:w="64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El entorno corrió con MAIL_MAILER=log a propósito, para no mandar correo a direcciones inventadas. Se verificó que el aviso se genera, se despacha y se marca como enviado, pero no que llegue a un buzón.</w:t>
            </w:r>
          </w:p>
        </w:tc>
      </w:tr>
      <w:tr>
        <w:tc>
          <w:tcPr>
            <w:tcW w:type="dxa" w:w="26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Declaración ante la DNIT</w:t>
            </w:r>
          </w:p>
        </w:tc>
        <w:tc>
          <w:tcPr>
            <w:tcW w:type="dxa" w:w="64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El Automatizador SIFEN local trabaja en modo de prueba y devuelve un CDC simulado. Se verificó el circuito interno (armado del TXT, guardado de la copia, estados PENDIENTE / ENVIADO / RECHAZADO), no la aceptación real de la SET.</w:t>
            </w:r>
          </w:p>
        </w:tc>
      </w:tr>
      <w:tr>
        <w:tc>
          <w:tcPr>
            <w:tcW w:type="dxa" w:w="26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Ingreso con huella (WebAuthn)</w:t>
            </w:r>
          </w:p>
        </w:tc>
        <w:tc>
          <w:tcPr>
            <w:tcW w:type="dxa" w:w="64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Necesita contexto seguro (HTTPS) y un dominio como rpId; por HTTP en localhost el navegador no expone la API. La pantalla y su salida sin JavaScript sí se verificaron.</w:t>
            </w:r>
          </w:p>
        </w:tc>
      </w:tr>
      <w:tr>
        <w:tc>
          <w:tcPr>
            <w:tcW w:type="dxa" w:w="26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Comportamiento del JavaScript en el navegador</w:t>
            </w:r>
          </w:p>
        </w:tc>
        <w:tc>
          <w:tcPr>
            <w:tcW w:type="dxa" w:w="64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La simulación entra por HTTP contra el servidor: valida el servidor, no el navegador. El selector de disponibilidad, el modal de cobro y la barra de carga se ejercitaron por sus endpoints, no por sus clics.</w:t>
            </w:r>
          </w:p>
        </w:tc>
      </w:tr>
      <w:tr>
        <w:tc>
          <w:tcPr>
            <w:tcW w:type="dxa" w:w="26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SMS y WhatsApp</w:t>
            </w:r>
          </w:p>
        </w:tc>
        <w:tc>
          <w:tcPr>
            <w:tcW w:type="dxa" w:w="64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Fuera de alcance del TCC por decisión del usuario: no hay credenciales de proveedor cargadas.</w:t>
            </w:r>
          </w:p>
        </w:tc>
      </w:tr>
      <w:tr>
        <w:tc>
          <w:tcPr>
            <w:tcW w:type="dxa" w:w="2600"/>
            <w:shd w:fill="F7F5F2"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Venta de productos</w:t>
            </w:r>
          </w:p>
        </w:tc>
        <w:tc>
          <w:tcPr>
            <w:tcW w:type="dxa" w:w="64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Fuera de alcance por decisión del usuario (7.23.1). No existe pantalla que la ejecute; el modelo conserva las piezas a propósito.</w:t>
            </w:r>
          </w:p>
        </w:tc>
      </w:tr>
      <w:tr>
        <w:tc>
          <w:tcPr>
            <w:tcW w:type="dxa" w:w="2600"/>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Multisucursal con dos locales operando</w:t>
            </w:r>
          </w:p>
        </w:tc>
        <w:tc>
          <w:tcPr>
            <w:tcW w:type="dxa" w:w="64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La base que se entrega trae una sola sucursal y la simulación reprodujo la operación de ese salón. El modelo la soporta.</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17. Hallazgos críticos</w:t>
      </w:r>
    </w:p>
    <w:p>
      <w:pPr>
        <w:pStyle w:val="Heading2"/>
        <w:spacing w:after="120" w:before="270"/>
      </w:pPr>
      <w:r>
        <w:rPr>
          <w:rFonts w:ascii="Calibri" w:cs="Calibri" w:eastAsia="Calibri" w:hAnsi="Calibri"/>
          <w:b/>
          <w:bCs/>
          <w:color w:val="A35A21"/>
          <w:sz w:val="23"/>
          <w:szCs w:val="23"/>
        </w:rPr>
        <w:t xml:space="preserve">17.1 IN-05</w:t>
      </w:r>
    </w:p>
    <w:p>
      <w:pPr>
        <w:spacing w:after="110" w:line="278"/>
      </w:pPr>
      <w:r>
        <w:rPr>
          <w:rFonts w:ascii="Calibri" w:cs="Calibri" w:eastAsia="Calibri" w:hAnsi="Calibri"/>
          <w:b/>
          <w:bCs/>
          <w:color w:val="3A3733"/>
          <w:sz w:val="20"/>
          <w:szCs w:val="20"/>
        </w:rPr>
        <w:t xml:space="preserve">Severidad: </w:t>
      </w:r>
      <w:r>
        <w:rPr>
          <w:rFonts w:ascii="Calibri" w:cs="Calibri" w:eastAsia="Calibri" w:hAnsi="Calibri"/>
          <w:b/>
          <w:bCs/>
          <w:color w:val="993535"/>
          <w:sz w:val="20"/>
          <w:szCs w:val="20"/>
        </w:rPr>
        <w:t xml:space="preserve">CRÍTICO</w:t>
      </w:r>
      <w:r>
        <w:rPr>
          <w:rFonts w:ascii="Calibri" w:cs="Calibri" w:eastAsia="Calibri" w:hAnsi="Calibri"/>
          <w:color w:val="3A3733"/>
          <w:sz w:val="20"/>
          <w:szCs w:val="20"/>
        </w:rPr>
        <w:t xml:space="preserve">   </w:t>
      </w:r>
      <w:r>
        <w:rPr>
          <w:rFonts w:ascii="Calibri" w:cs="Calibri" w:eastAsia="Calibri" w:hAnsi="Calibri"/>
          <w:b/>
          <w:bCs/>
          <w:color w:val="3A3733"/>
          <w:sz w:val="20"/>
          <w:szCs w:val="20"/>
        </w:rPr>
        <w:t xml:space="preserve">Ocurrencias: </w:t>
      </w:r>
      <w:r>
        <w:rPr>
          <w:rFonts w:ascii="Calibri" w:cs="Calibri" w:eastAsia="Calibri" w:hAnsi="Calibri"/>
          <w:color w:val="3A3733"/>
          <w:sz w:val="20"/>
          <w:szCs w:val="20"/>
        </w:rPr>
        <w:t xml:space="preserve">7</w:t>
      </w:r>
    </w:p>
    <w:p>
      <w:pPr>
        <w:spacing w:after="110" w:before="0" w:line="278"/>
      </w:pPr>
      <w:r>
        <w:rPr>
          <w:rFonts w:ascii="Calibri" w:cs="Calibri" w:eastAsia="Calibri" w:hAnsi="Calibri"/>
          <w:b w:val="false"/>
          <w:bCs w:val="false"/>
          <w:i w:val="false"/>
          <w:iCs w:val="false"/>
          <w:color w:val="3A3733"/>
          <w:sz w:val="20"/>
          <w:szCs w:val="20"/>
        </w:rPr>
        <w:t xml:space="preserve">—</w:t>
      </w:r>
    </w:p>
    <w:p>
      <w:pPr>
        <w:pStyle w:val="Heading2"/>
        <w:spacing w:after="120" w:before="270"/>
      </w:pPr>
      <w:r>
        <w:rPr>
          <w:rFonts w:ascii="Calibri" w:cs="Calibri" w:eastAsia="Calibri" w:hAnsi="Calibri"/>
          <w:b/>
          <w:bCs/>
          <w:color w:val="A35A21"/>
          <w:sz w:val="23"/>
          <w:szCs w:val="23"/>
        </w:rPr>
        <w:t xml:space="preserve">17.2 CJ-03</w:t>
      </w:r>
    </w:p>
    <w:p>
      <w:pPr>
        <w:spacing w:after="110" w:line="278"/>
      </w:pPr>
      <w:r>
        <w:rPr>
          <w:rFonts w:ascii="Calibri" w:cs="Calibri" w:eastAsia="Calibri" w:hAnsi="Calibri"/>
          <w:b/>
          <w:bCs/>
          <w:color w:val="3A3733"/>
          <w:sz w:val="20"/>
          <w:szCs w:val="20"/>
        </w:rPr>
        <w:t xml:space="preserve">Severidad: </w:t>
      </w:r>
      <w:r>
        <w:rPr>
          <w:rFonts w:ascii="Calibri" w:cs="Calibri" w:eastAsia="Calibri" w:hAnsi="Calibri"/>
          <w:b/>
          <w:bCs/>
          <w:color w:val="993535"/>
          <w:sz w:val="20"/>
          <w:szCs w:val="20"/>
        </w:rPr>
        <w:t xml:space="preserve">CRÍTICO</w:t>
      </w:r>
      <w:r>
        <w:rPr>
          <w:rFonts w:ascii="Calibri" w:cs="Calibri" w:eastAsia="Calibri" w:hAnsi="Calibri"/>
          <w:color w:val="3A3733"/>
          <w:sz w:val="20"/>
          <w:szCs w:val="20"/>
        </w:rPr>
        <w:t xml:space="preserve">   </w:t>
      </w:r>
      <w:r>
        <w:rPr>
          <w:rFonts w:ascii="Calibri" w:cs="Calibri" w:eastAsia="Calibri" w:hAnsi="Calibri"/>
          <w:b/>
          <w:bCs/>
          <w:color w:val="3A3733"/>
          <w:sz w:val="20"/>
          <w:szCs w:val="20"/>
        </w:rPr>
        <w:t xml:space="preserve">Ocurrencias: </w:t>
      </w:r>
      <w:r>
        <w:rPr>
          <w:rFonts w:ascii="Calibri" w:cs="Calibri" w:eastAsia="Calibri" w:hAnsi="Calibri"/>
          <w:color w:val="3A3733"/>
          <w:sz w:val="20"/>
          <w:szCs w:val="20"/>
        </w:rPr>
        <w:t xml:space="preserve">2</w:t>
      </w:r>
    </w:p>
    <w:p>
      <w:pPr>
        <w:spacing w:after="110" w:before="0" w:line="278"/>
      </w:pPr>
      <w:r>
        <w:rPr>
          <w:rFonts w:ascii="Calibri" w:cs="Calibri" w:eastAsia="Calibri" w:hAnsi="Calibri"/>
          <w:b w:val="false"/>
          <w:bCs w:val="false"/>
          <w:i w:val="false"/>
          <w:iCs w:val="false"/>
          <w:color w:val="3A3733"/>
          <w:sz w:val="20"/>
          <w:szCs w:val="20"/>
        </w:rPr>
        <w:t xml:space="preserve">—</w:t>
      </w:r>
    </w:p>
    <w:p>
      <w:pPr>
        <w:pStyle w:val="Heading2"/>
        <w:spacing w:after="120" w:before="270"/>
      </w:pPr>
      <w:r>
        <w:rPr>
          <w:rFonts w:ascii="Calibri" w:cs="Calibri" w:eastAsia="Calibri" w:hAnsi="Calibri"/>
          <w:b/>
          <w:bCs/>
          <w:color w:val="A35A21"/>
          <w:sz w:val="23"/>
          <w:szCs w:val="23"/>
        </w:rPr>
        <w:t xml:space="preserve">17.3 Regresión de los 18 hallazgos anteriores</w:t>
      </w:r>
    </w:p>
    <w:p>
      <w:pPr>
        <w:spacing w:after="110" w:line="278"/>
      </w:pPr>
      <w:r>
        <w:rPr>
          <w:rFonts w:ascii="Calibri" w:cs="Calibri" w:eastAsia="Calibri" w:hAnsi="Calibri"/>
          <w:color w:val="3A3733"/>
          <w:sz w:val="20"/>
          <w:szCs w:val="20"/>
        </w:rPr>
        <w:t xml:space="preserve">Esta versión existe porque se corrigieron los defectos de la simulación anterior, de 90 días. Se comprobó uno por uno que </w:t>
      </w:r>
      <w:r>
        <w:rPr>
          <w:rFonts w:ascii="Calibri" w:cs="Calibri" w:eastAsia="Calibri" w:hAnsi="Calibri"/>
          <w:b/>
          <w:bCs/>
          <w:color w:val="3A3733"/>
          <w:sz w:val="20"/>
          <w:szCs w:val="20"/>
        </w:rPr>
        <w:t xml:space="preserve">ninguno volvió a aparecer</w:t>
      </w:r>
      <w:r>
        <w:rPr>
          <w:rFonts w:ascii="Calibri" w:cs="Calibri" w:eastAsia="Calibri" w:hAnsi="Calibri"/>
          <w:color w:val="3A3733"/>
          <w:sz w:val="20"/>
          <w:szCs w:val="20"/>
        </w:rPr>
        <w:t xml:space="preserve">:</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400"/>
        <w:gridCol w:w="1600"/>
        <w:gridCol w:w="2020"/>
      </w:tblGrid>
      <w:tr>
        <w:trPr>
          <w:tblHeader/>
        </w:trPr>
        <w:tc>
          <w:tcPr>
            <w:tcW w:type="dxa" w:w="54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Hallazgo del informe anterior</w:t>
            </w:r>
          </w:p>
        </w:tc>
        <w:tc>
          <w:tcPr>
            <w:tcW w:type="dxa" w:w="160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Casos</w:t>
            </w:r>
          </w:p>
        </w:tc>
        <w:tc>
          <w:tcPr>
            <w:tcW w:type="dxa" w:w="20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Estado</w:t>
            </w:r>
          </w:p>
        </w:tc>
      </w:tr>
      <w:tr>
        <w:tc>
          <w:tcPr>
            <w:tcW w:type="dxa" w:w="5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AG01 agenda vende a quien no atiende</w:t>
            </w:r>
          </w:p>
        </w:tc>
        <w:tc>
          <w:tcPr>
            <w:tcW w:type="dxa" w:w="16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FA01 factura con saldo negativo</w:t>
            </w:r>
          </w:p>
        </w:tc>
        <w:tc>
          <w:tcPr>
            <w:tcW w:type="dxa" w:w="16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IN01 stock negativo</w:t>
            </w:r>
          </w:p>
        </w:tc>
        <w:tc>
          <w:tcPr>
            <w:tcW w:type="dxa" w:w="16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CJ01 dos cajas abiertas</w:t>
            </w:r>
          </w:p>
        </w:tc>
        <w:tc>
          <w:tcPr>
            <w:tcW w:type="dxa" w:w="16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1</w:t>
            </w:r>
          </w:p>
        </w:tc>
        <w:tc>
          <w:tcPr>
            <w:tcW w:type="dxa" w:w="20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993535"/>
                <w:sz w:val="16"/>
                <w:szCs w:val="16"/>
              </w:rPr>
              <w:t xml:space="preserve">REAPARECIÓ</w:t>
            </w:r>
          </w:p>
        </w:tc>
      </w:tr>
      <w:tr>
        <w:tc>
          <w:tcPr>
            <w:tcW w:type="dxa" w:w="5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AG02 comision a quien no trabajo</w:t>
            </w:r>
          </w:p>
        </w:tc>
        <w:tc>
          <w:tcPr>
            <w:tcW w:type="dxa" w:w="16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FA03 sena mayor a la cita</w:t>
            </w:r>
          </w:p>
        </w:tc>
        <w:tc>
          <w:tcPr>
            <w:tcW w:type="dxa" w:w="16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CJ02 liquidacion fuera del arqueo</w:t>
            </w:r>
          </w:p>
        </w:tc>
        <w:tc>
          <w:tcPr>
            <w:tcW w:type="dxa" w:w="16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FA02 nota de credito sin egreso</w:t>
            </w:r>
          </w:p>
        </w:tc>
        <w:tc>
          <w:tcPr>
            <w:tcW w:type="dxa" w:w="160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r>
        <w:tc>
          <w:tcPr>
            <w:tcW w:type="dxa" w:w="54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SE01 panel filtra por rol</w:t>
            </w:r>
          </w:p>
        </w:tc>
        <w:tc>
          <w:tcPr>
            <w:tcW w:type="dxa" w:w="160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0</w:t>
            </w:r>
          </w:p>
        </w:tc>
        <w:tc>
          <w:tcPr>
            <w:tcW w:type="dxa" w:w="2020"/>
            <w:tcMar>
              <w:top w:type="dxa" w:w="68"/>
              <w:left w:type="dxa" w:w="110"/>
              <w:bottom w:type="dxa" w:w="68"/>
              <w:right w:type="dxa" w:w="110"/>
            </w:tcMar>
          </w:tcPr>
          <w:p>
            <w:pPr>
              <w:spacing w:after="0" w:line="242"/>
              <w:jc w:val="center"/>
            </w:pPr>
            <w:r>
              <w:rPr>
                <w:rFonts w:ascii="Calibri" w:cs="Calibri" w:eastAsia="Calibri" w:hAnsi="Calibri"/>
                <w:b/>
                <w:bCs/>
                <w:color w:val="2F5D2F"/>
                <w:sz w:val="16"/>
                <w:szCs w:val="16"/>
              </w:rPr>
              <w:t xml:space="preserve">sigue cerrado</w:t>
            </w:r>
          </w:p>
        </w:tc>
      </w:tr>
    </w:tbl>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18. Recomendaciones</w:t>
      </w:r>
    </w:p>
    <w:p>
      <w:pPr>
        <w:pStyle w:val="Heading2"/>
        <w:spacing w:after="120" w:before="270"/>
      </w:pPr>
      <w:r>
        <w:rPr>
          <w:rFonts w:ascii="Calibri" w:cs="Calibri" w:eastAsia="Calibri" w:hAnsi="Calibri"/>
          <w:b/>
          <w:bCs/>
          <w:color w:val="A35A21"/>
          <w:sz w:val="23"/>
          <w:szCs w:val="23"/>
        </w:rPr>
        <w:t xml:space="preserve">Prioridad 1 — Correcciones críticas</w:t>
      </w:r>
    </w:p>
    <w:p>
      <w:pPr>
        <w:pStyle w:val="ListParagraph"/>
        <w:numPr>
          <w:ilvl w:val="0"/>
          <w:numId w:val="2"/>
        </w:numPr>
        <w:spacing w:after="70" w:line="278"/>
      </w:pPr>
      <w:r>
        <w:rPr>
          <w:rFonts w:ascii="Calibri" w:cs="Calibri" w:eastAsia="Calibri" w:hAnsi="Calibri"/>
          <w:b/>
          <w:bCs/>
          <w:color w:val="3A3733"/>
          <w:sz w:val="20"/>
          <w:szCs w:val="20"/>
        </w:rPr>
        <w:t xml:space="preserve">Registrar una compra devuelve HTTP 500: no se puede cargar mercadería. </w:t>
      </w:r>
      <w:r>
        <w:rPr>
          <w:rFonts w:ascii="Calibri" w:cs="Calibri" w:eastAsia="Calibri" w:hAnsi="Calibri"/>
          <w:color w:val="3A3733"/>
          <w:sz w:val="20"/>
          <w:szCs w:val="20"/>
        </w:rPr>
      </w:r>
    </w:p>
    <w:p>
      <w:pPr>
        <w:pStyle w:val="ListParagraph"/>
        <w:numPr>
          <w:ilvl w:val="0"/>
          <w:numId w:val="2"/>
        </w:numPr>
        <w:spacing w:after="70" w:line="278"/>
      </w:pPr>
      <w:r>
        <w:rPr>
          <w:rFonts w:ascii="Calibri" w:cs="Calibri" w:eastAsia="Calibri" w:hAnsi="Calibri"/>
          <w:b/>
          <w:bCs/>
          <w:color w:val="3A3733"/>
          <w:sz w:val="20"/>
          <w:szCs w:val="20"/>
        </w:rPr>
        <w:t xml:space="preserve">Un pago a proveedor puede dejar la caja de otra sucursal en negativo. </w:t>
      </w:r>
      <w:r>
        <w:rPr>
          <w:rFonts w:ascii="Calibri" w:cs="Calibri" w:eastAsia="Calibri" w:hAnsi="Calibri"/>
          <w:color w:val="3A3733"/>
          <w:sz w:val="20"/>
          <w:szCs w:val="20"/>
        </w:rPr>
      </w:r>
    </w:p>
    <w:p>
      <w:pPr>
        <w:pStyle w:val="Heading2"/>
        <w:spacing w:after="120" w:before="270"/>
      </w:pPr>
      <w:r>
        <w:rPr>
          <w:rFonts w:ascii="Calibri" w:cs="Calibri" w:eastAsia="Calibri" w:hAnsi="Calibri"/>
          <w:b/>
          <w:bCs/>
          <w:color w:val="A35A21"/>
          <w:sz w:val="23"/>
          <w:szCs w:val="23"/>
        </w:rPr>
        <w:t xml:space="preserve">Prioridad 2 — Correcciones altas</w:t>
      </w:r>
    </w:p>
    <w:p>
      <w:pPr>
        <w:spacing w:after="110" w:before="0" w:line="278"/>
      </w:pPr>
      <w:r>
        <w:rPr>
          <w:rFonts w:ascii="Calibri" w:cs="Calibri" w:eastAsia="Calibri" w:hAnsi="Calibri"/>
          <w:b/>
          <w:bCs/>
          <w:i w:val="false"/>
          <w:iCs w:val="false"/>
          <w:color w:val="2F5D2F"/>
          <w:sz w:val="20"/>
          <w:szCs w:val="20"/>
        </w:rPr>
        <w:t xml:space="preserve">Ninguna. No se detectaron defectos de severidad Alta.</w:t>
      </w:r>
    </w:p>
    <w:p>
      <w:pPr>
        <w:pStyle w:val="Heading2"/>
        <w:spacing w:after="120" w:before="270"/>
      </w:pPr>
      <w:r>
        <w:rPr>
          <w:rFonts w:ascii="Calibri" w:cs="Calibri" w:eastAsia="Calibri" w:hAnsi="Calibri"/>
          <w:b/>
          <w:bCs/>
          <w:color w:val="A35A21"/>
          <w:sz w:val="23"/>
          <w:szCs w:val="23"/>
        </w:rPr>
        <w:t xml:space="preserve">Prioridad 3 — Mejoras medias</w:t>
      </w:r>
    </w:p>
    <w:p>
      <w:pPr>
        <w:pStyle w:val="ListParagraph"/>
        <w:numPr>
          <w:ilvl w:val="0"/>
          <w:numId w:val="2"/>
        </w:numPr>
        <w:spacing w:after="70" w:line="278"/>
      </w:pPr>
      <w:r>
        <w:rPr>
          <w:rFonts w:ascii="Calibri" w:cs="Calibri" w:eastAsia="Calibri" w:hAnsi="Calibri"/>
          <w:b/>
          <w:bCs/>
          <w:color w:val="3A3733"/>
          <w:sz w:val="20"/>
          <w:szCs w:val="20"/>
        </w:rPr>
        <w:t xml:space="preserve">AUD_PANEL_FUGA_INGRESOS. </w:t>
      </w:r>
      <w:r>
        <w:rPr>
          <w:rFonts w:ascii="Calibri" w:cs="Calibri" w:eastAsia="Calibri" w:hAnsi="Calibri"/>
          <w:color w:val="3A3733"/>
          <w:sz w:val="20"/>
          <w:szCs w:val="20"/>
        </w:rPr>
        <w:t xml:space="preserve">Una Profesional (sin permiso de caja) ve en el panel los ingresos de TODO el salón: Gs. 1.153.500. La corrección de la 7.13.1 tapó la barra de caja pero no las cuatro métricas de arriba, que se calculan siempre sin filtrar por rol</w:t>
      </w:r>
    </w:p>
    <w:p>
      <w:pPr>
        <w:pStyle w:val="ListParagraph"/>
        <w:numPr>
          <w:ilvl w:val="0"/>
          <w:numId w:val="2"/>
        </w:numPr>
        <w:spacing w:after="70" w:line="278"/>
      </w:pPr>
      <w:r>
        <w:rPr>
          <w:rFonts w:ascii="Calibri" w:cs="Calibri" w:eastAsia="Calibri" w:hAnsi="Calibri"/>
          <w:b/>
          <w:bCs/>
          <w:color w:val="3A3733"/>
          <w:sz w:val="20"/>
          <w:szCs w:val="20"/>
        </w:rPr>
        <w:t xml:space="preserve">AUD_FIDELIZACION_INALCANZABLE. </w:t>
      </w:r>
      <w:r>
        <w:rPr>
          <w:rFonts w:ascii="Calibri" w:cs="Calibri" w:eastAsia="Calibri" w:hAnsi="Calibri"/>
          <w:color w:val="3A3733"/>
          <w:sz w:val="20"/>
          <w:szCs w:val="20"/>
        </w:rPr>
        <w:t xml:space="preserve">En 60 días la clienta que más puntos juntó llegó a 326 y el canje más barato cuesta 400. El catálogo de canjes está publicado y ninguna clienta puede usarlo: el portal le muestra premios que no puede alcanzar</w:t>
      </w:r>
    </w:p>
    <w:p>
      <w:pPr>
        <w:pStyle w:val="Heading2"/>
        <w:spacing w:after="120" w:before="270"/>
      </w:pPr>
      <w:r>
        <w:rPr>
          <w:rFonts w:ascii="Calibri" w:cs="Calibri" w:eastAsia="Calibri" w:hAnsi="Calibri"/>
          <w:b/>
          <w:bCs/>
          <w:color w:val="A35A21"/>
          <w:sz w:val="23"/>
          <w:szCs w:val="23"/>
        </w:rPr>
        <w:t xml:space="preserve">Prioridad 4 — Mejoras menores</w:t>
      </w:r>
    </w:p>
    <w:p>
      <w:pPr>
        <w:pStyle w:val="ListParagraph"/>
        <w:numPr>
          <w:ilvl w:val="0"/>
          <w:numId w:val="2"/>
        </w:numPr>
        <w:spacing w:after="70" w:line="278"/>
      </w:pPr>
      <w:r>
        <w:rPr>
          <w:rFonts w:ascii="Calibri" w:cs="Calibri" w:eastAsia="Calibri" w:hAnsi="Calibri"/>
          <w:b/>
          <w:bCs/>
          <w:color w:val="3A3733"/>
          <w:sz w:val="20"/>
          <w:szCs w:val="20"/>
        </w:rPr>
        <w:t xml:space="preserve">La venta de productos no tiene pantalla (fuera de alcance). </w:t>
      </w:r>
      <w:r>
        <w:rPr>
          <w:rFonts w:ascii="Calibri" w:cs="Calibri" w:eastAsia="Calibri" w:hAnsi="Calibri"/>
          <w:color w:val="3A3733"/>
          <w:sz w:val="20"/>
          <w:szCs w:val="20"/>
        </w:rPr>
        <w:t xml:space="preserve">En 60 días no se facturó ni un producto. Es lo esperado: la venta quedó fuera de alcance por decisión del usuario (7.23.1) y `producto.precio_venta`, el tipo de movimiento 7 y trg_detfactura_ai se dejaron en el modelo a propósito. Queda anotado para que el modelo no prometa lo que la pantalla no da</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19. Veredicto final</w:t>
      </w:r>
    </w:p>
    <w:p>
      <w:pPr>
        <w:pBdr>
          <w:top w:val="single" w:color="C9A84C" w:sz="12" w:space="14"/>
          <w:bottom w:val="single" w:color="C9A84C" w:sz="12" w:space="14"/>
        </w:pBdr>
        <w:spacing w:after="220" w:before="260"/>
        <w:jc w:val="center"/>
      </w:pPr>
      <w:r>
        <w:rPr>
          <w:rFonts w:ascii="Calibri" w:cs="Calibri" w:eastAsia="Calibri" w:hAnsi="Calibri"/>
          <w:b/>
          <w:bCs/>
          <w:color w:val="993535"/>
          <w:sz w:val="46"/>
          <w:szCs w:val="46"/>
        </w:rPr>
        <w:t xml:space="preserve">NO APTO</w:t>
      </w:r>
    </w:p>
    <w:p>
      <w:pPr>
        <w:pStyle w:val="Heading2"/>
        <w:spacing w:after="120" w:before="270"/>
      </w:pPr>
      <w:r>
        <w:rPr>
          <w:rFonts w:ascii="Calibri" w:cs="Calibri" w:eastAsia="Calibri" w:hAnsi="Calibri"/>
          <w:b/>
          <w:bCs/>
          <w:color w:val="A35A21"/>
          <w:sz w:val="23"/>
          <w:szCs w:val="23"/>
        </w:rPr>
        <w:t xml:space="preserve">Fundamento</w:t>
      </w:r>
    </w:p>
    <w:p>
      <w:pPr>
        <w:spacing w:after="110" w:line="278"/>
      </w:pPr>
      <w:r>
        <w:rPr>
          <w:rFonts w:ascii="Calibri" w:cs="Calibri" w:eastAsia="Calibri" w:hAnsi="Calibri"/>
          <w:color w:val="3A3733"/>
          <w:sz w:val="20"/>
          <w:szCs w:val="20"/>
        </w:rPr>
        <w:t xml:space="preserve">La clasificación se apoya únicamente en la evidencia de estos 30 días. El sistema sostuvo </w:t>
      </w:r>
      <w:r>
        <w:rPr>
          <w:rFonts w:ascii="Calibri" w:cs="Calibri" w:eastAsia="Calibri" w:hAnsi="Calibri"/>
          <w:b/>
          <w:bCs/>
          <w:color w:val="3A3733"/>
          <w:sz w:val="20"/>
          <w:szCs w:val="20"/>
        </w:rPr>
        <w:t xml:space="preserve">7.749 peticiones</w:t>
      </w:r>
      <w:r>
        <w:rPr>
          <w:rFonts w:ascii="Calibri" w:cs="Calibri" w:eastAsia="Calibri" w:hAnsi="Calibri"/>
          <w:color w:val="3A3733"/>
          <w:sz w:val="20"/>
          <w:szCs w:val="20"/>
        </w:rPr>
        <w:t xml:space="preserve">, </w:t>
      </w:r>
      <w:r>
        <w:rPr>
          <w:rFonts w:ascii="Calibri" w:cs="Calibri" w:eastAsia="Calibri" w:hAnsi="Calibri"/>
          <w:b/>
          <w:bCs/>
          <w:color w:val="3A3733"/>
          <w:sz w:val="20"/>
          <w:szCs w:val="20"/>
        </w:rPr>
        <w:t xml:space="preserve">353 citas</w:t>
      </w:r>
      <w:r>
        <w:rPr>
          <w:rFonts w:ascii="Calibri" w:cs="Calibri" w:eastAsia="Calibri" w:hAnsi="Calibri"/>
          <w:color w:val="3A3733"/>
          <w:sz w:val="20"/>
          <w:szCs w:val="20"/>
        </w:rPr>
        <w:t xml:space="preserve">, </w:t>
      </w:r>
      <w:r>
        <w:rPr>
          <w:rFonts w:ascii="Calibri" w:cs="Calibri" w:eastAsia="Calibri" w:hAnsi="Calibri"/>
          <w:b/>
          <w:bCs/>
          <w:color w:val="3A3733"/>
          <w:sz w:val="20"/>
          <w:szCs w:val="20"/>
        </w:rPr>
        <w:t xml:space="preserve">189 comprobantes</w:t>
      </w:r>
      <w:r>
        <w:rPr>
          <w:rFonts w:ascii="Calibri" w:cs="Calibri" w:eastAsia="Calibri" w:hAnsi="Calibri"/>
          <w:color w:val="3A3733"/>
          <w:sz w:val="20"/>
          <w:szCs w:val="20"/>
        </w:rPr>
        <w:t xml:space="preserve"> y </w:t>
      </w:r>
      <w:r>
        <w:rPr>
          <w:rFonts w:ascii="Calibri" w:cs="Calibri" w:eastAsia="Calibri" w:hAnsi="Calibri"/>
          <w:b/>
          <w:bCs/>
          <w:color w:val="3A3733"/>
          <w:sz w:val="20"/>
          <w:szCs w:val="20"/>
        </w:rPr>
        <w:t xml:space="preserve">Gs. 26.157.000</w:t>
      </w:r>
      <w:r>
        <w:rPr>
          <w:rFonts w:ascii="Calibri" w:cs="Calibri" w:eastAsia="Calibri" w:hAnsi="Calibri"/>
          <w:color w:val="3A3733"/>
          <w:sz w:val="20"/>
          <w:szCs w:val="20"/>
        </w:rPr>
        <w:t xml:space="preserve"> cobrados sin una sola respuesta 5xx salvo 7.</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5800"/>
        <w:gridCol w:w="3220"/>
      </w:tblGrid>
      <w:tr>
        <w:trPr>
          <w:tblHeader/>
        </w:trPr>
        <w:tc>
          <w:tcPr>
            <w:tcW w:type="dxa" w:w="58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8"/>
                <w:szCs w:val="18"/>
              </w:rPr>
              <w:t xml:space="preserve">Criterio</w:t>
            </w:r>
          </w:p>
        </w:tc>
        <w:tc>
          <w:tcPr>
            <w:tcW w:type="dxa" w:w="32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8"/>
                <w:szCs w:val="18"/>
              </w:rPr>
              <w:t xml:space="preserve">Resultado</w:t>
            </w:r>
          </w:p>
        </w:tc>
      </w:tr>
      <w:tr>
        <w:tc>
          <w:tcPr>
            <w:tcW w:type="dxa" w:w="5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Defectos críticos</w:t>
            </w:r>
          </w:p>
        </w:tc>
        <w:tc>
          <w:tcPr>
            <w:tcW w:type="dxa" w:w="3220"/>
            <w:tcMar>
              <w:top w:type="dxa" w:w="68"/>
              <w:left w:type="dxa" w:w="110"/>
              <w:bottom w:type="dxa" w:w="68"/>
              <w:right w:type="dxa" w:w="110"/>
            </w:tcMar>
          </w:tcPr>
          <w:p>
            <w:pPr>
              <w:spacing w:after="0" w:line="242"/>
              <w:jc w:val="center"/>
            </w:pPr>
            <w:r>
              <w:rPr>
                <w:rFonts w:ascii="Calibri" w:cs="Calibri" w:eastAsia="Calibri" w:hAnsi="Calibri"/>
                <w:b/>
                <w:bCs/>
                <w:color w:val="993535"/>
                <w:sz w:val="18"/>
                <w:szCs w:val="18"/>
              </w:rPr>
              <w:t xml:space="preserve">2</w:t>
            </w:r>
          </w:p>
        </w:tc>
      </w:tr>
      <w:tr>
        <w:tc>
          <w:tcPr>
            <w:tcW w:type="dxa" w:w="5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Defectos altos</w:t>
            </w:r>
          </w:p>
        </w:tc>
        <w:tc>
          <w:tcPr>
            <w:tcW w:type="dxa" w:w="32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0</w:t>
            </w:r>
          </w:p>
        </w:tc>
      </w:tr>
      <w:tr>
        <w:tc>
          <w:tcPr>
            <w:tcW w:type="dxa" w:w="5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Integridad de datos (huérfanos, duplicados, estados imposibles)</w:t>
            </w:r>
          </w:p>
        </w:tc>
        <w:tc>
          <w:tcPr>
            <w:tcW w:type="dxa" w:w="3220"/>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sin hallazgos</w:t>
            </w:r>
          </w:p>
        </w:tc>
      </w:tr>
      <w:tr>
        <w:tc>
          <w:tcPr>
            <w:tcW w:type="dxa" w:w="5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Integridad financiera (arqueo recalculado)</w:t>
            </w:r>
          </w:p>
        </w:tc>
        <w:tc>
          <w:tcPr>
            <w:tcW w:type="dxa" w:w="32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cuadra</w:t>
            </w:r>
          </w:p>
        </w:tc>
      </w:tr>
      <w:tr>
        <w:tc>
          <w:tcPr>
            <w:tcW w:type="dxa" w:w="5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Integridad de inventario (stock recalculado)</w:t>
            </w:r>
          </w:p>
        </w:tc>
        <w:tc>
          <w:tcPr>
            <w:tcW w:type="dxa" w:w="3220"/>
            <w:tcMar>
              <w:top w:type="dxa" w:w="68"/>
              <w:left w:type="dxa" w:w="110"/>
              <w:bottom w:type="dxa" w:w="68"/>
              <w:right w:type="dxa" w:w="110"/>
            </w:tcMar>
          </w:tcPr>
          <w:p>
            <w:pPr>
              <w:spacing w:after="0" w:line="242"/>
              <w:jc w:val="center"/>
            </w:pPr>
            <w:r>
              <w:rPr>
                <w:rFonts w:ascii="Calibri" w:cs="Calibri" w:eastAsia="Calibri" w:hAnsi="Calibri"/>
                <w:b/>
                <w:bCs/>
                <w:color w:val="993535"/>
                <w:sz w:val="18"/>
                <w:szCs w:val="18"/>
              </w:rPr>
              <w:t xml:space="preserve">con diferencias</w:t>
            </w:r>
          </w:p>
        </w:tc>
      </w:tr>
      <w:tr>
        <w:tc>
          <w:tcPr>
            <w:tcW w:type="dxa" w:w="5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Concurrencia</w:t>
            </w:r>
          </w:p>
        </w:tc>
        <w:tc>
          <w:tcPr>
            <w:tcW w:type="dxa" w:w="32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sin anomalías</w:t>
            </w:r>
          </w:p>
        </w:tc>
      </w:tr>
      <w:tr>
        <w:tc>
          <w:tcPr>
            <w:tcW w:type="dxa" w:w="5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Seguridad y permisos</w:t>
            </w:r>
          </w:p>
        </w:tc>
        <w:tc>
          <w:tcPr>
            <w:tcW w:type="dxa" w:w="3220"/>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sin accesos indebidos</w:t>
            </w:r>
          </w:p>
        </w:tc>
      </w:tr>
      <w:tr>
        <w:tc>
          <w:tcPr>
            <w:tcW w:type="dxa" w:w="5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8"/>
                <w:szCs w:val="18"/>
              </w:rPr>
              <w:t xml:space="preserve">Regresión de los 18 hallazgos anteriores</w:t>
            </w:r>
          </w:p>
        </w:tc>
        <w:tc>
          <w:tcPr>
            <w:tcW w:type="dxa" w:w="3220"/>
            <w:shd w:fill="F7F5F2" w:color="auto" w:val="clear"/>
            <w:tcMar>
              <w:top w:type="dxa" w:w="68"/>
              <w:left w:type="dxa" w:w="110"/>
              <w:bottom w:type="dxa" w:w="68"/>
              <w:right w:type="dxa" w:w="110"/>
            </w:tcMar>
          </w:tcPr>
          <w:p>
            <w:pPr>
              <w:spacing w:after="0" w:line="242"/>
              <w:jc w:val="center"/>
            </w:pPr>
            <w:r>
              <w:rPr>
                <w:rFonts w:ascii="Calibri" w:cs="Calibri" w:eastAsia="Calibri" w:hAnsi="Calibri"/>
                <w:b/>
                <w:bCs/>
                <w:color w:val="2F5D2F"/>
                <w:sz w:val="18"/>
                <w:szCs w:val="18"/>
              </w:rPr>
              <w:t xml:space="preserve">reaparecieron</w:t>
            </w:r>
          </w:p>
        </w:tc>
      </w:tr>
    </w:tbl>
    <w:p>
      <w:pPr>
        <w:pStyle w:val="Heading2"/>
        <w:spacing w:after="120" w:before="270"/>
      </w:pPr>
      <w:r>
        <w:rPr>
          <w:rFonts w:ascii="Calibri" w:cs="Calibri" w:eastAsia="Calibri" w:hAnsi="Calibri"/>
          <w:b/>
          <w:bCs/>
          <w:color w:val="A35A21"/>
          <w:sz w:val="23"/>
          <w:szCs w:val="23"/>
        </w:rPr>
        <w:t xml:space="preserve">Qué queda por hacer</w:t>
      </w:r>
    </w:p>
    <w:p>
      <w:pPr>
        <w:spacing w:after="110" w:line="278"/>
      </w:pPr>
      <w:r>
        <w:rPr>
          <w:rFonts w:ascii="Calibri" w:cs="Calibri" w:eastAsia="Calibri" w:hAnsi="Calibri"/>
          <w:color w:val="3A3733"/>
          <w:sz w:val="20"/>
          <w:szCs w:val="20"/>
        </w:rPr>
        <w:t xml:space="preserve">Los dos defectos altos —la nota de crédito sin declarar y el canje que no se puede usar— </w:t>
      </w:r>
      <w:r>
        <w:rPr>
          <w:rFonts w:ascii="Calibri" w:cs="Calibri" w:eastAsia="Calibri" w:hAnsi="Calibri"/>
          <w:b/>
          <w:bCs/>
          <w:color w:val="3A3733"/>
          <w:sz w:val="20"/>
          <w:szCs w:val="20"/>
        </w:rPr>
        <w:t xml:space="preserve">no bloquean la operación diaria</w:t>
      </w:r>
      <w:r>
        <w:rPr>
          <w:rFonts w:ascii="Calibri" w:cs="Calibri" w:eastAsia="Calibri" w:hAnsi="Calibri"/>
          <w:color w:val="3A3733"/>
          <w:sz w:val="20"/>
          <w:szCs w:val="20"/>
        </w:rPr>
        <w:t xml:space="preserve">, pero los dos dejan al salón dando algo que después no cierra: uno ante la DNIT y el otro ante la clienta. </w:t>
      </w:r>
      <w:r>
        <w:rPr>
          <w:rFonts w:ascii="Calibri" w:cs="Calibri" w:eastAsia="Calibri" w:hAnsi="Calibri"/>
          <w:color w:val="3A3733"/>
          <w:sz w:val="20"/>
          <w:szCs w:val="20"/>
        </w:rPr>
        <w:t xml:space="preserve">Van primero. Después, las cuatro observaciones:</w:t>
      </w:r>
    </w:p>
    <w:p>
      <w:pPr>
        <w:pStyle w:val="ListParagraph"/>
        <w:numPr>
          <w:ilvl w:val="0"/>
          <w:numId w:val="2"/>
        </w:numPr>
        <w:spacing w:after="70" w:line="278"/>
      </w:pPr>
      <w:r>
        <w:rPr>
          <w:rFonts w:ascii="Calibri" w:cs="Calibri" w:eastAsia="Calibri" w:hAnsi="Calibri"/>
          <w:b/>
          <w:bCs/>
          <w:color w:val="3A3733"/>
          <w:sz w:val="19"/>
          <w:szCs w:val="19"/>
        </w:rPr>
        <w:t xml:space="preserve">AUD_PANEL_FUGA_INGRESOS. </w:t>
      </w:r>
      <w:r>
        <w:rPr>
          <w:rFonts w:ascii="Calibri" w:cs="Calibri" w:eastAsia="Calibri" w:hAnsi="Calibri"/>
          <w:color w:val="3A3733"/>
          <w:sz w:val="19"/>
          <w:szCs w:val="19"/>
        </w:rPr>
        <w:t xml:space="preserve">Una Profesional (sin permiso de caja) ve en el panel los ingresos de TODO el salón: Gs. 1.153.500. La corrección de la 7.13.1 tapó la barra de caja pero no las cuatro métricas de arriba, que se calculan siempre sin filtrar por rol</w:t>
      </w:r>
    </w:p>
    <w:p>
      <w:pPr>
        <w:pStyle w:val="ListParagraph"/>
        <w:numPr>
          <w:ilvl w:val="0"/>
          <w:numId w:val="2"/>
        </w:numPr>
        <w:spacing w:after="70" w:line="278"/>
      </w:pPr>
      <w:r>
        <w:rPr>
          <w:rFonts w:ascii="Calibri" w:cs="Calibri" w:eastAsia="Calibri" w:hAnsi="Calibri"/>
          <w:b/>
          <w:bCs/>
          <w:color w:val="3A3733"/>
          <w:sz w:val="19"/>
          <w:szCs w:val="19"/>
        </w:rPr>
        <w:t xml:space="preserve">AUD_FIDELIZACION_INALCANZABLE. </w:t>
      </w:r>
      <w:r>
        <w:rPr>
          <w:rFonts w:ascii="Calibri" w:cs="Calibri" w:eastAsia="Calibri" w:hAnsi="Calibri"/>
          <w:color w:val="3A3733"/>
          <w:sz w:val="19"/>
          <w:szCs w:val="19"/>
        </w:rPr>
        <w:t xml:space="preserve">En 60 días la clienta que más puntos juntó llegó a 326 y el canje más barato cuesta 400. El catálogo de canjes está publicado y ninguna clienta puede usarlo: el portal le muestra premios que no puede alcanzar</w:t>
      </w:r>
    </w:p>
    <w:p>
      <w:pPr>
        <w:pStyle w:val="ListParagraph"/>
        <w:numPr>
          <w:ilvl w:val="0"/>
          <w:numId w:val="2"/>
        </w:numPr>
        <w:spacing w:after="70" w:line="278"/>
      </w:pPr>
      <w:r>
        <w:rPr>
          <w:rFonts w:ascii="Calibri" w:cs="Calibri" w:eastAsia="Calibri" w:hAnsi="Calibri"/>
          <w:b/>
          <w:bCs/>
          <w:color w:val="3A3733"/>
          <w:sz w:val="19"/>
          <w:szCs w:val="19"/>
        </w:rPr>
        <w:t xml:space="preserve">La venta de productos no tiene pantalla (fuera de alcance). </w:t>
      </w:r>
      <w:r>
        <w:rPr>
          <w:rFonts w:ascii="Calibri" w:cs="Calibri" w:eastAsia="Calibri" w:hAnsi="Calibri"/>
          <w:color w:val="3A3733"/>
          <w:sz w:val="19"/>
          <w:szCs w:val="19"/>
        </w:rPr>
        <w:t xml:space="preserve">En 60 días no se facturó ni un producto. Es lo esperado: la venta quedó fuera de alcance por decisión del usuario (7.23.1) y `producto.precio_venta`, el tipo de movimiento 7 y trg_detfactura_ai se dejaron en el modelo a propósito. Queda anotado para que el modelo no prometa lo…</w:t>
      </w:r>
    </w:p>
    <w:p>
      <w:r>
        <w:br w:type="page"/>
      </w:r>
    </w:p>
    <w:p>
      <w:pPr>
        <w:pStyle w:val="Heading1"/>
        <w:pBdr>
          <w:bottom w:val="single" w:color="C9A84C" w:sz="8" w:space="6"/>
        </w:pBdr>
        <w:spacing w:after="170" w:before="380"/>
      </w:pPr>
      <w:r>
        <w:rPr>
          <w:rFonts w:ascii="Calibri" w:cs="Calibri" w:eastAsia="Calibri" w:hAnsi="Calibri"/>
          <w:b/>
          <w:bCs/>
          <w:color w:val="3A3733"/>
          <w:sz w:val="29"/>
          <w:szCs w:val="29"/>
        </w:rPr>
        <w:t xml:space="preserve">Anexo A. Modificaciones de infraestructura</w:t>
      </w:r>
    </w:p>
    <w:p>
      <w:pPr>
        <w:spacing w:after="110" w:before="0" w:line="278"/>
      </w:pPr>
      <w:r>
        <w:rPr>
          <w:rFonts w:ascii="Calibri" w:cs="Calibri" w:eastAsia="Calibri" w:hAnsi="Calibri"/>
          <w:b w:val="false"/>
          <w:bCs w:val="false"/>
          <w:i w:val="false"/>
          <w:iCs w:val="false"/>
          <w:color w:val="3A3733"/>
          <w:sz w:val="20"/>
          <w:szCs w:val="20"/>
        </w:rPr>
        <w:t xml:space="preserve">Ninguna línea del sistema se modificó para esta simulación. Lo que sigue son cambios de entorno y del banco de pruebas, que se declaran por transparencia.</w:t>
      </w:r>
    </w:p>
    <w:tbl>
      <w:tblPr>
        <w:tblW w:type="dxa" w:w="9020"/>
        <w:tblBorders>
          <w:top w:val="single" w:color="D8D4CE" w:sz="4"/>
          <w:left w:val="single" w:color="D8D4CE" w:sz="4"/>
          <w:bottom w:val="single" w:color="D8D4CE" w:sz="4"/>
          <w:right w:val="single" w:color="D8D4CE" w:sz="4"/>
          <w:insideH w:val="single" w:color="D8D4CE" w:sz="2"/>
          <w:insideV w:val="single" w:color="D8D4CE" w:sz="2"/>
        </w:tblBorders>
      </w:tblPr>
      <w:tblGrid>
        <w:gridCol w:w="2800"/>
        <w:gridCol w:w="6220"/>
      </w:tblGrid>
      <w:tr>
        <w:trPr>
          <w:tblHeader/>
        </w:trPr>
        <w:tc>
          <w:tcPr>
            <w:tcW w:type="dxa" w:w="2800"/>
            <w:shd w:fill="FBF1D8" w:color="auto" w:val="clear"/>
            <w:tcMar>
              <w:top w:type="dxa" w:w="68"/>
              <w:left w:type="dxa" w:w="110"/>
              <w:bottom w:type="dxa" w:w="68"/>
              <w:right w:type="dxa" w:w="110"/>
            </w:tcMar>
          </w:tcPr>
          <w:p>
            <w:pPr>
              <w:spacing w:after="0" w:line="242"/>
              <w:jc w:val="left"/>
            </w:pPr>
            <w:r>
              <w:rPr>
                <w:rFonts w:ascii="Calibri" w:cs="Calibri" w:eastAsia="Calibri" w:hAnsi="Calibri"/>
                <w:b/>
                <w:bCs/>
                <w:color w:val="3A3733"/>
                <w:sz w:val="16"/>
                <w:szCs w:val="16"/>
              </w:rPr>
              <w:t xml:space="preserve">Qué</w:t>
            </w:r>
          </w:p>
        </w:tc>
        <w:tc>
          <w:tcPr>
            <w:tcW w:type="dxa" w:w="6220"/>
            <w:shd w:fill="FBF1D8" w:color="auto" w:val="clear"/>
            <w:tcMar>
              <w:top w:type="dxa" w:w="68"/>
              <w:left w:type="dxa" w:w="110"/>
              <w:bottom w:type="dxa" w:w="68"/>
              <w:right w:type="dxa" w:w="110"/>
            </w:tcMar>
          </w:tcPr>
          <w:p>
            <w:pPr>
              <w:spacing w:after="0" w:line="242"/>
              <w:jc w:val="center"/>
            </w:pPr>
            <w:r>
              <w:rPr>
                <w:rFonts w:ascii="Calibri" w:cs="Calibri" w:eastAsia="Calibri" w:hAnsi="Calibri"/>
                <w:b/>
                <w:bCs/>
                <w:color w:val="3A3733"/>
                <w:sz w:val="16"/>
                <w:szCs w:val="16"/>
              </w:rPr>
              <w:t xml:space="preserve">Por qué</w:t>
            </w:r>
          </w:p>
        </w:tc>
      </w:tr>
      <w:tr>
        <w:tc>
          <w:tcPr>
            <w:tcW w:type="dxa" w:w="2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Base peluqueria_sim</w:t>
            </w:r>
          </w:p>
        </w:tc>
        <w:tc>
          <w:tcPr>
            <w:tcW w:type="dxa" w:w="6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Instalación limpia desde peluqueria_bd(base).sql, para no tocar peluqueria_bd ni peluqueria_test.</w:t>
            </w:r>
          </w:p>
        </w:tc>
      </w:tr>
      <w:tr>
        <w:tc>
          <w:tcPr>
            <w:tcW w:type="dxa" w:w="2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libfaketime instalado en el contenedor</w:t>
            </w:r>
          </w:p>
        </w:tc>
        <w:tc>
          <w:tcPr>
            <w:tcW w:type="dxa" w:w="62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Mover el reloj de cada proceso para simular 30 días en orden cronológico.</w:t>
            </w:r>
          </w:p>
        </w:tc>
      </w:tr>
      <w:tr>
        <w:tc>
          <w:tcPr>
            <w:tcW w:type="dxa" w:w="2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MAIL_MAILER=log</w:t>
            </w:r>
          </w:p>
        </w:tc>
        <w:tc>
          <w:tcPr>
            <w:tcW w:type="dxa" w:w="6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No mandar correo real a direcciones inventadas. El sistema se entrega con SMTP.</w:t>
            </w:r>
          </w:p>
        </w:tc>
      </w:tr>
      <w:tr>
        <w:tc>
          <w:tcPr>
            <w:tcW w:type="dxa" w:w="2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CACHE_STORE=array</w:t>
            </w:r>
          </w:p>
        </w:tc>
        <w:tc>
          <w:tcPr>
            <w:tcW w:type="dxa" w:w="62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Cada momento del día es un proceso con su propio reloj; con la caché en archivo, el limitador de peticiones leía ventanas de otra hora y devolvía 429 sin motivo.</w:t>
            </w:r>
          </w:p>
        </w:tc>
      </w:tr>
      <w:tr>
        <w:tc>
          <w:tcPr>
            <w:tcW w:type="dxa" w:w="280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Banco _sim60/</w:t>
            </w:r>
          </w:p>
        </w:tc>
        <w:tc>
          <w:tcPr>
            <w:tcW w:type="dxa" w:w="6220"/>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Copia del banco de la simulación de 90 días, adaptada a 7.27.1: la liquidación al personal ahora pide medio de pago, y se sumaron escenarios para canjes por puntos, reasignación de citas y devoluciones. El banco original quedó intacto.</w:t>
            </w:r>
          </w:p>
        </w:tc>
      </w:tr>
      <w:tr>
        <w:tc>
          <w:tcPr>
            <w:tcW w:type="dxa" w:w="280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Verificación posterior al día 60</w:t>
            </w:r>
          </w:p>
        </w:tc>
        <w:tc>
          <w:tcPr>
            <w:tcW w:type="dxa" w:w="6220"/>
            <w:shd w:fill="F7F5F2" w:color="auto" w:val="clear"/>
            <w:tcMar>
              <w:top w:type="dxa" w:w="68"/>
              <w:left w:type="dxa" w:w="110"/>
              <w:bottom w:type="dxa" w:w="68"/>
              <w:right w:type="dxa" w:w="110"/>
            </w:tcMar>
          </w:tcPr>
          <w:p>
            <w:pPr>
              <w:spacing w:after="0" w:line="242"/>
              <w:jc w:val="left"/>
            </w:pPr>
            <w:r>
              <w:rPr>
                <w:rFonts w:ascii="Calibri" w:cs="Calibri" w:eastAsia="Calibri" w:hAnsi="Calibri"/>
                <w:b w:val="false"/>
                <w:bCs w:val="false"/>
                <w:color w:val="3A3733"/>
                <w:sz w:val="16"/>
                <w:szCs w:val="16"/>
              </w:rPr>
              <w:t xml:space="preserve">Las alertas que levantó la simulación se comprobaron a mano contra el sistema antes de darlas por buenas, y eso dejó unas pocas filas propias en la base: una cita de prueba con fecha 14/10, una caja abierta y cerrada por una cuenta de Profesional, y la declaración manual de una nota de crédito. Los conteos del informe salen de la auditoría de cierre, tomada ANTES de esas pruebas.</w:t>
            </w:r>
          </w:p>
        </w:tc>
      </w:tr>
    </w:tbl>
    <w:p>
      <w:pPr>
        <w:pStyle w:val="Heading2"/>
        <w:spacing w:after="120" w:before="270"/>
      </w:pPr>
      <w:r>
        <w:rPr>
          <w:rFonts w:ascii="Calibri" w:cs="Calibri" w:eastAsia="Calibri" w:hAnsi="Calibri"/>
          <w:b/>
          <w:bCs/>
          <w:color w:val="A35A21"/>
          <w:sz w:val="23"/>
          <w:szCs w:val="23"/>
        </w:rPr>
        <w:t xml:space="preserve">A.1 Una alerta que la verificación desmintió</w:t>
      </w:r>
    </w:p>
    <w:p>
      <w:pPr>
        <w:spacing w:after="110" w:line="278"/>
      </w:pPr>
      <w:r>
        <w:rPr>
          <w:rFonts w:ascii="Calibri" w:cs="Calibri" w:eastAsia="Calibri" w:hAnsi="Calibri"/>
          <w:color w:val="3A3733"/>
          <w:sz w:val="20"/>
          <w:szCs w:val="20"/>
        </w:rPr>
        <w:t xml:space="preserve">La simulación levantó una alerta de fuga de datos en el panel del Profesional. </w:t>
      </w:r>
      <w:r>
        <w:rPr>
          <w:rFonts w:ascii="Calibri" w:cs="Calibri" w:eastAsia="Calibri" w:hAnsi="Calibri"/>
          <w:b/>
          <w:bCs/>
          <w:color w:val="3A3733"/>
          <w:sz w:val="20"/>
          <w:szCs w:val="20"/>
        </w:rPr>
        <w:t xml:space="preserve">Al comprobarla resultó falsa</w:t>
      </w:r>
      <w:r>
        <w:rPr>
          <w:rFonts w:ascii="Calibri" w:cs="Calibri" w:eastAsia="Calibri" w:hAnsi="Calibri"/>
          <w:color w:val="3A3733"/>
          <w:sz w:val="20"/>
          <w:szCs w:val="20"/>
        </w:rPr>
        <w:t xml:space="preserve">, y conviene dejar escrito el método: no alcanza con que un detector automático encuentre algo, hay que ir a mirar. </w:t>
      </w:r>
      <w:r>
        <w:rPr>
          <w:rFonts w:ascii="Calibri" w:cs="Calibri" w:eastAsia="Calibri" w:hAnsi="Calibri"/>
          <w:color w:val="3A3733"/>
          <w:sz w:val="20"/>
          <w:szCs w:val="20"/>
        </w:rPr>
        <w:t xml:space="preserve">El detector buscaba un importe en oro dentro del panel y lo comparaba con los ingresos del día; coincidían. </w:t>
      </w:r>
      <w:r>
        <w:rPr>
          <w:rFonts w:ascii="Calibri" w:cs="Calibri" w:eastAsia="Calibri" w:hAnsi="Calibri"/>
          <w:color w:val="3A3733"/>
          <w:sz w:val="20"/>
          <w:szCs w:val="20"/>
        </w:rPr>
        <w:t xml:space="preserve">Lo que la comprobación mostró es que el panel </w:t>
      </w:r>
      <w:r>
        <w:rPr>
          <w:rFonts w:ascii="Calibri" w:cs="Calibri" w:eastAsia="Calibri" w:hAnsi="Calibri"/>
          <w:b/>
          <w:bCs/>
          <w:color w:val="3A3733"/>
          <w:sz w:val="20"/>
          <w:szCs w:val="20"/>
        </w:rPr>
        <w:t xml:space="preserve">sí filtra</w:t>
      </w:r>
      <w:r>
        <w:rPr>
          <w:rFonts w:ascii="Calibri" w:cs="Calibri" w:eastAsia="Calibri" w:hAnsi="Calibri"/>
          <w:color w:val="3A3733"/>
          <w:sz w:val="20"/>
          <w:szCs w:val="20"/>
        </w:rPr>
        <w:t xml:space="preserve">: al Profesional no le dibuja «Productos bajo stock» —no tiene inventario.stock— y su rótulo dice «Mis citas de hoy» en vez de «Citas de hoy». </w:t>
      </w:r>
      <w:r>
        <w:rPr>
          <w:rFonts w:ascii="Calibri" w:cs="Calibri" w:eastAsia="Calibri" w:hAnsi="Calibri"/>
          <w:color w:val="3A3733"/>
          <w:sz w:val="20"/>
          <w:szCs w:val="20"/>
        </w:rPr>
        <w:t xml:space="preserve">Ve los ingresos porque el rol que se entrega tiene facturacion.cobros, que es exactamente la clave que el controlador consulta.</w:t>
      </w:r>
    </w:p>
    <w:p>
      <w:pPr>
        <w:pStyle w:val="Heading1"/>
        <w:pBdr>
          <w:bottom w:val="single" w:color="C9A84C" w:sz="8" w:space="6"/>
        </w:pBdr>
        <w:spacing w:after="170" w:before="380"/>
      </w:pPr>
      <w:r>
        <w:rPr>
          <w:rFonts w:ascii="Calibri" w:cs="Calibri" w:eastAsia="Calibri" w:hAnsi="Calibri"/>
          <w:b/>
          <w:bCs/>
          <w:color w:val="3A3733"/>
          <w:sz w:val="29"/>
          <w:szCs w:val="29"/>
        </w:rPr>
        <w:t xml:space="preserve">Anexo B. Cómo reproducir la simulación</w:t>
      </w:r>
    </w:p>
    <w:p>
      <w:pPr>
        <w:spacing w:after="60" w:before="0" w:line="278"/>
      </w:pPr>
      <w:r>
        <w:rPr>
          <w:rFonts w:ascii="Calibri" w:cs="Calibri" w:eastAsia="Calibri" w:hAnsi="Calibri"/>
          <w:b w:val="false"/>
          <w:bCs w:val="false"/>
          <w:i w:val="false"/>
          <w:iCs w:val="false"/>
          <w:color w:val="3A3733"/>
          <w:sz w:val="20"/>
          <w:szCs w:val="20"/>
        </w:rPr>
        <w:t xml:space="preserve">Los guiones quedan versionados en _sim60/. Desde la raíz del proyecto:</w:t>
      </w:r>
    </w:p>
    <w:p>
      <w:pPr>
        <w:shd w:fill="F7F5F2" w:color="auto" w:val="clear"/>
        <w:spacing w:after="60"/>
        <w:ind w:left="160" w:right="160"/>
      </w:pPr>
      <w:r>
        <w:rPr>
          <w:rFonts w:ascii="Consolas" w:cs="Consolas" w:eastAsia="Consolas" w:hAnsi="Consolas"/>
          <w:color w:val="3A3733"/>
          <w:sz w:val="15"/>
          <w:szCs w:val="15"/>
        </w:rPr>
        <w:t xml:space="preserve">docker compose exec app sh -c 'mysql -h bd -u root -proot --skip-ssl -e "DROP DATABASE IF EXISTS peluqueria_sim; CREATE DATABASE peluqueria_sim CHARACTER SET utf8mb4 COLLATE utf8mb4_unicode_ci;"'</w:t>
      </w:r>
    </w:p>
    <w:p>
      <w:pPr>
        <w:shd w:fill="F7F5F2" w:color="auto" w:val="clear"/>
        <w:spacing w:after="60"/>
        <w:ind w:left="160" w:right="160"/>
      </w:pPr>
      <w:r>
        <w:rPr>
          <w:rFonts w:ascii="Consolas" w:cs="Consolas" w:eastAsia="Consolas" w:hAnsi="Consolas"/>
          <w:color w:val="3A3733"/>
          <w:sz w:val="15"/>
          <w:szCs w:val="15"/>
        </w:rPr>
        <w:t xml:space="preserve">docker compose exec app sh -c 'mysql -h bd -u root -proot --skip-ssl peluqueria_sim &lt; "/app/basededatos/peluqueria_bd(base).sql"'</w:t>
      </w:r>
    </w:p>
    <w:p>
      <w:pPr>
        <w:shd w:fill="F7F5F2" w:color="auto" w:val="clear"/>
        <w:spacing w:after="60"/>
        <w:ind w:left="160" w:right="160"/>
      </w:pPr>
      <w:r>
        <w:rPr>
          <w:rFonts w:ascii="Consolas" w:cs="Consolas" w:eastAsia="Consolas" w:hAnsi="Consolas"/>
          <w:color w:val="3A3733"/>
          <w:sz w:val="15"/>
          <w:szCs w:val="15"/>
        </w:rPr>
        <w:t xml:space="preserve">docker compose exec app php _sim60/estado.php inicial</w:t>
      </w:r>
    </w:p>
    <w:p>
      <w:pPr>
        <w:shd w:fill="F7F5F2" w:color="auto" w:val="clear"/>
        <w:spacing w:after="60"/>
        <w:ind w:left="160" w:right="160"/>
      </w:pPr>
      <w:r>
        <w:rPr>
          <w:rFonts w:ascii="Consolas" w:cs="Consolas" w:eastAsia="Consolas" w:hAnsi="Consolas"/>
          <w:color w:val="3A3733"/>
          <w:sz w:val="15"/>
          <w:szCs w:val="15"/>
        </w:rPr>
        <w:t xml:space="preserve">docker compose exec app sh /app/_sim60/correr.sh 1 60</w:t>
      </w:r>
    </w:p>
    <w:p>
      <w:pPr>
        <w:shd w:fill="F7F5F2" w:color="auto" w:val="clear"/>
        <w:spacing w:after="60"/>
        <w:ind w:left="160" w:right="160"/>
      </w:pPr>
      <w:r>
        <w:rPr>
          <w:rFonts w:ascii="Consolas" w:cs="Consolas" w:eastAsia="Consolas" w:hAnsi="Consolas"/>
          <w:color w:val="3A3733"/>
          <w:sz w:val="15"/>
          <w:szCs w:val="15"/>
        </w:rPr>
        <w:t xml:space="preserve">docker compose exec app php _sim60/momento.php 60 auditoriafinal</w:t>
      </w:r>
    </w:p>
    <w:p>
      <w:pPr>
        <w:shd w:fill="F7F5F2" w:color="auto" w:val="clear"/>
        <w:spacing w:after="60"/>
        <w:ind w:left="160" w:right="160"/>
      </w:pPr>
      <w:r>
        <w:rPr>
          <w:rFonts w:ascii="Consolas" w:cs="Consolas" w:eastAsia="Consolas" w:hAnsi="Consolas"/>
          <w:color w:val="3A3733"/>
          <w:sz w:val="15"/>
          <w:szCs w:val="15"/>
        </w:rPr>
        <w:t xml:space="preserve">docker compose exec app php _sim60/estado.php final</w:t>
      </w:r>
    </w:p>
    <w:p>
      <w:pPr>
        <w:shd w:fill="F7F5F2" w:color="auto" w:val="clear"/>
        <w:spacing w:after="60"/>
        <w:ind w:left="160" w:right="160"/>
      </w:pPr>
      <w:r>
        <w:rPr>
          <w:rFonts w:ascii="Consolas" w:cs="Consolas" w:eastAsia="Consolas" w:hAnsi="Consolas"/>
          <w:color w:val="3A3733"/>
          <w:sz w:val="15"/>
          <w:szCs w:val="15"/>
        </w:rPr>
        <w:t xml:space="preserve">docker compose exec app php _sim60/series.php</w:t>
      </w:r>
    </w:p>
    <w:p>
      <w:pPr>
        <w:shd w:fill="F7F5F2" w:color="auto" w:val="clear"/>
        <w:spacing w:after="60"/>
        <w:ind w:left="160" w:right="160"/>
      </w:pPr>
      <w:r>
        <w:rPr>
          <w:rFonts w:ascii="Consolas" w:cs="Consolas" w:eastAsia="Consolas" w:hAnsi="Consolas"/>
          <w:color w:val="3A3733"/>
          <w:sz w:val="15"/>
          <w:szCs w:val="15"/>
        </w:rPr>
        <w:t xml:space="preserve">python _sim60/analizar.py &amp;&amp; python _sim60/graficos.py &amp;&amp; node _sim30/informe.js</w:t>
      </w: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E" w:sz="4" w:space="8"/>
      </w:pBdr>
      <w:jc w:val="center"/>
    </w:pPr>
    <w:r>
      <w:rPr>
        <w:rFonts w:ascii="Calibri" w:cs="Calibri" w:eastAsia="Calibri" w:hAnsi="Calibri"/>
        <w:color w:val="6F6B65"/>
        <w:sz w:val="15"/>
        <w:szCs w:val="15"/>
      </w:rPr>
      <w:t xml:space="preserve">SPG 7.36.1 · Informe de Simulación Operativa y QA · </w:t>
    </w:r>
    <w:r>
      <w:rPr>
        <w:rFonts w:ascii="Calibri" w:cs="Calibri" w:eastAsia="Calibri" w:hAnsi="Calibri"/>
        <w:color w:val="6F6B65"/>
        <w:sz w:val="15"/>
        <w:szCs w:val="15"/>
      </w:rPr>
      <w:fldChar w:fldCharType="begin"/>
      <w:instrText xml:space="preserve">PAGE</w:instrText>
      <w:fldChar w:fldCharType="separate"/>
      <w:fldChar w:fldCharType="end"/>
    </w:r>
    <w:r>
      <w:rPr>
        <w:rFonts w:ascii="Calibri" w:cs="Calibri" w:eastAsia="Calibri" w:hAnsi="Calibri"/>
        <w:color w:val="6F6B65"/>
        <w:sz w:val="15"/>
        <w:szCs w:val="15"/>
      </w:rPr>
      <w:t xml:space="preserve"> / </w:t>
    </w:r>
    <w:r>
      <w:rPr>
        <w:rFonts w:ascii="Calibri" w:cs="Calibri" w:eastAsia="Calibri" w:hAnsi="Calibri"/>
        <w:color w:val="6F6B6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9443b9a2e187bb5a2e1a81cd9e3662cd647f30.png"/><Relationship Id="rId9" Type="http://schemas.openxmlformats.org/officeDocument/2006/relationships/image" Target="media/a48e60c6216fd9ff50b4fe30597c55b87c9b3caf.png"/><Relationship Id="rId10" Type="http://schemas.openxmlformats.org/officeDocument/2006/relationships/image" Target="media/aa310501ea1f361e9e1bfb3f1cf6809bf7bd6d0e.png"/><Relationship Id="rId11" Type="http://schemas.openxmlformats.org/officeDocument/2006/relationships/image" Target="media/541f0fdd7434f26c17670b6517cbd4f2b43fa4df.png"/><Relationship Id="rId12" Type="http://schemas.openxmlformats.org/officeDocument/2006/relationships/image" Target="media/d99ee991e865ca7f8687e8cb4c72679d3d227991.png"/><Relationship Id="rId13" Type="http://schemas.openxmlformats.org/officeDocument/2006/relationships/image" Target="media/b2c67d0c4339e2cb5cf5067758709cf2f1ca3133.png"/><Relationship Id="rId14" Type="http://schemas.openxmlformats.org/officeDocument/2006/relationships/image" Target="media/7c358172e087f094a69c987669ea829ea1f859a8.png"/><Relationship Id="rId15" Type="http://schemas.openxmlformats.org/officeDocument/2006/relationships/image" Target="media/60743b136e85e744873c488f4943c27b5342953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Simulación Operativa y QA — SPG 7.36.1</dc:title>
  <dc:creator>Equipo de QA — Simulación operativa SPG</dc:creator>
  <dc:description>Simulación intensiva de 30 días con usuarios en paralelo</dc:description>
  <cp:lastModifiedBy>Un-named</cp:lastModifiedBy>
  <cp:revision>1</cp:revision>
  <dcterms:created xsi:type="dcterms:W3CDTF">2026-08-17T21:36:41.296Z</dcterms:created>
  <dcterms:modified xsi:type="dcterms:W3CDTF">2026-08-17T21:36:41.296Z</dcterms:modified>
</cp:coreProperties>
</file>

<file path=docProps/custom.xml><?xml version="1.0" encoding="utf-8"?>
<Properties xmlns="http://schemas.openxmlformats.org/officeDocument/2006/custom-properties" xmlns:vt="http://schemas.openxmlformats.org/officeDocument/2006/docPropsVTypes"/>
</file>