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  /cuentas/listado/{clienteId}:   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   get: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  tags: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  - "cuentas"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  summary: "Devolver las cuentas de un cliente"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  description: "Dado el identificador de un cliente, devuelve todas sus cuentas."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operationId: "listaCuentas"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produces: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- "application/xml"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- "application/json"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parameters: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- name: "clienteId"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in: "path"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description: "Id del cliente de la cuenta a consultar"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required: true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    type: "integer"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     format: "int64"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   responses: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     200: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       description: "successful operation"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      schema: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      type: "array"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      items: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           $ref: "#/definitions/Cuenta"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     400: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    description: "Identificador de cliente inválido"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