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SAT J Ent Branch Operations Guide</w:t>
      </w:r>
    </w:p>
    <w:p>
      <w:pPr>
        <w:spacing w:after="280"/>
      </w:pPr>
      <w:r>
        <w:rPr>
          <w:b/>
          <w:color w:val="666666"/>
          <w:sz w:val="26"/>
        </w:rPr>
        <w:t>How employees use the system at each branch</w:t>
      </w:r>
    </w:p>
    <w:p>
      <w:r>
        <w:rPr>
          <w:b/>
        </w:rPr>
        <w:t xml:space="preserve">Purpose  </w:t>
      </w:r>
      <w:r>
        <w:t>This guide explains how SAT-J Ent will operate from each branch, who performs each task, how transactions affect branch records, and how head office monitors the company. All branches use the same web application and central database. The employee's role and active branch assignments determine what the employee can see and do.</w:t>
      </w:r>
    </w:p>
    <w:p>
      <w:pPr>
        <w:pStyle w:val="Heading1"/>
        <w:keepNext/>
      </w:pPr>
      <w:r>
        <w:t>Operating Model</w:t>
      </w:r>
    </w:p>
    <w:p>
      <w:r>
        <w:t>Every branch works in the same system. Product, supplier, customer, and company reference data are shared, while operational records such as stock, sales, purchases, payments, and reports retain their branch identity. A transaction completed at one branch becomes available to authorised management immediately.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trPr>
        <w:tc>
          <w:tcPr>
            <w:tcW w:type="dxa" w:w="2376"/>
            <w:shd w:fill="17365D"/>
            <w:tcMar>
              <w:top w:w="110" w:type="dxa"/>
              <w:start w:w="120" w:type="dxa"/>
              <w:bottom w:w="110" w:type="dxa"/>
              <w:end w:w="120" w:type="dxa"/>
            </w:tcMar>
            <w:vAlign w:val="center"/>
          </w:tcPr>
          <w:p>
            <w:pPr>
              <w:spacing w:after="0"/>
            </w:pPr>
            <w:r>
              <w:rPr>
                <w:b/>
                <w:color w:val="FFFFFF"/>
              </w:rPr>
              <w:t>Area</w:t>
            </w:r>
          </w:p>
        </w:tc>
        <w:tc>
          <w:tcPr>
            <w:tcW w:type="dxa" w:w="7200"/>
            <w:shd w:fill="17365D"/>
            <w:tcMar>
              <w:top w:w="110" w:type="dxa"/>
              <w:start w:w="120" w:type="dxa"/>
              <w:bottom w:w="110" w:type="dxa"/>
              <w:end w:w="120" w:type="dxa"/>
            </w:tcMar>
            <w:vAlign w:val="center"/>
          </w:tcPr>
          <w:p>
            <w:pPr>
              <w:spacing w:after="0"/>
            </w:pPr>
            <w:r>
              <w:rPr>
                <w:b/>
                <w:color w:val="FFFFFF"/>
              </w:rPr>
              <w:t>How it works</w:t>
            </w:r>
          </w:p>
        </w:tc>
      </w:tr>
      <w:tr>
        <w:trPr>
          <w:cantSplit/>
        </w:trPr>
        <w:tc>
          <w:tcPr>
            <w:tcW w:type="dxa" w:w="2376"/>
            <w:tcMar>
              <w:top w:w="110" w:type="dxa"/>
              <w:start w:w="120" w:type="dxa"/>
              <w:bottom w:w="110" w:type="dxa"/>
              <w:end w:w="120" w:type="dxa"/>
            </w:tcMar>
            <w:vAlign w:val="center"/>
          </w:tcPr>
          <w:p>
            <w:pPr>
              <w:spacing w:after="0"/>
            </w:pPr>
            <w:r>
              <w:t>Single application</w:t>
            </w:r>
          </w:p>
        </w:tc>
        <w:tc>
          <w:tcPr>
            <w:tcW w:type="dxa" w:w="7200"/>
            <w:tcMar>
              <w:top w:w="110" w:type="dxa"/>
              <w:start w:w="120" w:type="dxa"/>
              <w:bottom w:w="110" w:type="dxa"/>
              <w:end w:w="120" w:type="dxa"/>
            </w:tcMar>
            <w:vAlign w:val="center"/>
          </w:tcPr>
          <w:p>
            <w:pPr>
              <w:spacing w:after="0"/>
            </w:pPr>
            <w:r>
              <w:t>Employees use the SAT-J Ent web application on an authorised phone, tablet, or computer.</w:t>
            </w:r>
          </w:p>
        </w:tc>
      </w:tr>
      <w:tr>
        <w:trPr>
          <w:cantSplit/>
        </w:trPr>
        <w:tc>
          <w:tcPr>
            <w:tcW w:type="dxa" w:w="2376"/>
            <w:shd w:fill="EAF2F8"/>
            <w:tcMar>
              <w:top w:w="110" w:type="dxa"/>
              <w:start w:w="120" w:type="dxa"/>
              <w:bottom w:w="110" w:type="dxa"/>
              <w:end w:w="120" w:type="dxa"/>
            </w:tcMar>
            <w:vAlign w:val="center"/>
          </w:tcPr>
          <w:p>
            <w:pPr>
              <w:spacing w:after="0"/>
            </w:pPr>
            <w:r>
              <w:t>Central database</w:t>
            </w:r>
          </w:p>
        </w:tc>
        <w:tc>
          <w:tcPr>
            <w:tcW w:type="dxa" w:w="7200"/>
            <w:shd w:fill="EAF2F8"/>
            <w:tcMar>
              <w:top w:w="110" w:type="dxa"/>
              <w:start w:w="120" w:type="dxa"/>
              <w:bottom w:w="110" w:type="dxa"/>
              <w:end w:w="120" w:type="dxa"/>
            </w:tcMar>
            <w:vAlign w:val="center"/>
          </w:tcPr>
          <w:p>
            <w:pPr>
              <w:spacing w:after="0"/>
            </w:pPr>
            <w:r>
              <w:t>All branches write to the same company database, which supports current management reporting.</w:t>
            </w:r>
          </w:p>
        </w:tc>
      </w:tr>
      <w:tr>
        <w:trPr>
          <w:cantSplit/>
        </w:trPr>
        <w:tc>
          <w:tcPr>
            <w:tcW w:type="dxa" w:w="2376"/>
            <w:tcMar>
              <w:top w:w="110" w:type="dxa"/>
              <w:start w:w="120" w:type="dxa"/>
              <w:bottom w:w="110" w:type="dxa"/>
              <w:end w:w="120" w:type="dxa"/>
            </w:tcMar>
            <w:vAlign w:val="center"/>
          </w:tcPr>
          <w:p>
            <w:pPr>
              <w:spacing w:after="0"/>
            </w:pPr>
            <w:r>
              <w:t>Role permissions</w:t>
            </w:r>
          </w:p>
        </w:tc>
        <w:tc>
          <w:tcPr>
            <w:tcW w:type="dxa" w:w="7200"/>
            <w:tcMar>
              <w:top w:w="110" w:type="dxa"/>
              <w:start w:w="120" w:type="dxa"/>
              <w:bottom w:w="110" w:type="dxa"/>
              <w:end w:w="120" w:type="dxa"/>
            </w:tcMar>
            <w:vAlign w:val="center"/>
          </w:tcPr>
          <w:p>
            <w:pPr>
              <w:spacing w:after="0"/>
            </w:pPr>
            <w:r>
              <w:t>The assigned role controls the modules and actions available to each employee.</w:t>
            </w:r>
          </w:p>
        </w:tc>
      </w:tr>
      <w:tr>
        <w:trPr>
          <w:cantSplit/>
        </w:trPr>
        <w:tc>
          <w:tcPr>
            <w:tcW w:type="dxa" w:w="2376"/>
            <w:shd w:fill="EAF2F8"/>
            <w:tcMar>
              <w:top w:w="110" w:type="dxa"/>
              <w:start w:w="120" w:type="dxa"/>
              <w:bottom w:w="110" w:type="dxa"/>
              <w:end w:w="120" w:type="dxa"/>
            </w:tcMar>
            <w:vAlign w:val="center"/>
          </w:tcPr>
          <w:p>
            <w:pPr>
              <w:spacing w:after="0"/>
            </w:pPr>
            <w:r>
              <w:t>Branch assignment</w:t>
            </w:r>
          </w:p>
        </w:tc>
        <w:tc>
          <w:tcPr>
            <w:tcW w:type="dxa" w:w="7200"/>
            <w:shd w:fill="EAF2F8"/>
            <w:tcMar>
              <w:top w:w="110" w:type="dxa"/>
              <w:start w:w="120" w:type="dxa"/>
              <w:bottom w:w="110" w:type="dxa"/>
              <w:end w:w="120" w:type="dxa"/>
            </w:tcMar>
            <w:vAlign w:val="center"/>
          </w:tcPr>
          <w:p>
            <w:pPr>
              <w:spacing w:after="0"/>
            </w:pPr>
            <w:r>
              <w:t>Branch employees can work only with records belonging to their active assigned branches.</w:t>
            </w:r>
          </w:p>
        </w:tc>
      </w:tr>
      <w:tr>
        <w:trPr>
          <w:cantSplit/>
        </w:trPr>
        <w:tc>
          <w:tcPr>
            <w:tcW w:type="dxa" w:w="2376"/>
            <w:tcMar>
              <w:top w:w="110" w:type="dxa"/>
              <w:start w:w="120" w:type="dxa"/>
              <w:bottom w:w="110" w:type="dxa"/>
              <w:end w:w="120" w:type="dxa"/>
            </w:tcMar>
            <w:vAlign w:val="center"/>
          </w:tcPr>
          <w:p>
            <w:pPr>
              <w:spacing w:after="0"/>
            </w:pPr>
            <w:r>
              <w:t>Company oversight</w:t>
            </w:r>
          </w:p>
        </w:tc>
        <w:tc>
          <w:tcPr>
            <w:tcW w:type="dxa" w:w="7200"/>
            <w:tcMar>
              <w:top w:w="110" w:type="dxa"/>
              <w:start w:w="120" w:type="dxa"/>
              <w:bottom w:w="110" w:type="dxa"/>
              <w:end w:w="120" w:type="dxa"/>
            </w:tcMar>
            <w:vAlign w:val="center"/>
          </w:tcPr>
          <w:p>
            <w:pPr>
              <w:spacing w:after="0"/>
            </w:pPr>
            <w:r>
              <w:t>Owner and Super Admin accounts can review authorised information across all branches.</w:t>
            </w:r>
          </w:p>
        </w:tc>
      </w:tr>
    </w:tbl>
    <w:p>
      <w:pPr>
        <w:spacing w:after="0"/>
      </w:pPr>
    </w:p>
    <w:p>
      <w:pPr>
        <w:pStyle w:val="Heading1"/>
        <w:keepNext/>
      </w:pPr>
      <w:r>
        <w:t>Branch Setup</w:t>
      </w:r>
    </w:p>
    <w:p>
      <w:r>
        <w:t>Before a branch starts daily operations, a Super Admin completes the following setup:</w:t>
      </w:r>
    </w:p>
    <w:p>
      <w:pPr>
        <w:pStyle w:val="ListNumber"/>
      </w:pPr>
      <w:r>
        <w:t>Create the branch and confirm that it is active.</w:t>
      </w:r>
    </w:p>
    <w:p>
      <w:pPr>
        <w:pStyle w:val="ListNumber"/>
      </w:pPr>
      <w:r>
        <w:t>Create an employee profile for each staff member.</w:t>
      </w:r>
    </w:p>
    <w:p>
      <w:pPr>
        <w:pStyle w:val="ListNumber"/>
      </w:pPr>
      <w:r>
        <w:t>Assign the appropriate system role to each employee.</w:t>
      </w:r>
    </w:p>
    <w:p>
      <w:pPr>
        <w:pStyle w:val="ListNumber"/>
      </w:pPr>
      <w:r>
        <w:t>Assign branch-level employees to one or more branches.</w:t>
      </w:r>
    </w:p>
    <w:p>
      <w:pPr>
        <w:pStyle w:val="ListNumber"/>
      </w:pPr>
      <w:r>
        <w:t>Activate employee access and provide individual sign-in credentials.</w:t>
      </w:r>
    </w:p>
    <w:p>
      <w:pPr>
        <w:pStyle w:val="ListNumber"/>
      </w:pPr>
      <w:r>
        <w:t>Set up the product catalogue, selling prices, suppliers, and opening stock required for the branch.</w:t>
      </w:r>
    </w:p>
    <w:p>
      <w:r>
        <w:t>Employees should use their own accounts. Shared logins weaken the audit trail because the system records the signed-in user for important operations.</w:t>
      </w:r>
    </w:p>
    <w:p>
      <w:pPr>
        <w:pStyle w:val="Heading1"/>
        <w:keepNext/>
      </w:pPr>
      <w:r>
        <w:t>Roles Used at a Branch</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2088"/>
            <w:shd w:fill="17365D"/>
            <w:tcMar>
              <w:top w:w="110" w:type="dxa"/>
              <w:start w:w="120" w:type="dxa"/>
              <w:bottom w:w="110" w:type="dxa"/>
              <w:end w:w="120" w:type="dxa"/>
            </w:tcMar>
            <w:vAlign w:val="center"/>
          </w:tcPr>
          <w:p>
            <w:pPr>
              <w:spacing w:after="0"/>
            </w:pPr>
            <w:r>
              <w:rPr>
                <w:b/>
                <w:color w:val="FFFFFF"/>
              </w:rPr>
              <w:t>Role</w:t>
            </w:r>
          </w:p>
        </w:tc>
        <w:tc>
          <w:tcPr>
            <w:tcW w:type="dxa" w:w="5544"/>
            <w:shd w:fill="17365D"/>
            <w:tcMar>
              <w:top w:w="110" w:type="dxa"/>
              <w:start w:w="120" w:type="dxa"/>
              <w:bottom w:w="110" w:type="dxa"/>
              <w:end w:w="120" w:type="dxa"/>
            </w:tcMar>
            <w:vAlign w:val="center"/>
          </w:tcPr>
          <w:p>
            <w:pPr>
              <w:spacing w:after="0"/>
            </w:pPr>
            <w:r>
              <w:rPr>
                <w:b/>
                <w:color w:val="FFFFFF"/>
              </w:rPr>
              <w:t>Primary responsibility</w:t>
            </w:r>
          </w:p>
        </w:tc>
        <w:tc>
          <w:tcPr>
            <w:tcW w:type="dxa" w:w="1944"/>
            <w:shd w:fill="17365D"/>
            <w:tcMar>
              <w:top w:w="110" w:type="dxa"/>
              <w:start w:w="120" w:type="dxa"/>
              <w:bottom w:w="110" w:type="dxa"/>
              <w:end w:w="120" w:type="dxa"/>
            </w:tcMar>
            <w:vAlign w:val="center"/>
          </w:tcPr>
          <w:p>
            <w:pPr>
              <w:spacing w:after="0"/>
            </w:pPr>
            <w:r>
              <w:rPr>
                <w:b/>
                <w:color w:val="FFFFFF"/>
              </w:rPr>
              <w:t>Operating scope</w:t>
            </w:r>
          </w:p>
        </w:tc>
      </w:tr>
      <w:tr>
        <w:trPr>
          <w:cantSplit/>
        </w:trPr>
        <w:tc>
          <w:tcPr>
            <w:tcW w:type="dxa" w:w="2088"/>
            <w:tcMar>
              <w:top w:w="110" w:type="dxa"/>
              <w:start w:w="120" w:type="dxa"/>
              <w:bottom w:w="110" w:type="dxa"/>
              <w:end w:w="120" w:type="dxa"/>
            </w:tcMar>
            <w:vAlign w:val="center"/>
          </w:tcPr>
          <w:p>
            <w:pPr>
              <w:spacing w:after="0"/>
            </w:pPr>
            <w:r>
              <w:t>Branch Manager</w:t>
            </w:r>
          </w:p>
        </w:tc>
        <w:tc>
          <w:tcPr>
            <w:tcW w:type="dxa" w:w="5544"/>
            <w:tcMar>
              <w:top w:w="110" w:type="dxa"/>
              <w:start w:w="120" w:type="dxa"/>
              <w:bottom w:w="110" w:type="dxa"/>
              <w:end w:w="120" w:type="dxa"/>
            </w:tcMar>
            <w:vAlign w:val="center"/>
          </w:tcPr>
          <w:p>
            <w:pPr>
              <w:spacing w:after="0"/>
            </w:pPr>
            <w:r>
              <w:t>Oversees sales, purchasing, stock, payments, transfers, quotations, and branch reporting.</w:t>
            </w:r>
          </w:p>
        </w:tc>
        <w:tc>
          <w:tcPr>
            <w:tcW w:type="dxa" w:w="1944"/>
            <w:tcMar>
              <w:top w:w="110" w:type="dxa"/>
              <w:start w:w="120" w:type="dxa"/>
              <w:bottom w:w="110" w:type="dxa"/>
              <w:end w:w="120" w:type="dxa"/>
            </w:tcMar>
            <w:vAlign w:val="center"/>
          </w:tcPr>
          <w:p>
            <w:pPr>
              <w:spacing w:after="0"/>
            </w:pPr>
            <w:r>
              <w:t>Assigned branches</w:t>
            </w:r>
          </w:p>
        </w:tc>
      </w:tr>
      <w:tr>
        <w:trPr>
          <w:cantSplit/>
        </w:trPr>
        <w:tc>
          <w:tcPr>
            <w:tcW w:type="dxa" w:w="2088"/>
            <w:shd w:fill="EAF2F8"/>
            <w:tcMar>
              <w:top w:w="110" w:type="dxa"/>
              <w:start w:w="120" w:type="dxa"/>
              <w:bottom w:w="110" w:type="dxa"/>
              <w:end w:w="120" w:type="dxa"/>
            </w:tcMar>
            <w:vAlign w:val="center"/>
          </w:tcPr>
          <w:p>
            <w:pPr>
              <w:spacing w:after="0"/>
            </w:pPr>
            <w:r>
              <w:t>Sales or Cashier</w:t>
            </w:r>
          </w:p>
        </w:tc>
        <w:tc>
          <w:tcPr>
            <w:tcW w:type="dxa" w:w="5544"/>
            <w:shd w:fill="EAF2F8"/>
            <w:tcMar>
              <w:top w:w="110" w:type="dxa"/>
              <w:start w:w="120" w:type="dxa"/>
              <w:bottom w:w="110" w:type="dxa"/>
              <w:end w:w="120" w:type="dxa"/>
            </w:tcMar>
            <w:vAlign w:val="center"/>
          </w:tcPr>
          <w:p>
            <w:pPr>
              <w:spacing w:after="0"/>
            </w:pPr>
            <w:r>
              <w:t>Handles customers, sales, collections, receivables, and quotation follow-up.</w:t>
            </w:r>
          </w:p>
        </w:tc>
        <w:tc>
          <w:tcPr>
            <w:tcW w:type="dxa" w:w="1944"/>
            <w:shd w:fill="EAF2F8"/>
            <w:tcMar>
              <w:top w:w="110" w:type="dxa"/>
              <w:start w:w="120" w:type="dxa"/>
              <w:bottom w:w="110" w:type="dxa"/>
              <w:end w:w="120" w:type="dxa"/>
            </w:tcMar>
            <w:vAlign w:val="center"/>
          </w:tcPr>
          <w:p>
            <w:pPr>
              <w:spacing w:after="0"/>
            </w:pPr>
            <w:r>
              <w:t>Assigned branches</w:t>
            </w:r>
          </w:p>
        </w:tc>
      </w:tr>
      <w:tr>
        <w:trPr>
          <w:cantSplit/>
        </w:trPr>
        <w:tc>
          <w:tcPr>
            <w:tcW w:type="dxa" w:w="2088"/>
            <w:tcMar>
              <w:top w:w="110" w:type="dxa"/>
              <w:start w:w="120" w:type="dxa"/>
              <w:bottom w:w="110" w:type="dxa"/>
              <w:end w:w="120" w:type="dxa"/>
            </w:tcMar>
            <w:vAlign w:val="center"/>
          </w:tcPr>
          <w:p>
            <w:pPr>
              <w:spacing w:after="0"/>
            </w:pPr>
            <w:r>
              <w:t>Inventory Officer</w:t>
            </w:r>
          </w:p>
        </w:tc>
        <w:tc>
          <w:tcPr>
            <w:tcW w:type="dxa" w:w="5544"/>
            <w:tcMar>
              <w:top w:w="110" w:type="dxa"/>
              <w:start w:w="120" w:type="dxa"/>
              <w:bottom w:w="110" w:type="dxa"/>
              <w:end w:w="120" w:type="dxa"/>
            </w:tcMar>
            <w:vAlign w:val="center"/>
          </w:tcPr>
          <w:p>
            <w:pPr>
              <w:spacing w:after="0"/>
            </w:pPr>
            <w:r>
              <w:t>Maintains stock, receives goods, counts stock, records adjustments, and handles transfers.</w:t>
            </w:r>
          </w:p>
        </w:tc>
        <w:tc>
          <w:tcPr>
            <w:tcW w:type="dxa" w:w="1944"/>
            <w:tcMar>
              <w:top w:w="110" w:type="dxa"/>
              <w:start w:w="120" w:type="dxa"/>
              <w:bottom w:w="110" w:type="dxa"/>
              <w:end w:w="120" w:type="dxa"/>
            </w:tcMar>
            <w:vAlign w:val="center"/>
          </w:tcPr>
          <w:p>
            <w:pPr>
              <w:spacing w:after="0"/>
            </w:pPr>
            <w:r>
              <w:t>Assigned branches</w:t>
            </w:r>
          </w:p>
        </w:tc>
      </w:tr>
      <w:tr>
        <w:trPr>
          <w:cantSplit/>
        </w:trPr>
        <w:tc>
          <w:tcPr>
            <w:tcW w:type="dxa" w:w="2088"/>
            <w:shd w:fill="EAF2F8"/>
            <w:tcMar>
              <w:top w:w="110" w:type="dxa"/>
              <w:start w:w="120" w:type="dxa"/>
              <w:bottom w:w="110" w:type="dxa"/>
              <w:end w:w="120" w:type="dxa"/>
            </w:tcMar>
            <w:vAlign w:val="center"/>
          </w:tcPr>
          <w:p>
            <w:pPr>
              <w:spacing w:after="0"/>
            </w:pPr>
            <w:r>
              <w:t>Owner or Management</w:t>
            </w:r>
          </w:p>
        </w:tc>
        <w:tc>
          <w:tcPr>
            <w:tcW w:type="dxa" w:w="5544"/>
            <w:shd w:fill="EAF2F8"/>
            <w:tcMar>
              <w:top w:w="110" w:type="dxa"/>
              <w:start w:w="120" w:type="dxa"/>
              <w:bottom w:w="110" w:type="dxa"/>
              <w:end w:w="120" w:type="dxa"/>
            </w:tcMar>
            <w:vAlign w:val="center"/>
          </w:tcPr>
          <w:p>
            <w:pPr>
              <w:spacing w:after="0"/>
            </w:pPr>
            <w:r>
              <w:t>Reviews company performance, branch comparisons, finances, inventory, and audit history.</w:t>
            </w:r>
          </w:p>
        </w:tc>
        <w:tc>
          <w:tcPr>
            <w:tcW w:type="dxa" w:w="1944"/>
            <w:shd w:fill="EAF2F8"/>
            <w:tcMar>
              <w:top w:w="110" w:type="dxa"/>
              <w:start w:w="120" w:type="dxa"/>
              <w:bottom w:w="110" w:type="dxa"/>
              <w:end w:w="120" w:type="dxa"/>
            </w:tcMar>
            <w:vAlign w:val="center"/>
          </w:tcPr>
          <w:p>
            <w:pPr>
              <w:spacing w:after="0"/>
            </w:pPr>
            <w:r>
              <w:t>Company-wide</w:t>
            </w:r>
          </w:p>
        </w:tc>
      </w:tr>
      <w:tr>
        <w:trPr>
          <w:cantSplit/>
        </w:trPr>
        <w:tc>
          <w:tcPr>
            <w:tcW w:type="dxa" w:w="2088"/>
            <w:tcMar>
              <w:top w:w="110" w:type="dxa"/>
              <w:start w:w="120" w:type="dxa"/>
              <w:bottom w:w="110" w:type="dxa"/>
              <w:end w:w="120" w:type="dxa"/>
            </w:tcMar>
            <w:vAlign w:val="center"/>
          </w:tcPr>
          <w:p>
            <w:pPr>
              <w:spacing w:after="0"/>
            </w:pPr>
            <w:r>
              <w:t>Super Admin</w:t>
            </w:r>
          </w:p>
        </w:tc>
        <w:tc>
          <w:tcPr>
            <w:tcW w:type="dxa" w:w="5544"/>
            <w:tcMar>
              <w:top w:w="110" w:type="dxa"/>
              <w:start w:w="120" w:type="dxa"/>
              <w:bottom w:w="110" w:type="dxa"/>
              <w:end w:w="120" w:type="dxa"/>
            </w:tcMar>
            <w:vAlign w:val="center"/>
          </w:tcPr>
          <w:p>
            <w:pPr>
              <w:spacing w:after="0"/>
            </w:pPr>
            <w:r>
              <w:t>Manages branches and employee access and has full operational oversight.</w:t>
            </w:r>
          </w:p>
        </w:tc>
        <w:tc>
          <w:tcPr>
            <w:tcW w:type="dxa" w:w="1944"/>
            <w:tcMar>
              <w:top w:w="110" w:type="dxa"/>
              <w:start w:w="120" w:type="dxa"/>
              <w:bottom w:w="110" w:type="dxa"/>
              <w:end w:w="120" w:type="dxa"/>
            </w:tcMar>
            <w:vAlign w:val="center"/>
          </w:tcPr>
          <w:p>
            <w:pPr>
              <w:spacing w:after="0"/>
            </w:pPr>
            <w:r>
              <w:t>Company-wide</w:t>
            </w:r>
          </w:p>
        </w:tc>
      </w:tr>
    </w:tbl>
    <w:p>
      <w:pPr>
        <w:spacing w:after="0"/>
      </w:pPr>
    </w:p>
    <w:p>
      <w:pPr>
        <w:pStyle w:val="Heading2"/>
        <w:keepNext/>
      </w:pPr>
      <w:r>
        <w:t>Branch Manager Responsibilities</w:t>
      </w:r>
    </w:p>
    <w:p>
      <w:r>
        <w:t>The Branch Manager coordinates the complete operation of an assigned branch. The role can:</w:t>
      </w:r>
    </w:p>
    <w:p>
      <w:pPr>
        <w:pStyle w:val="ListBullet"/>
      </w:pPr>
      <w:r>
        <w:t>Review the branch dashboard, operational queues, and branch reports.</w:t>
      </w:r>
    </w:p>
    <w:p>
      <w:pPr>
        <w:pStyle w:val="ListBullet"/>
      </w:pPr>
      <w:r>
        <w:t>Create and update suppliers, purchases, and supplier payments within authorised scope.</w:t>
      </w:r>
    </w:p>
    <w:p>
      <w:pPr>
        <w:pStyle w:val="ListBullet"/>
      </w:pPr>
      <w:r>
        <w:t>Receive purchased goods into branch inventory and cancel eligible purchases.</w:t>
      </w:r>
    </w:p>
    <w:p>
      <w:pPr>
        <w:pStyle w:val="ListBullet"/>
      </w:pPr>
      <w:r>
        <w:t>Create and update customers, complete sales, apply discounts, override prices with a reason, and cancel eligible completed sales.</w:t>
      </w:r>
    </w:p>
    <w:p>
      <w:pPr>
        <w:pStyle w:val="ListBullet"/>
      </w:pPr>
      <w:r>
        <w:t>Record customer payments, reverse posted payments when authorised, and monitor receivables.</w:t>
      </w:r>
    </w:p>
    <w:p>
      <w:pPr>
        <w:pStyle w:val="ListBullet"/>
      </w:pPr>
      <w:r>
        <w:t>Post opening stock, adjust stock, complete physical counts, and maintain minimum stock levels.</w:t>
      </w:r>
    </w:p>
    <w:p>
      <w:pPr>
        <w:pStyle w:val="ListBullet"/>
      </w:pPr>
      <w:r>
        <w:t>Create, approve, dispatch, receive, or cancel eligible branch transfers.</w:t>
      </w:r>
    </w:p>
    <w:p>
      <w:pPr>
        <w:pStyle w:val="ListBullet"/>
      </w:pPr>
      <w:r>
        <w:t>Review quotation requests for the branch and update their status.</w:t>
      </w:r>
    </w:p>
    <w:p>
      <w:pPr>
        <w:pStyle w:val="ListBullet"/>
      </w:pPr>
      <w:r>
        <w:t>Export authorised branch reports.</w:t>
      </w:r>
    </w:p>
    <w:p>
      <w:r>
        <w:t>The Branch Manager cannot manage system roles, company branches, or employee access unless a separate company-level account grants those permissions.</w:t>
      </w:r>
    </w:p>
    <w:p>
      <w:r>
        <w:br w:type="page"/>
      </w:r>
    </w:p>
    <w:p>
      <w:pPr>
        <w:pStyle w:val="Heading2"/>
        <w:keepNext/>
      </w:pPr>
      <w:r>
        <w:t>Sales and Cashier Responsibilities</w:t>
      </w:r>
    </w:p>
    <w:p>
      <w:r>
        <w:t>The Sales or Cashier role handles customer-facing transactions. The role can:</w:t>
      </w:r>
    </w:p>
    <w:p>
      <w:pPr>
        <w:pStyle w:val="ListBullet"/>
      </w:pPr>
      <w:r>
        <w:t>View the catalogue, prices, and available stock for assigned branches.</w:t>
      </w:r>
    </w:p>
    <w:p>
      <w:pPr>
        <w:pStyle w:val="ListBullet"/>
      </w:pPr>
      <w:r>
        <w:t>Create or update customer records.</w:t>
      </w:r>
    </w:p>
    <w:p>
      <w:pPr>
        <w:pStyle w:val="ListBullet"/>
      </w:pPr>
      <w:r>
        <w:t>Create and complete sales for an assigned branch.</w:t>
      </w:r>
    </w:p>
    <w:p>
      <w:pPr>
        <w:pStyle w:val="ListBullet"/>
      </w:pPr>
      <w:r>
        <w:t>Record customer payments and monitor outstanding receivables.</w:t>
      </w:r>
    </w:p>
    <w:p>
      <w:pPr>
        <w:pStyle w:val="ListBullet"/>
      </w:pPr>
      <w:r>
        <w:t>View stock transfers involving the assigned branch.</w:t>
      </w:r>
    </w:p>
    <w:p>
      <w:pPr>
        <w:pStyle w:val="ListBullet"/>
      </w:pPr>
      <w:r>
        <w:t>Read quotation requests and update their status within branch scope.</w:t>
      </w:r>
    </w:p>
    <w:p>
      <w:r>
        <w:t>This role does not perform stock adjustments, receive purchases, approve transfers, cancel completed sales, or override selling prices under the standard permission set.</w:t>
      </w:r>
    </w:p>
    <w:p>
      <w:pPr>
        <w:pStyle w:val="Heading2"/>
        <w:keepNext/>
      </w:pPr>
      <w:r>
        <w:t>Inventory Officer Responsibilities</w:t>
      </w:r>
    </w:p>
    <w:p>
      <w:r>
        <w:t>The Inventory Officer maintains the physical stock position of an assigned branch. The role can:</w:t>
      </w:r>
    </w:p>
    <w:p>
      <w:pPr>
        <w:pStyle w:val="ListBullet"/>
      </w:pPr>
      <w:r>
        <w:t>Post opening stock when a product begins inventory tracking at the branch.</w:t>
      </w:r>
    </w:p>
    <w:p>
      <w:pPr>
        <w:pStyle w:val="ListBullet"/>
      </w:pPr>
      <w:r>
        <w:t>View current quantities, minimum levels, and the stock movement history.</w:t>
      </w:r>
    </w:p>
    <w:p>
      <w:pPr>
        <w:pStyle w:val="ListBullet"/>
      </w:pPr>
      <w:r>
        <w:t>Create and complete authorised stock adjustments.</w:t>
      </w:r>
    </w:p>
    <w:p>
      <w:pPr>
        <w:pStyle w:val="ListBullet"/>
      </w:pPr>
      <w:r>
        <w:t>Start, enter, and reconcile physical stock counts.</w:t>
      </w:r>
    </w:p>
    <w:p>
      <w:pPr>
        <w:pStyle w:val="ListBullet"/>
      </w:pPr>
      <w:r>
        <w:t>Maintain branch-specific minimum stock levels.</w:t>
      </w:r>
    </w:p>
    <w:p>
      <w:pPr>
        <w:pStyle w:val="ListBullet"/>
      </w:pPr>
      <w:r>
        <w:t>View suppliers and receive goods against authorised purchases.</w:t>
      </w:r>
    </w:p>
    <w:p>
      <w:pPr>
        <w:pStyle w:val="ListBullet"/>
      </w:pPr>
      <w:r>
        <w:t>Create and dispatch transfers from the branch and receive transfers at the destination branch.</w:t>
      </w:r>
    </w:p>
    <w:p>
      <w:pPr>
        <w:pStyle w:val="ListBullet"/>
      </w:pPr>
      <w:r>
        <w:t>Monitor low-stock, out-of-stock, and in-transit items on the branch dashboard.</w:t>
      </w:r>
    </w:p>
    <w:p>
      <w:r>
        <w:t>The Inventory Officer can view sales because completed sales affect stock, but the standard role does not operate the cashier workflow or approve and cancel transfers.</w:t>
      </w:r>
    </w:p>
    <w:p>
      <w:pPr>
        <w:pStyle w:val="Heading1"/>
        <w:keepNext/>
      </w:pPr>
      <w:r>
        <w:t>Daily Sales Workflow</w:t>
      </w:r>
    </w:p>
    <w:p>
      <w:r>
        <w:t>A cashier or authorised manager processes a normal branch sale in this order: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792"/>
            <w:shd w:fill="17365D"/>
            <w:tcMar>
              <w:top w:w="110" w:type="dxa"/>
              <w:start w:w="120" w:type="dxa"/>
              <w:bottom w:w="110" w:type="dxa"/>
              <w:end w:w="120" w:type="dxa"/>
            </w:tcMar>
            <w:vAlign w:val="center"/>
          </w:tcPr>
          <w:p>
            <w:pPr>
              <w:spacing w:after="0"/>
            </w:pPr>
            <w:r>
              <w:rPr>
                <w:b/>
                <w:color w:val="FFFFFF"/>
              </w:rPr>
              <w:t>Step</w:t>
            </w:r>
          </w:p>
        </w:tc>
        <w:tc>
          <w:tcPr>
            <w:tcW w:type="dxa" w:w="2232"/>
            <w:shd w:fill="17365D"/>
            <w:tcMar>
              <w:top w:w="110" w:type="dxa"/>
              <w:start w:w="120" w:type="dxa"/>
              <w:bottom w:w="110" w:type="dxa"/>
              <w:end w:w="120" w:type="dxa"/>
            </w:tcMar>
            <w:vAlign w:val="center"/>
          </w:tcPr>
          <w:p>
            <w:pPr>
              <w:spacing w:after="0"/>
            </w:pPr>
            <w:r>
              <w:rPr>
                <w:b/>
                <w:color w:val="FFFFFF"/>
              </w:rPr>
              <w:t>Branch action</w:t>
            </w:r>
          </w:p>
        </w:tc>
        <w:tc>
          <w:tcPr>
            <w:tcW w:type="dxa" w:w="6552"/>
            <w:shd w:fill="17365D"/>
            <w:tcMar>
              <w:top w:w="110" w:type="dxa"/>
              <w:start w:w="120" w:type="dxa"/>
              <w:bottom w:w="110" w:type="dxa"/>
              <w:end w:w="120" w:type="dxa"/>
            </w:tcMar>
            <w:vAlign w:val="center"/>
          </w:tcPr>
          <w:p>
            <w:pPr>
              <w:spacing w:after="0"/>
            </w:pPr>
            <w:r>
              <w:rPr>
                <w:b/>
                <w:color w:val="FFFFFF"/>
              </w:rPr>
              <w:t>System result</w:t>
            </w:r>
          </w:p>
        </w:tc>
      </w:tr>
      <w:tr>
        <w:trPr>
          <w:cantSplit/>
        </w:trPr>
        <w:tc>
          <w:tcPr>
            <w:tcW w:type="dxa" w:w="792"/>
            <w:tcMar>
              <w:top w:w="110" w:type="dxa"/>
              <w:start w:w="120" w:type="dxa"/>
              <w:bottom w:w="110" w:type="dxa"/>
              <w:end w:w="120" w:type="dxa"/>
            </w:tcMar>
            <w:vAlign w:val="center"/>
          </w:tcPr>
          <w:p>
            <w:pPr>
              <w:spacing w:after="0"/>
            </w:pPr>
            <w:r>
              <w:t>1</w:t>
            </w:r>
          </w:p>
        </w:tc>
        <w:tc>
          <w:tcPr>
            <w:tcW w:type="dxa" w:w="2232"/>
            <w:tcMar>
              <w:top w:w="110" w:type="dxa"/>
              <w:start w:w="120" w:type="dxa"/>
              <w:bottom w:w="110" w:type="dxa"/>
              <w:end w:w="120" w:type="dxa"/>
            </w:tcMar>
            <w:vAlign w:val="center"/>
          </w:tcPr>
          <w:p>
            <w:pPr>
              <w:spacing w:after="0"/>
            </w:pPr>
            <w:r>
              <w:t>Select the branch</w:t>
            </w:r>
          </w:p>
        </w:tc>
        <w:tc>
          <w:tcPr>
            <w:tcW w:type="dxa" w:w="6552"/>
            <w:tcMar>
              <w:top w:w="110" w:type="dxa"/>
              <w:start w:w="120" w:type="dxa"/>
              <w:bottom w:w="110" w:type="dxa"/>
              <w:end w:w="120" w:type="dxa"/>
            </w:tcMar>
            <w:vAlign w:val="center"/>
          </w:tcPr>
          <w:p>
            <w:pPr>
              <w:spacing w:after="0"/>
            </w:pPr>
            <w:r>
              <w:t>The sale belongs to one authorised branch. A branch employee cannot submit another branch.</w:t>
            </w:r>
          </w:p>
        </w:tc>
      </w:tr>
      <w:tr>
        <w:trPr>
          <w:cantSplit/>
        </w:trPr>
        <w:tc>
          <w:tcPr>
            <w:tcW w:type="dxa" w:w="792"/>
            <w:shd w:fill="EAF2F8"/>
            <w:tcMar>
              <w:top w:w="110" w:type="dxa"/>
              <w:start w:w="120" w:type="dxa"/>
              <w:bottom w:w="110" w:type="dxa"/>
              <w:end w:w="120" w:type="dxa"/>
            </w:tcMar>
            <w:vAlign w:val="center"/>
          </w:tcPr>
          <w:p>
            <w:pPr>
              <w:spacing w:after="0"/>
            </w:pPr>
            <w:r>
              <w:t>2</w:t>
            </w:r>
          </w:p>
        </w:tc>
        <w:tc>
          <w:tcPr>
            <w:tcW w:type="dxa" w:w="2232"/>
            <w:shd w:fill="EAF2F8"/>
            <w:tcMar>
              <w:top w:w="110" w:type="dxa"/>
              <w:start w:w="120" w:type="dxa"/>
              <w:bottom w:w="110" w:type="dxa"/>
              <w:end w:w="120" w:type="dxa"/>
            </w:tcMar>
            <w:vAlign w:val="center"/>
          </w:tcPr>
          <w:p>
            <w:pPr>
              <w:spacing w:after="0"/>
            </w:pPr>
            <w:r>
              <w:t>Select the customer</w:t>
            </w:r>
          </w:p>
        </w:tc>
        <w:tc>
          <w:tcPr>
            <w:tcW w:type="dxa" w:w="6552"/>
            <w:shd w:fill="EAF2F8"/>
            <w:tcMar>
              <w:top w:w="110" w:type="dxa"/>
              <w:start w:w="120" w:type="dxa"/>
              <w:bottom w:w="110" w:type="dxa"/>
              <w:end w:w="120" w:type="dxa"/>
            </w:tcMar>
            <w:vAlign w:val="center"/>
          </w:tcPr>
          <w:p>
            <w:pPr>
              <w:spacing w:after="0"/>
            </w:pPr>
            <w:r>
              <w:t>Use an existing customer, create a new customer, or use the walk-in customer where appropriate.</w:t>
            </w:r>
          </w:p>
        </w:tc>
      </w:tr>
      <w:tr>
        <w:trPr>
          <w:cantSplit/>
        </w:trPr>
        <w:tc>
          <w:tcPr>
            <w:tcW w:type="dxa" w:w="792"/>
            <w:tcMar>
              <w:top w:w="110" w:type="dxa"/>
              <w:start w:w="120" w:type="dxa"/>
              <w:bottom w:w="110" w:type="dxa"/>
              <w:end w:w="120" w:type="dxa"/>
            </w:tcMar>
            <w:vAlign w:val="center"/>
          </w:tcPr>
          <w:p>
            <w:pPr>
              <w:spacing w:after="0"/>
            </w:pPr>
            <w:r>
              <w:t>3</w:t>
            </w:r>
          </w:p>
        </w:tc>
        <w:tc>
          <w:tcPr>
            <w:tcW w:type="dxa" w:w="2232"/>
            <w:tcMar>
              <w:top w:w="110" w:type="dxa"/>
              <w:start w:w="120" w:type="dxa"/>
              <w:bottom w:w="110" w:type="dxa"/>
              <w:end w:w="120" w:type="dxa"/>
            </w:tcMar>
            <w:vAlign w:val="center"/>
          </w:tcPr>
          <w:p>
            <w:pPr>
              <w:spacing w:after="0"/>
            </w:pPr>
            <w:r>
              <w:t>Add products</w:t>
            </w:r>
          </w:p>
        </w:tc>
        <w:tc>
          <w:tcPr>
            <w:tcW w:type="dxa" w:w="6552"/>
            <w:tcMar>
              <w:top w:w="110" w:type="dxa"/>
              <w:start w:w="120" w:type="dxa"/>
              <w:bottom w:w="110" w:type="dxa"/>
              <w:end w:w="120" w:type="dxa"/>
            </w:tcMar>
            <w:vAlign w:val="center"/>
          </w:tcPr>
          <w:p>
            <w:pPr>
              <w:spacing w:after="0"/>
            </w:pPr>
            <w:r>
              <w:t>Select product variants and enter the quantities being sold.</w:t>
            </w:r>
          </w:p>
        </w:tc>
      </w:tr>
      <w:tr>
        <w:trPr>
          <w:cantSplit/>
        </w:trPr>
        <w:tc>
          <w:tcPr>
            <w:tcW w:type="dxa" w:w="792"/>
            <w:shd w:fill="EAF2F8"/>
            <w:tcMar>
              <w:top w:w="110" w:type="dxa"/>
              <w:start w:w="120" w:type="dxa"/>
              <w:bottom w:w="110" w:type="dxa"/>
              <w:end w:w="120" w:type="dxa"/>
            </w:tcMar>
            <w:vAlign w:val="center"/>
          </w:tcPr>
          <w:p>
            <w:pPr>
              <w:spacing w:after="0"/>
            </w:pPr>
            <w:r>
              <w:t>4</w:t>
            </w:r>
          </w:p>
        </w:tc>
        <w:tc>
          <w:tcPr>
            <w:tcW w:type="dxa" w:w="2232"/>
            <w:shd w:fill="EAF2F8"/>
            <w:tcMar>
              <w:top w:w="110" w:type="dxa"/>
              <w:start w:w="120" w:type="dxa"/>
              <w:bottom w:w="110" w:type="dxa"/>
              <w:end w:w="120" w:type="dxa"/>
            </w:tcMar>
            <w:vAlign w:val="center"/>
          </w:tcPr>
          <w:p>
            <w:pPr>
              <w:spacing w:after="0"/>
            </w:pPr>
            <w:r>
              <w:t>Resolve the price</w:t>
            </w:r>
          </w:p>
        </w:tc>
        <w:tc>
          <w:tcPr>
            <w:tcW w:type="dxa" w:w="6552"/>
            <w:shd w:fill="EAF2F8"/>
            <w:tcMar>
              <w:top w:w="110" w:type="dxa"/>
              <w:start w:w="120" w:type="dxa"/>
              <w:bottom w:w="110" w:type="dxa"/>
              <w:end w:w="120" w:type="dxa"/>
            </w:tcMar>
            <w:vAlign w:val="center"/>
          </w:tcPr>
          <w:p>
            <w:pPr>
              <w:spacing w:after="0"/>
            </w:pPr>
            <w:r>
              <w:t>The system uses the applicable company or branch price. An authorised override requires a reason.</w:t>
            </w:r>
          </w:p>
        </w:tc>
      </w:tr>
      <w:tr>
        <w:trPr>
          <w:cantSplit/>
        </w:trPr>
        <w:tc>
          <w:tcPr>
            <w:tcW w:type="dxa" w:w="792"/>
            <w:tcMar>
              <w:top w:w="110" w:type="dxa"/>
              <w:start w:w="120" w:type="dxa"/>
              <w:bottom w:w="110" w:type="dxa"/>
              <w:end w:w="120" w:type="dxa"/>
            </w:tcMar>
            <w:vAlign w:val="center"/>
          </w:tcPr>
          <w:p>
            <w:pPr>
              <w:spacing w:after="0"/>
            </w:pPr>
            <w:r>
              <w:t>5</w:t>
            </w:r>
          </w:p>
        </w:tc>
        <w:tc>
          <w:tcPr>
            <w:tcW w:type="dxa" w:w="2232"/>
            <w:tcMar>
              <w:top w:w="110" w:type="dxa"/>
              <w:start w:w="120" w:type="dxa"/>
              <w:bottom w:w="110" w:type="dxa"/>
              <w:end w:w="120" w:type="dxa"/>
            </w:tcMar>
            <w:vAlign w:val="center"/>
          </w:tcPr>
          <w:p>
            <w:pPr>
              <w:spacing w:after="0"/>
            </w:pPr>
            <w:r>
              <w:t>Complete the sale</w:t>
            </w:r>
          </w:p>
        </w:tc>
        <w:tc>
          <w:tcPr>
            <w:tcW w:type="dxa" w:w="6552"/>
            <w:tcMar>
              <w:top w:w="110" w:type="dxa"/>
              <w:start w:w="120" w:type="dxa"/>
              <w:bottom w:w="110" w:type="dxa"/>
              <w:end w:w="120" w:type="dxa"/>
            </w:tcMar>
            <w:vAlign w:val="center"/>
          </w:tcPr>
          <w:p>
            <w:pPr>
              <w:spacing w:after="0"/>
            </w:pPr>
            <w:r>
              <w:t>Completion records the sale and reduces the branch inventory through stock movements.</w:t>
            </w:r>
          </w:p>
        </w:tc>
      </w:tr>
      <w:tr>
        <w:trPr>
          <w:cantSplit/>
        </w:trPr>
        <w:tc>
          <w:tcPr>
            <w:tcW w:type="dxa" w:w="792"/>
            <w:shd w:fill="EAF2F8"/>
            <w:tcMar>
              <w:top w:w="110" w:type="dxa"/>
              <w:start w:w="120" w:type="dxa"/>
              <w:bottom w:w="110" w:type="dxa"/>
              <w:end w:w="120" w:type="dxa"/>
            </w:tcMar>
            <w:vAlign w:val="center"/>
          </w:tcPr>
          <w:p>
            <w:pPr>
              <w:spacing w:after="0"/>
            </w:pPr>
            <w:r>
              <w:t>6</w:t>
            </w:r>
          </w:p>
        </w:tc>
        <w:tc>
          <w:tcPr>
            <w:tcW w:type="dxa" w:w="2232"/>
            <w:shd w:fill="EAF2F8"/>
            <w:tcMar>
              <w:top w:w="110" w:type="dxa"/>
              <w:start w:w="120" w:type="dxa"/>
              <w:bottom w:w="110" w:type="dxa"/>
              <w:end w:w="120" w:type="dxa"/>
            </w:tcMar>
            <w:vAlign w:val="center"/>
          </w:tcPr>
          <w:p>
            <w:pPr>
              <w:spacing w:after="0"/>
            </w:pPr>
            <w:r>
              <w:t>Record payment</w:t>
            </w:r>
          </w:p>
        </w:tc>
        <w:tc>
          <w:tcPr>
            <w:tcW w:type="dxa" w:w="6552"/>
            <w:shd w:fill="EAF2F8"/>
            <w:tcMar>
              <w:top w:w="110" w:type="dxa"/>
              <w:start w:w="120" w:type="dxa"/>
              <w:bottom w:w="110" w:type="dxa"/>
              <w:end w:w="120" w:type="dxa"/>
            </w:tcMar>
            <w:vAlign w:val="center"/>
          </w:tcPr>
          <w:p>
            <w:pPr>
              <w:spacing w:after="0"/>
            </w:pPr>
            <w:r>
              <w:t>Capture the amount received and payment method. Additional payments can be recorded later.</w:t>
            </w:r>
          </w:p>
        </w:tc>
      </w:tr>
      <w:tr>
        <w:trPr>
          <w:cantSplit/>
        </w:trPr>
        <w:tc>
          <w:tcPr>
            <w:tcW w:type="dxa" w:w="792"/>
            <w:tcMar>
              <w:top w:w="110" w:type="dxa"/>
              <w:start w:w="120" w:type="dxa"/>
              <w:bottom w:w="110" w:type="dxa"/>
              <w:end w:w="120" w:type="dxa"/>
            </w:tcMar>
            <w:vAlign w:val="center"/>
          </w:tcPr>
          <w:p>
            <w:pPr>
              <w:spacing w:after="0"/>
            </w:pPr>
            <w:r>
              <w:t>7</w:t>
            </w:r>
          </w:p>
        </w:tc>
        <w:tc>
          <w:tcPr>
            <w:tcW w:type="dxa" w:w="2232"/>
            <w:tcMar>
              <w:top w:w="110" w:type="dxa"/>
              <w:start w:w="120" w:type="dxa"/>
              <w:bottom w:w="110" w:type="dxa"/>
              <w:end w:w="120" w:type="dxa"/>
            </w:tcMar>
            <w:vAlign w:val="center"/>
          </w:tcPr>
          <w:p>
            <w:pPr>
              <w:spacing w:after="0"/>
            </w:pPr>
            <w:r>
              <w:t>Track the balance</w:t>
            </w:r>
          </w:p>
        </w:tc>
        <w:tc>
          <w:tcPr>
            <w:tcW w:type="dxa" w:w="6552"/>
            <w:tcMar>
              <w:top w:w="110" w:type="dxa"/>
              <w:start w:w="120" w:type="dxa"/>
              <w:bottom w:w="110" w:type="dxa"/>
              <w:end w:w="120" w:type="dxa"/>
            </w:tcMar>
            <w:vAlign w:val="center"/>
          </w:tcPr>
          <w:p>
            <w:pPr>
              <w:spacing w:after="0"/>
            </w:pPr>
            <w:r>
              <w:t>Any unpaid amount remains on the customer account as a receivable.</w:t>
            </w:r>
          </w:p>
        </w:tc>
      </w:tr>
    </w:tbl>
    <w:p>
      <w:pPr>
        <w:spacing w:after="0"/>
      </w:pPr>
    </w:p>
    <w:p>
      <w:pPr>
        <w:pStyle w:val="Heading1"/>
        <w:keepNext/>
      </w:pPr>
      <w:r>
        <w:t>Daily Purchasing Workflow</w:t>
      </w:r>
    </w:p>
    <w:p>
      <w:r>
        <w:t>A Branch Manager or another authorised employee processes purchases as follows: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792"/>
            <w:shd w:fill="17365D"/>
            <w:tcMar>
              <w:top w:w="110" w:type="dxa"/>
              <w:start w:w="120" w:type="dxa"/>
              <w:bottom w:w="110" w:type="dxa"/>
              <w:end w:w="120" w:type="dxa"/>
            </w:tcMar>
            <w:vAlign w:val="center"/>
          </w:tcPr>
          <w:p>
            <w:pPr>
              <w:spacing w:after="0"/>
            </w:pPr>
            <w:r>
              <w:rPr>
                <w:b/>
                <w:color w:val="FFFFFF"/>
              </w:rPr>
              <w:t>Step</w:t>
            </w:r>
          </w:p>
        </w:tc>
        <w:tc>
          <w:tcPr>
            <w:tcW w:type="dxa" w:w="2232"/>
            <w:shd w:fill="17365D"/>
            <w:tcMar>
              <w:top w:w="110" w:type="dxa"/>
              <w:start w:w="120" w:type="dxa"/>
              <w:bottom w:w="110" w:type="dxa"/>
              <w:end w:w="120" w:type="dxa"/>
            </w:tcMar>
            <w:vAlign w:val="center"/>
          </w:tcPr>
          <w:p>
            <w:pPr>
              <w:spacing w:after="0"/>
            </w:pPr>
            <w:r>
              <w:rPr>
                <w:b/>
                <w:color w:val="FFFFFF"/>
              </w:rPr>
              <w:t>Branch action</w:t>
            </w:r>
          </w:p>
        </w:tc>
        <w:tc>
          <w:tcPr>
            <w:tcW w:type="dxa" w:w="6552"/>
            <w:shd w:fill="17365D"/>
            <w:tcMar>
              <w:top w:w="110" w:type="dxa"/>
              <w:start w:w="120" w:type="dxa"/>
              <w:bottom w:w="110" w:type="dxa"/>
              <w:end w:w="120" w:type="dxa"/>
            </w:tcMar>
            <w:vAlign w:val="center"/>
          </w:tcPr>
          <w:p>
            <w:pPr>
              <w:spacing w:after="0"/>
            </w:pPr>
            <w:r>
              <w:rPr>
                <w:b/>
                <w:color w:val="FFFFFF"/>
              </w:rPr>
              <w:t>System result</w:t>
            </w:r>
          </w:p>
        </w:tc>
      </w:tr>
      <w:tr>
        <w:trPr>
          <w:cantSplit/>
        </w:trPr>
        <w:tc>
          <w:tcPr>
            <w:tcW w:type="dxa" w:w="792"/>
            <w:tcMar>
              <w:top w:w="110" w:type="dxa"/>
              <w:start w:w="120" w:type="dxa"/>
              <w:bottom w:w="110" w:type="dxa"/>
              <w:end w:w="120" w:type="dxa"/>
            </w:tcMar>
            <w:vAlign w:val="center"/>
          </w:tcPr>
          <w:p>
            <w:pPr>
              <w:spacing w:after="0"/>
            </w:pPr>
            <w:r>
              <w:t>1</w:t>
            </w:r>
          </w:p>
        </w:tc>
        <w:tc>
          <w:tcPr>
            <w:tcW w:type="dxa" w:w="2232"/>
            <w:tcMar>
              <w:top w:w="110" w:type="dxa"/>
              <w:start w:w="120" w:type="dxa"/>
              <w:bottom w:w="110" w:type="dxa"/>
              <w:end w:w="120" w:type="dxa"/>
            </w:tcMar>
            <w:vAlign w:val="center"/>
          </w:tcPr>
          <w:p>
            <w:pPr>
              <w:spacing w:after="0"/>
            </w:pPr>
            <w:r>
              <w:t>Select the supplier</w:t>
            </w:r>
          </w:p>
        </w:tc>
        <w:tc>
          <w:tcPr>
            <w:tcW w:type="dxa" w:w="6552"/>
            <w:tcMar>
              <w:top w:w="110" w:type="dxa"/>
              <w:start w:w="120" w:type="dxa"/>
              <w:bottom w:w="110" w:type="dxa"/>
              <w:end w:w="120" w:type="dxa"/>
            </w:tcMar>
            <w:vAlign w:val="center"/>
          </w:tcPr>
          <w:p>
            <w:pPr>
              <w:spacing w:after="0"/>
            </w:pPr>
            <w:r>
              <w:t>Use an existing supplier or create an authorised supplier record.</w:t>
            </w:r>
          </w:p>
        </w:tc>
      </w:tr>
      <w:tr>
        <w:trPr>
          <w:cantSplit/>
        </w:trPr>
        <w:tc>
          <w:tcPr>
            <w:tcW w:type="dxa" w:w="792"/>
            <w:shd w:fill="EAF2F8"/>
            <w:tcMar>
              <w:top w:w="110" w:type="dxa"/>
              <w:start w:w="120" w:type="dxa"/>
              <w:bottom w:w="110" w:type="dxa"/>
              <w:end w:w="120" w:type="dxa"/>
            </w:tcMar>
            <w:vAlign w:val="center"/>
          </w:tcPr>
          <w:p>
            <w:pPr>
              <w:spacing w:after="0"/>
            </w:pPr>
            <w:r>
              <w:t>2</w:t>
            </w:r>
          </w:p>
        </w:tc>
        <w:tc>
          <w:tcPr>
            <w:tcW w:type="dxa" w:w="2232"/>
            <w:shd w:fill="EAF2F8"/>
            <w:tcMar>
              <w:top w:w="110" w:type="dxa"/>
              <w:start w:w="120" w:type="dxa"/>
              <w:bottom w:w="110" w:type="dxa"/>
              <w:end w:w="120" w:type="dxa"/>
            </w:tcMar>
            <w:vAlign w:val="center"/>
          </w:tcPr>
          <w:p>
            <w:pPr>
              <w:spacing w:after="0"/>
            </w:pPr>
            <w:r>
              <w:t>Create the purchase</w:t>
            </w:r>
          </w:p>
        </w:tc>
        <w:tc>
          <w:tcPr>
            <w:tcW w:type="dxa" w:w="6552"/>
            <w:shd w:fill="EAF2F8"/>
            <w:tcMar>
              <w:top w:w="110" w:type="dxa"/>
              <w:start w:w="120" w:type="dxa"/>
              <w:bottom w:w="110" w:type="dxa"/>
              <w:end w:w="120" w:type="dxa"/>
            </w:tcMar>
            <w:vAlign w:val="center"/>
          </w:tcPr>
          <w:p>
            <w:pPr>
              <w:spacing w:after="0"/>
            </w:pPr>
            <w:r>
              <w:t>Choose the branch and add ordered products, quantities, and purchase costs.</w:t>
            </w:r>
          </w:p>
        </w:tc>
      </w:tr>
      <w:tr>
        <w:trPr>
          <w:cantSplit/>
        </w:trPr>
        <w:tc>
          <w:tcPr>
            <w:tcW w:type="dxa" w:w="792"/>
            <w:tcMar>
              <w:top w:w="110" w:type="dxa"/>
              <w:start w:w="120" w:type="dxa"/>
              <w:bottom w:w="110" w:type="dxa"/>
              <w:end w:w="120" w:type="dxa"/>
            </w:tcMar>
            <w:vAlign w:val="center"/>
          </w:tcPr>
          <w:p>
            <w:pPr>
              <w:spacing w:after="0"/>
            </w:pPr>
            <w:r>
              <w:t>3</w:t>
            </w:r>
          </w:p>
        </w:tc>
        <w:tc>
          <w:tcPr>
            <w:tcW w:type="dxa" w:w="2232"/>
            <w:tcMar>
              <w:top w:w="110" w:type="dxa"/>
              <w:start w:w="120" w:type="dxa"/>
              <w:bottom w:w="110" w:type="dxa"/>
              <w:end w:w="120" w:type="dxa"/>
            </w:tcMar>
            <w:vAlign w:val="center"/>
          </w:tcPr>
          <w:p>
            <w:pPr>
              <w:spacing w:after="0"/>
            </w:pPr>
            <w:r>
              <w:t>Place the order</w:t>
            </w:r>
          </w:p>
        </w:tc>
        <w:tc>
          <w:tcPr>
            <w:tcW w:type="dxa" w:w="6552"/>
            <w:tcMar>
              <w:top w:w="110" w:type="dxa"/>
              <w:start w:w="120" w:type="dxa"/>
              <w:bottom w:w="110" w:type="dxa"/>
              <w:end w:w="120" w:type="dxa"/>
            </w:tcMar>
            <w:vAlign w:val="center"/>
          </w:tcPr>
          <w:p>
            <w:pPr>
              <w:spacing w:after="0"/>
            </w:pPr>
            <w:r>
              <w:t>The order can be tracked without changing stock.</w:t>
            </w:r>
          </w:p>
        </w:tc>
      </w:tr>
      <w:tr>
        <w:trPr>
          <w:cantSplit/>
        </w:trPr>
        <w:tc>
          <w:tcPr>
            <w:tcW w:type="dxa" w:w="792"/>
            <w:shd w:fill="EAF2F8"/>
            <w:tcMar>
              <w:top w:w="110" w:type="dxa"/>
              <w:start w:w="120" w:type="dxa"/>
              <w:bottom w:w="110" w:type="dxa"/>
              <w:end w:w="120" w:type="dxa"/>
            </w:tcMar>
            <w:vAlign w:val="center"/>
          </w:tcPr>
          <w:p>
            <w:pPr>
              <w:spacing w:after="0"/>
            </w:pPr>
            <w:r>
              <w:t>4</w:t>
            </w:r>
          </w:p>
        </w:tc>
        <w:tc>
          <w:tcPr>
            <w:tcW w:type="dxa" w:w="2232"/>
            <w:shd w:fill="EAF2F8"/>
            <w:tcMar>
              <w:top w:w="110" w:type="dxa"/>
              <w:start w:w="120" w:type="dxa"/>
              <w:bottom w:w="110" w:type="dxa"/>
              <w:end w:w="120" w:type="dxa"/>
            </w:tcMar>
            <w:vAlign w:val="center"/>
          </w:tcPr>
          <w:p>
            <w:pPr>
              <w:spacing w:after="0"/>
            </w:pPr>
            <w:r>
              <w:t>Receive the goods</w:t>
            </w:r>
          </w:p>
        </w:tc>
        <w:tc>
          <w:tcPr>
            <w:tcW w:type="dxa" w:w="6552"/>
            <w:shd w:fill="EAF2F8"/>
            <w:tcMar>
              <w:top w:w="110" w:type="dxa"/>
              <w:start w:w="120" w:type="dxa"/>
              <w:bottom w:w="110" w:type="dxa"/>
              <w:end w:w="120" w:type="dxa"/>
            </w:tcMar>
            <w:vAlign w:val="center"/>
          </w:tcPr>
          <w:p>
            <w:pPr>
              <w:spacing w:after="0"/>
            </w:pPr>
            <w:r>
              <w:t>Confirm received quantities. Receipt increases inventory at the selected branch.</w:t>
            </w:r>
          </w:p>
        </w:tc>
      </w:tr>
      <w:tr>
        <w:trPr>
          <w:cantSplit/>
        </w:trPr>
        <w:tc>
          <w:tcPr>
            <w:tcW w:type="dxa" w:w="792"/>
            <w:tcMar>
              <w:top w:w="110" w:type="dxa"/>
              <w:start w:w="120" w:type="dxa"/>
              <w:bottom w:w="110" w:type="dxa"/>
              <w:end w:w="120" w:type="dxa"/>
            </w:tcMar>
            <w:vAlign w:val="center"/>
          </w:tcPr>
          <w:p>
            <w:pPr>
              <w:spacing w:after="0"/>
            </w:pPr>
            <w:r>
              <w:t>5</w:t>
            </w:r>
          </w:p>
        </w:tc>
        <w:tc>
          <w:tcPr>
            <w:tcW w:type="dxa" w:w="2232"/>
            <w:tcMar>
              <w:top w:w="110" w:type="dxa"/>
              <w:start w:w="120" w:type="dxa"/>
              <w:bottom w:w="110" w:type="dxa"/>
              <w:end w:w="120" w:type="dxa"/>
            </w:tcMar>
            <w:vAlign w:val="center"/>
          </w:tcPr>
          <w:p>
            <w:pPr>
              <w:spacing w:after="0"/>
            </w:pPr>
            <w:r>
              <w:t>Record supplier payment</w:t>
            </w:r>
          </w:p>
        </w:tc>
        <w:tc>
          <w:tcPr>
            <w:tcW w:type="dxa" w:w="6552"/>
            <w:tcMar>
              <w:top w:w="110" w:type="dxa"/>
              <w:start w:w="120" w:type="dxa"/>
              <w:bottom w:w="110" w:type="dxa"/>
              <w:end w:w="120" w:type="dxa"/>
            </w:tcMar>
            <w:vAlign w:val="center"/>
          </w:tcPr>
          <w:p>
            <w:pPr>
              <w:spacing w:after="0"/>
            </w:pPr>
            <w:r>
              <w:t>Capture payments made to the supplier.</w:t>
            </w:r>
          </w:p>
        </w:tc>
      </w:tr>
      <w:tr>
        <w:trPr>
          <w:cantSplit/>
        </w:trPr>
        <w:tc>
          <w:tcPr>
            <w:tcW w:type="dxa" w:w="792"/>
            <w:shd w:fill="EAF2F8"/>
            <w:tcMar>
              <w:top w:w="110" w:type="dxa"/>
              <w:start w:w="120" w:type="dxa"/>
              <w:bottom w:w="110" w:type="dxa"/>
              <w:end w:w="120" w:type="dxa"/>
            </w:tcMar>
            <w:vAlign w:val="center"/>
          </w:tcPr>
          <w:p>
            <w:pPr>
              <w:spacing w:after="0"/>
            </w:pPr>
            <w:r>
              <w:t>6</w:t>
            </w:r>
          </w:p>
        </w:tc>
        <w:tc>
          <w:tcPr>
            <w:tcW w:type="dxa" w:w="2232"/>
            <w:shd w:fill="EAF2F8"/>
            <w:tcMar>
              <w:top w:w="110" w:type="dxa"/>
              <w:start w:w="120" w:type="dxa"/>
              <w:bottom w:w="110" w:type="dxa"/>
              <w:end w:w="120" w:type="dxa"/>
            </w:tcMar>
            <w:vAlign w:val="center"/>
          </w:tcPr>
          <w:p>
            <w:pPr>
              <w:spacing w:after="0"/>
            </w:pPr>
            <w:r>
              <w:t>Track the balance</w:t>
            </w:r>
          </w:p>
        </w:tc>
        <w:tc>
          <w:tcPr>
            <w:tcW w:type="dxa" w:w="6552"/>
            <w:shd w:fill="EAF2F8"/>
            <w:tcMar>
              <w:top w:w="110" w:type="dxa"/>
              <w:start w:w="120" w:type="dxa"/>
              <w:bottom w:w="110" w:type="dxa"/>
              <w:end w:w="120" w:type="dxa"/>
            </w:tcMar>
            <w:vAlign w:val="center"/>
          </w:tcPr>
          <w:p>
            <w:pPr>
              <w:spacing w:after="0"/>
            </w:pPr>
            <w:r>
              <w:t>Any unpaid purchase amount remains visible as a supplier balance.</w:t>
            </w:r>
          </w:p>
        </w:tc>
      </w:tr>
    </w:tbl>
    <w:p>
      <w:pPr>
        <w:spacing w:after="0"/>
      </w:pPr>
    </w:p>
    <w:p>
      <w:r>
        <w:t>Creating or ordering a purchase does not increase inventory. Stock changes only when an authorised employee receives the goods.</w:t>
      </w:r>
    </w:p>
    <w:p>
      <w:pPr>
        <w:pStyle w:val="Heading1"/>
        <w:keepNext/>
      </w:pPr>
      <w:r>
        <w:t>Inventory Control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1944"/>
            <w:shd w:fill="17365D"/>
            <w:tcMar>
              <w:top w:w="110" w:type="dxa"/>
              <w:start w:w="120" w:type="dxa"/>
              <w:bottom w:w="110" w:type="dxa"/>
              <w:end w:w="120" w:type="dxa"/>
            </w:tcMar>
            <w:vAlign w:val="center"/>
          </w:tcPr>
          <w:p>
            <w:pPr>
              <w:spacing w:after="0"/>
            </w:pPr>
            <w:r>
              <w:rPr>
                <w:b/>
                <w:color w:val="FFFFFF"/>
              </w:rPr>
              <w:t>Activity</w:t>
            </w:r>
          </w:p>
        </w:tc>
        <w:tc>
          <w:tcPr>
            <w:tcW w:type="dxa" w:w="4104"/>
            <w:shd w:fill="17365D"/>
            <w:tcMar>
              <w:top w:w="110" w:type="dxa"/>
              <w:start w:w="120" w:type="dxa"/>
              <w:bottom w:w="110" w:type="dxa"/>
              <w:end w:w="120" w:type="dxa"/>
            </w:tcMar>
            <w:vAlign w:val="center"/>
          </w:tcPr>
          <w:p>
            <w:pPr>
              <w:spacing w:after="0"/>
            </w:pPr>
            <w:r>
              <w:rPr>
                <w:b/>
                <w:color w:val="FFFFFF"/>
              </w:rPr>
              <w:t>When the branch uses it</w:t>
            </w:r>
          </w:p>
        </w:tc>
        <w:tc>
          <w:tcPr>
            <w:tcW w:type="dxa" w:w="3528"/>
            <w:shd w:fill="17365D"/>
            <w:tcMar>
              <w:top w:w="110" w:type="dxa"/>
              <w:start w:w="120" w:type="dxa"/>
              <w:bottom w:w="110" w:type="dxa"/>
              <w:end w:w="120" w:type="dxa"/>
            </w:tcMar>
            <w:vAlign w:val="center"/>
          </w:tcPr>
          <w:p>
            <w:pPr>
              <w:spacing w:after="0"/>
            </w:pPr>
            <w:r>
              <w:rPr>
                <w:b/>
                <w:color w:val="FFFFFF"/>
              </w:rPr>
              <w:t>Effect</w:t>
            </w:r>
          </w:p>
        </w:tc>
      </w:tr>
      <w:tr>
        <w:trPr>
          <w:cantSplit/>
        </w:trPr>
        <w:tc>
          <w:tcPr>
            <w:tcW w:type="dxa" w:w="1944"/>
            <w:tcMar>
              <w:top w:w="110" w:type="dxa"/>
              <w:start w:w="120" w:type="dxa"/>
              <w:bottom w:w="110" w:type="dxa"/>
              <w:end w:w="120" w:type="dxa"/>
            </w:tcMar>
            <w:vAlign w:val="center"/>
          </w:tcPr>
          <w:p>
            <w:pPr>
              <w:spacing w:after="0"/>
            </w:pPr>
            <w:r>
              <w:t>Opening stock</w:t>
            </w:r>
          </w:p>
        </w:tc>
        <w:tc>
          <w:tcPr>
            <w:tcW w:type="dxa" w:w="4104"/>
            <w:tcMar>
              <w:top w:w="110" w:type="dxa"/>
              <w:start w:w="120" w:type="dxa"/>
              <w:bottom w:w="110" w:type="dxa"/>
              <w:end w:w="120" w:type="dxa"/>
            </w:tcMar>
            <w:vAlign w:val="center"/>
          </w:tcPr>
          <w:p>
            <w:pPr>
              <w:spacing w:after="0"/>
            </w:pPr>
            <w:r>
              <w:t>When the branch first begins tracking a product variant.</w:t>
            </w:r>
          </w:p>
        </w:tc>
        <w:tc>
          <w:tcPr>
            <w:tcW w:type="dxa" w:w="3528"/>
            <w:tcMar>
              <w:top w:w="110" w:type="dxa"/>
              <w:start w:w="120" w:type="dxa"/>
              <w:bottom w:w="110" w:type="dxa"/>
              <w:end w:w="120" w:type="dxa"/>
            </w:tcMar>
            <w:vAlign w:val="center"/>
          </w:tcPr>
          <w:p>
            <w:pPr>
              <w:spacing w:after="0"/>
            </w:pPr>
            <w:r>
              <w:t>Creates the starting inventory balance.</w:t>
            </w:r>
          </w:p>
        </w:tc>
      </w:tr>
      <w:tr>
        <w:trPr>
          <w:cantSplit/>
        </w:trPr>
        <w:tc>
          <w:tcPr>
            <w:tcW w:type="dxa" w:w="1944"/>
            <w:shd w:fill="EAF2F8"/>
            <w:tcMar>
              <w:top w:w="110" w:type="dxa"/>
              <w:start w:w="120" w:type="dxa"/>
              <w:bottom w:w="110" w:type="dxa"/>
              <w:end w:w="120" w:type="dxa"/>
            </w:tcMar>
            <w:vAlign w:val="center"/>
          </w:tcPr>
          <w:p>
            <w:pPr>
              <w:spacing w:after="0"/>
            </w:pPr>
            <w:r>
              <w:t>Stock adjustment</w:t>
            </w:r>
          </w:p>
        </w:tc>
        <w:tc>
          <w:tcPr>
            <w:tcW w:type="dxa" w:w="4104"/>
            <w:shd w:fill="EAF2F8"/>
            <w:tcMar>
              <w:top w:w="110" w:type="dxa"/>
              <w:start w:w="120" w:type="dxa"/>
              <w:bottom w:w="110" w:type="dxa"/>
              <w:end w:w="120" w:type="dxa"/>
            </w:tcMar>
            <w:vAlign w:val="center"/>
          </w:tcPr>
          <w:p>
            <w:pPr>
              <w:spacing w:after="0"/>
            </w:pPr>
            <w:r>
              <w:t>When a documented correction, damage, loss, or other authorised change is required.</w:t>
            </w:r>
          </w:p>
        </w:tc>
        <w:tc>
          <w:tcPr>
            <w:tcW w:type="dxa" w:w="3528"/>
            <w:shd w:fill="EAF2F8"/>
            <w:tcMar>
              <w:top w:w="110" w:type="dxa"/>
              <w:start w:w="120" w:type="dxa"/>
              <w:bottom w:w="110" w:type="dxa"/>
              <w:end w:w="120" w:type="dxa"/>
            </w:tcMar>
            <w:vAlign w:val="center"/>
          </w:tcPr>
          <w:p>
            <w:pPr>
              <w:spacing w:after="0"/>
            </w:pPr>
            <w:r>
              <w:t>Posts an increase or decrease with a reason and audit record.</w:t>
            </w:r>
          </w:p>
        </w:tc>
      </w:tr>
      <w:tr>
        <w:trPr>
          <w:cantSplit/>
        </w:trPr>
        <w:tc>
          <w:tcPr>
            <w:tcW w:type="dxa" w:w="1944"/>
            <w:tcMar>
              <w:top w:w="110" w:type="dxa"/>
              <w:start w:w="120" w:type="dxa"/>
              <w:bottom w:w="110" w:type="dxa"/>
              <w:end w:w="120" w:type="dxa"/>
            </w:tcMar>
            <w:vAlign w:val="center"/>
          </w:tcPr>
          <w:p>
            <w:pPr>
              <w:spacing w:after="0"/>
            </w:pPr>
            <w:r>
              <w:t>Physical stock count</w:t>
            </w:r>
          </w:p>
        </w:tc>
        <w:tc>
          <w:tcPr>
            <w:tcW w:type="dxa" w:w="4104"/>
            <w:tcMar>
              <w:top w:w="110" w:type="dxa"/>
              <w:start w:w="120" w:type="dxa"/>
              <w:bottom w:w="110" w:type="dxa"/>
              <w:end w:w="120" w:type="dxa"/>
            </w:tcMar>
            <w:vAlign w:val="center"/>
          </w:tcPr>
          <w:p>
            <w:pPr>
              <w:spacing w:after="0"/>
            </w:pPr>
            <w:r>
              <w:t>During scheduled or investigative counts.</w:t>
            </w:r>
          </w:p>
        </w:tc>
        <w:tc>
          <w:tcPr>
            <w:tcW w:type="dxa" w:w="3528"/>
            <w:tcMar>
              <w:top w:w="110" w:type="dxa"/>
              <w:start w:w="120" w:type="dxa"/>
              <w:bottom w:w="110" w:type="dxa"/>
              <w:end w:w="120" w:type="dxa"/>
            </w:tcMar>
            <w:vAlign w:val="center"/>
          </w:tcPr>
          <w:p>
            <w:pPr>
              <w:spacing w:after="0"/>
            </w:pPr>
            <w:r>
              <w:t>Locks affected items during the count and reconciles differences at completion.</w:t>
            </w:r>
          </w:p>
        </w:tc>
      </w:tr>
      <w:tr>
        <w:trPr>
          <w:cantSplit/>
        </w:trPr>
        <w:tc>
          <w:tcPr>
            <w:tcW w:type="dxa" w:w="1944"/>
            <w:shd w:fill="EAF2F8"/>
            <w:tcMar>
              <w:top w:w="110" w:type="dxa"/>
              <w:start w:w="120" w:type="dxa"/>
              <w:bottom w:w="110" w:type="dxa"/>
              <w:end w:w="120" w:type="dxa"/>
            </w:tcMar>
            <w:vAlign w:val="center"/>
          </w:tcPr>
          <w:p>
            <w:pPr>
              <w:spacing w:after="0"/>
            </w:pPr>
            <w:r>
              <w:t>Minimum stock level</w:t>
            </w:r>
          </w:p>
        </w:tc>
        <w:tc>
          <w:tcPr>
            <w:tcW w:type="dxa" w:w="4104"/>
            <w:shd w:fill="EAF2F8"/>
            <w:tcMar>
              <w:top w:w="110" w:type="dxa"/>
              <w:start w:w="120" w:type="dxa"/>
              <w:bottom w:w="110" w:type="dxa"/>
              <w:end w:w="120" w:type="dxa"/>
            </w:tcMar>
            <w:vAlign w:val="center"/>
          </w:tcPr>
          <w:p>
            <w:pPr>
              <w:spacing w:after="0"/>
            </w:pPr>
            <w:r>
              <w:t>When management defines the reorder threshold for an item.</w:t>
            </w:r>
          </w:p>
        </w:tc>
        <w:tc>
          <w:tcPr>
            <w:tcW w:type="dxa" w:w="3528"/>
            <w:shd w:fill="EAF2F8"/>
            <w:tcMar>
              <w:top w:w="110" w:type="dxa"/>
              <w:start w:w="120" w:type="dxa"/>
              <w:bottom w:w="110" w:type="dxa"/>
              <w:end w:w="120" w:type="dxa"/>
            </w:tcMar>
            <w:vAlign w:val="center"/>
          </w:tcPr>
          <w:p>
            <w:pPr>
              <w:spacing w:after="0"/>
            </w:pPr>
            <w:r>
              <w:t>Drives low-stock and out-of-stock monitoring.</w:t>
            </w:r>
          </w:p>
        </w:tc>
      </w:tr>
      <w:tr>
        <w:trPr>
          <w:cantSplit/>
        </w:trPr>
        <w:tc>
          <w:tcPr>
            <w:tcW w:type="dxa" w:w="1944"/>
            <w:tcMar>
              <w:top w:w="110" w:type="dxa"/>
              <w:start w:w="120" w:type="dxa"/>
              <w:bottom w:w="110" w:type="dxa"/>
              <w:end w:w="120" w:type="dxa"/>
            </w:tcMar>
            <w:vAlign w:val="center"/>
          </w:tcPr>
          <w:p>
            <w:pPr>
              <w:spacing w:after="0"/>
            </w:pPr>
            <w:r>
              <w:t>Stock movement history</w:t>
            </w:r>
          </w:p>
        </w:tc>
        <w:tc>
          <w:tcPr>
            <w:tcW w:type="dxa" w:w="4104"/>
            <w:tcMar>
              <w:top w:w="110" w:type="dxa"/>
              <w:start w:w="120" w:type="dxa"/>
              <w:bottom w:w="110" w:type="dxa"/>
              <w:end w:w="120" w:type="dxa"/>
            </w:tcMar>
            <w:vAlign w:val="center"/>
          </w:tcPr>
          <w:p>
            <w:pPr>
              <w:spacing w:after="0"/>
            </w:pPr>
            <w:r>
              <w:t>When employees need to explain a balance.</w:t>
            </w:r>
          </w:p>
        </w:tc>
        <w:tc>
          <w:tcPr>
            <w:tcW w:type="dxa" w:w="3528"/>
            <w:tcMar>
              <w:top w:w="110" w:type="dxa"/>
              <w:start w:w="120" w:type="dxa"/>
              <w:bottom w:w="110" w:type="dxa"/>
              <w:end w:w="120" w:type="dxa"/>
            </w:tcMar>
            <w:vAlign w:val="center"/>
          </w:tcPr>
          <w:p>
            <w:pPr>
              <w:spacing w:after="0"/>
            </w:pPr>
            <w:r>
              <w:t>Shows each receipt, sale, transfer, adjustment, and count-related movement.</w:t>
            </w:r>
          </w:p>
        </w:tc>
      </w:tr>
    </w:tbl>
    <w:p>
      <w:pPr>
        <w:spacing w:after="0"/>
      </w:pPr>
    </w:p>
    <w:p>
      <w:pPr>
        <w:pStyle w:val="Heading1"/>
        <w:keepNext/>
      </w:pPr>
      <w:r>
        <w:t>Inter Branch Stock Transfers</w:t>
      </w:r>
    </w:p>
    <w:p>
      <w:pPr>
        <w:keepNext/>
      </w:pPr>
      <w:r>
        <w:t>Transfers move product variants from a source branch to a different active destination branch. The process protects both branch balances and identifies stock that is physically travelling between locations.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1656"/>
            <w:shd w:fill="17365D"/>
            <w:tcMar>
              <w:top w:w="110" w:type="dxa"/>
              <w:start w:w="120" w:type="dxa"/>
              <w:bottom w:w="110" w:type="dxa"/>
              <w:end w:w="120" w:type="dxa"/>
            </w:tcMar>
            <w:vAlign w:val="center"/>
          </w:tcPr>
          <w:p>
            <w:pPr>
              <w:spacing w:after="0"/>
            </w:pPr>
            <w:r>
              <w:rPr>
                <w:b/>
                <w:color w:val="FFFFFF"/>
              </w:rPr>
              <w:t>Status</w:t>
            </w:r>
          </w:p>
        </w:tc>
        <w:tc>
          <w:tcPr>
            <w:tcW w:type="dxa" w:w="2592"/>
            <w:shd w:fill="17365D"/>
            <w:tcMar>
              <w:top w:w="110" w:type="dxa"/>
              <w:start w:w="120" w:type="dxa"/>
              <w:bottom w:w="110" w:type="dxa"/>
              <w:end w:w="120" w:type="dxa"/>
            </w:tcMar>
            <w:vAlign w:val="center"/>
          </w:tcPr>
          <w:p>
            <w:pPr>
              <w:spacing w:after="0"/>
            </w:pPr>
            <w:r>
              <w:rPr>
                <w:b/>
                <w:color w:val="FFFFFF"/>
              </w:rPr>
              <w:t>Responsible location</w:t>
            </w:r>
          </w:p>
        </w:tc>
        <w:tc>
          <w:tcPr>
            <w:tcW w:type="dxa" w:w="5328"/>
            <w:shd w:fill="17365D"/>
            <w:tcMar>
              <w:top w:w="110" w:type="dxa"/>
              <w:start w:w="120" w:type="dxa"/>
              <w:bottom w:w="110" w:type="dxa"/>
              <w:end w:w="120" w:type="dxa"/>
            </w:tcMar>
            <w:vAlign w:val="center"/>
          </w:tcPr>
          <w:p>
            <w:pPr>
              <w:spacing w:after="0"/>
            </w:pPr>
            <w:r>
              <w:rPr>
                <w:b/>
                <w:color w:val="FFFFFF"/>
              </w:rPr>
              <w:t>Inventory effect</w:t>
            </w:r>
          </w:p>
        </w:tc>
      </w:tr>
      <w:tr>
        <w:trPr>
          <w:cantSplit/>
        </w:trPr>
        <w:tc>
          <w:tcPr>
            <w:tcW w:type="dxa" w:w="1656"/>
            <w:tcMar>
              <w:top w:w="110" w:type="dxa"/>
              <w:start w:w="120" w:type="dxa"/>
              <w:bottom w:w="110" w:type="dxa"/>
              <w:end w:w="120" w:type="dxa"/>
            </w:tcMar>
            <w:vAlign w:val="center"/>
          </w:tcPr>
          <w:p>
            <w:pPr>
              <w:spacing w:after="0"/>
            </w:pPr>
            <w:r>
              <w:t>Draft</w:t>
            </w:r>
          </w:p>
        </w:tc>
        <w:tc>
          <w:tcPr>
            <w:tcW w:type="dxa" w:w="2592"/>
            <w:tcMar>
              <w:top w:w="110" w:type="dxa"/>
              <w:start w:w="120" w:type="dxa"/>
              <w:bottom w:w="110" w:type="dxa"/>
              <w:end w:w="120" w:type="dxa"/>
            </w:tcMar>
            <w:vAlign w:val="center"/>
          </w:tcPr>
          <w:p>
            <w:pPr>
              <w:spacing w:after="0"/>
            </w:pPr>
            <w:r>
              <w:t>Source branch</w:t>
            </w:r>
          </w:p>
        </w:tc>
        <w:tc>
          <w:tcPr>
            <w:tcW w:type="dxa" w:w="5328"/>
            <w:tcMar>
              <w:top w:w="110" w:type="dxa"/>
              <w:start w:w="120" w:type="dxa"/>
              <w:bottom w:w="110" w:type="dxa"/>
              <w:end w:w="120" w:type="dxa"/>
            </w:tcMar>
            <w:vAlign w:val="center"/>
          </w:tcPr>
          <w:p>
            <w:pPr>
              <w:spacing w:after="0"/>
            </w:pPr>
            <w:r>
              <w:t>Create the transfer and add requested quantities. Inventory does not change.</w:t>
            </w:r>
          </w:p>
        </w:tc>
      </w:tr>
      <w:tr>
        <w:trPr>
          <w:cantSplit/>
        </w:trPr>
        <w:tc>
          <w:tcPr>
            <w:tcW w:type="dxa" w:w="1656"/>
            <w:shd w:fill="EAF2F8"/>
            <w:tcMar>
              <w:top w:w="110" w:type="dxa"/>
              <w:start w:w="120" w:type="dxa"/>
              <w:bottom w:w="110" w:type="dxa"/>
              <w:end w:w="120" w:type="dxa"/>
            </w:tcMar>
            <w:vAlign w:val="center"/>
          </w:tcPr>
          <w:p>
            <w:pPr>
              <w:spacing w:after="0"/>
            </w:pPr>
            <w:r>
              <w:t>Requested</w:t>
            </w:r>
          </w:p>
        </w:tc>
        <w:tc>
          <w:tcPr>
            <w:tcW w:type="dxa" w:w="2592"/>
            <w:shd w:fill="EAF2F8"/>
            <w:tcMar>
              <w:top w:w="110" w:type="dxa"/>
              <w:start w:w="120" w:type="dxa"/>
              <w:bottom w:w="110" w:type="dxa"/>
              <w:end w:w="120" w:type="dxa"/>
            </w:tcMar>
            <w:vAlign w:val="center"/>
          </w:tcPr>
          <w:p>
            <w:pPr>
              <w:spacing w:after="0"/>
            </w:pPr>
            <w:r>
              <w:t>Source branch</w:t>
            </w:r>
          </w:p>
        </w:tc>
        <w:tc>
          <w:tcPr>
            <w:tcW w:type="dxa" w:w="5328"/>
            <w:shd w:fill="EAF2F8"/>
            <w:tcMar>
              <w:top w:w="110" w:type="dxa"/>
              <w:start w:w="120" w:type="dxa"/>
              <w:bottom w:w="110" w:type="dxa"/>
              <w:end w:w="120" w:type="dxa"/>
            </w:tcMar>
            <w:vAlign w:val="center"/>
          </w:tcPr>
          <w:p>
            <w:pPr>
              <w:spacing w:after="0"/>
            </w:pPr>
            <w:r>
              <w:t>Submit the transfer for approval. Inventory still does not change.</w:t>
            </w:r>
          </w:p>
        </w:tc>
      </w:tr>
      <w:tr>
        <w:trPr>
          <w:cantSplit/>
        </w:trPr>
        <w:tc>
          <w:tcPr>
            <w:tcW w:type="dxa" w:w="1656"/>
            <w:tcMar>
              <w:top w:w="110" w:type="dxa"/>
              <w:start w:w="120" w:type="dxa"/>
              <w:bottom w:w="110" w:type="dxa"/>
              <w:end w:w="120" w:type="dxa"/>
            </w:tcMar>
            <w:vAlign w:val="center"/>
          </w:tcPr>
          <w:p>
            <w:pPr>
              <w:spacing w:after="0"/>
            </w:pPr>
            <w:r>
              <w:t>Approved</w:t>
            </w:r>
          </w:p>
        </w:tc>
        <w:tc>
          <w:tcPr>
            <w:tcW w:type="dxa" w:w="2592"/>
            <w:tcMar>
              <w:top w:w="110" w:type="dxa"/>
              <w:start w:w="120" w:type="dxa"/>
              <w:bottom w:w="110" w:type="dxa"/>
              <w:end w:w="120" w:type="dxa"/>
            </w:tcMar>
            <w:vAlign w:val="center"/>
          </w:tcPr>
          <w:p>
            <w:pPr>
              <w:spacing w:after="0"/>
            </w:pPr>
            <w:r>
              <w:t>Source Branch Manager</w:t>
            </w:r>
          </w:p>
        </w:tc>
        <w:tc>
          <w:tcPr>
            <w:tcW w:type="dxa" w:w="5328"/>
            <w:tcMar>
              <w:top w:w="110" w:type="dxa"/>
              <w:start w:w="120" w:type="dxa"/>
              <w:bottom w:w="110" w:type="dxa"/>
              <w:end w:w="120" w:type="dxa"/>
            </w:tcMar>
            <w:vAlign w:val="center"/>
          </w:tcPr>
          <w:p>
            <w:pPr>
              <w:spacing w:after="0"/>
            </w:pPr>
            <w:r>
              <w:t>Approve the requested quantities. Inventory still does not change.</w:t>
            </w:r>
          </w:p>
        </w:tc>
      </w:tr>
      <w:tr>
        <w:trPr>
          <w:cantSplit/>
        </w:trPr>
        <w:tc>
          <w:tcPr>
            <w:tcW w:type="dxa" w:w="1656"/>
            <w:shd w:fill="EAF2F8"/>
            <w:tcMar>
              <w:top w:w="110" w:type="dxa"/>
              <w:start w:w="120" w:type="dxa"/>
              <w:bottom w:w="110" w:type="dxa"/>
              <w:end w:w="120" w:type="dxa"/>
            </w:tcMar>
            <w:vAlign w:val="center"/>
          </w:tcPr>
          <w:p>
            <w:pPr>
              <w:spacing w:after="0"/>
            </w:pPr>
            <w:r>
              <w:t>Dispatched</w:t>
            </w:r>
          </w:p>
        </w:tc>
        <w:tc>
          <w:tcPr>
            <w:tcW w:type="dxa" w:w="2592"/>
            <w:shd w:fill="EAF2F8"/>
            <w:tcMar>
              <w:top w:w="110" w:type="dxa"/>
              <w:start w:w="120" w:type="dxa"/>
              <w:bottom w:w="110" w:type="dxa"/>
              <w:end w:w="120" w:type="dxa"/>
            </w:tcMar>
            <w:vAlign w:val="center"/>
          </w:tcPr>
          <w:p>
            <w:pPr>
              <w:spacing w:after="0"/>
            </w:pPr>
            <w:r>
              <w:t>Source branch</w:t>
            </w:r>
          </w:p>
        </w:tc>
        <w:tc>
          <w:tcPr>
            <w:tcW w:type="dxa" w:w="5328"/>
            <w:shd w:fill="EAF2F8"/>
            <w:tcMar>
              <w:top w:w="110" w:type="dxa"/>
              <w:start w:w="120" w:type="dxa"/>
              <w:bottom w:w="110" w:type="dxa"/>
              <w:end w:w="120" w:type="dxa"/>
            </w:tcMar>
            <w:vAlign w:val="center"/>
          </w:tcPr>
          <w:p>
            <w:pPr>
              <w:spacing w:after="0"/>
            </w:pPr>
            <w:r>
              <w:t>Confirm dispatch. Stock leaves the source and becomes in transit.</w:t>
            </w:r>
          </w:p>
        </w:tc>
      </w:tr>
      <w:tr>
        <w:trPr>
          <w:cantSplit/>
        </w:trPr>
        <w:tc>
          <w:tcPr>
            <w:tcW w:type="dxa" w:w="1656"/>
            <w:tcMar>
              <w:top w:w="110" w:type="dxa"/>
              <w:start w:w="120" w:type="dxa"/>
              <w:bottom w:w="110" w:type="dxa"/>
              <w:end w:w="120" w:type="dxa"/>
            </w:tcMar>
            <w:vAlign w:val="center"/>
          </w:tcPr>
          <w:p>
            <w:pPr>
              <w:spacing w:after="0"/>
            </w:pPr>
            <w:r>
              <w:t>Received</w:t>
            </w:r>
          </w:p>
        </w:tc>
        <w:tc>
          <w:tcPr>
            <w:tcW w:type="dxa" w:w="2592"/>
            <w:tcMar>
              <w:top w:w="110" w:type="dxa"/>
              <w:start w:w="120" w:type="dxa"/>
              <w:bottom w:w="110" w:type="dxa"/>
              <w:end w:w="120" w:type="dxa"/>
            </w:tcMar>
            <w:vAlign w:val="center"/>
          </w:tcPr>
          <w:p>
            <w:pPr>
              <w:spacing w:after="0"/>
            </w:pPr>
            <w:r>
              <w:t>Destination branch</w:t>
            </w:r>
          </w:p>
        </w:tc>
        <w:tc>
          <w:tcPr>
            <w:tcW w:type="dxa" w:w="5328"/>
            <w:tcMar>
              <w:top w:w="110" w:type="dxa"/>
              <w:start w:w="120" w:type="dxa"/>
              <w:bottom w:w="110" w:type="dxa"/>
              <w:end w:w="120" w:type="dxa"/>
            </w:tcMar>
            <w:vAlign w:val="center"/>
          </w:tcPr>
          <w:p>
            <w:pPr>
              <w:spacing w:after="0"/>
            </w:pPr>
            <w:r>
              <w:t>Confirm receipt. Stock enters the destination inventory.</w:t>
            </w:r>
          </w:p>
        </w:tc>
      </w:tr>
    </w:tbl>
    <w:p>
      <w:pPr>
        <w:spacing w:after="0"/>
      </w:pPr>
    </w:p>
    <w:p>
      <w:r>
        <w:t>An eligible transfer can be cancelled before dispatch. A dispatched transfer cannot be cancelled or edited. Dispatch and receipt apply to the complete transfer in the current workflow.</w:t>
      </w:r>
    </w:p>
    <w:p>
      <w:pPr>
        <w:pStyle w:val="Heading2"/>
        <w:keepNext/>
      </w:pPr>
      <w:r>
        <w:t>Transfer Permissions by Role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428"/>
        <w:gridCol w:w="1428"/>
        <w:gridCol w:w="1428"/>
        <w:gridCol w:w="1428"/>
        <w:gridCol w:w="1428"/>
        <w:gridCol w:w="1428"/>
        <w:gridCol w:w="1428"/>
      </w:tblGrid>
      <w:tr>
        <w:trPr>
          <w:tblHeader w:val="true"/>
          <w:cantSplit/>
        </w:trPr>
        <w:tc>
          <w:tcPr>
            <w:tcW w:type="dxa" w:w="1728"/>
            <w:shd w:fill="17365D"/>
            <w:tcMar>
              <w:top w:w="110" w:type="dxa"/>
              <w:start w:w="120" w:type="dxa"/>
              <w:bottom w:w="110" w:type="dxa"/>
              <w:end w:w="120" w:type="dxa"/>
            </w:tcMar>
            <w:vAlign w:val="center"/>
          </w:tcPr>
          <w:p>
            <w:pPr>
              <w:spacing w:after="0"/>
            </w:pPr>
            <w:r>
              <w:rPr>
                <w:b/>
                <w:color w:val="FFFFFF"/>
              </w:rPr>
              <w:t>Role</w:t>
            </w:r>
          </w:p>
        </w:tc>
        <w:tc>
          <w:tcPr>
            <w:tcW w:type="dxa" w:w="1080"/>
            <w:shd w:fill="17365D"/>
            <w:tcMar>
              <w:top w:w="110" w:type="dxa"/>
              <w:start w:w="120" w:type="dxa"/>
              <w:bottom w:w="110" w:type="dxa"/>
              <w:end w:w="120" w:type="dxa"/>
            </w:tcMar>
            <w:vAlign w:val="center"/>
          </w:tcPr>
          <w:p>
            <w:pPr>
              <w:spacing w:after="0"/>
            </w:pPr>
            <w:r>
              <w:rPr>
                <w:b/>
                <w:color w:val="FFFFFF"/>
              </w:rPr>
              <w:t>Read</w:t>
            </w:r>
          </w:p>
        </w:tc>
        <w:tc>
          <w:tcPr>
            <w:tcW w:type="dxa" w:w="1152"/>
            <w:shd w:fill="17365D"/>
            <w:tcMar>
              <w:top w:w="110" w:type="dxa"/>
              <w:start w:w="120" w:type="dxa"/>
              <w:bottom w:w="110" w:type="dxa"/>
              <w:end w:w="120" w:type="dxa"/>
            </w:tcMar>
            <w:vAlign w:val="center"/>
          </w:tcPr>
          <w:p>
            <w:pPr>
              <w:spacing w:after="0"/>
            </w:pPr>
            <w:r>
              <w:rPr>
                <w:b/>
                <w:color w:val="FFFFFF"/>
              </w:rPr>
              <w:t>Create</w:t>
            </w:r>
          </w:p>
        </w:tc>
        <w:tc>
          <w:tcPr>
            <w:tcW w:type="dxa" w:w="1152"/>
            <w:shd w:fill="17365D"/>
            <w:tcMar>
              <w:top w:w="110" w:type="dxa"/>
              <w:start w:w="120" w:type="dxa"/>
              <w:bottom w:w="110" w:type="dxa"/>
              <w:end w:w="120" w:type="dxa"/>
            </w:tcMar>
            <w:vAlign w:val="center"/>
          </w:tcPr>
          <w:p>
            <w:pPr>
              <w:spacing w:after="0"/>
            </w:pPr>
            <w:r>
              <w:rPr>
                <w:b/>
                <w:color w:val="FFFFFF"/>
              </w:rPr>
              <w:t>Approve</w:t>
            </w:r>
          </w:p>
        </w:tc>
        <w:tc>
          <w:tcPr>
            <w:tcW w:type="dxa" w:w="1224"/>
            <w:shd w:fill="17365D"/>
            <w:tcMar>
              <w:top w:w="110" w:type="dxa"/>
              <w:start w:w="120" w:type="dxa"/>
              <w:bottom w:w="110" w:type="dxa"/>
              <w:end w:w="120" w:type="dxa"/>
            </w:tcMar>
            <w:vAlign w:val="center"/>
          </w:tcPr>
          <w:p>
            <w:pPr>
              <w:spacing w:after="0"/>
            </w:pPr>
            <w:r>
              <w:rPr>
                <w:b/>
                <w:color w:val="FFFFFF"/>
              </w:rPr>
              <w:t>Dispatch</w:t>
            </w:r>
          </w:p>
        </w:tc>
        <w:tc>
          <w:tcPr>
            <w:tcW w:type="dxa" w:w="1296"/>
            <w:shd w:fill="17365D"/>
            <w:tcMar>
              <w:top w:w="110" w:type="dxa"/>
              <w:start w:w="120" w:type="dxa"/>
              <w:bottom w:w="110" w:type="dxa"/>
              <w:end w:w="120" w:type="dxa"/>
            </w:tcMar>
            <w:vAlign w:val="center"/>
          </w:tcPr>
          <w:p>
            <w:pPr>
              <w:spacing w:after="0"/>
            </w:pPr>
            <w:r>
              <w:rPr>
                <w:b/>
                <w:color w:val="FFFFFF"/>
              </w:rPr>
              <w:t>Receive</w:t>
            </w:r>
          </w:p>
        </w:tc>
        <w:tc>
          <w:tcPr>
            <w:tcW w:type="dxa" w:w="1152"/>
            <w:shd w:fill="17365D"/>
            <w:tcMar>
              <w:top w:w="110" w:type="dxa"/>
              <w:start w:w="120" w:type="dxa"/>
              <w:bottom w:w="110" w:type="dxa"/>
              <w:end w:w="120" w:type="dxa"/>
            </w:tcMar>
            <w:vAlign w:val="center"/>
          </w:tcPr>
          <w:p>
            <w:pPr>
              <w:spacing w:after="0"/>
            </w:pPr>
            <w:r>
              <w:rPr>
                <w:b/>
                <w:color w:val="FFFFFF"/>
              </w:rPr>
              <w:t>Cancel</w:t>
            </w:r>
          </w:p>
        </w:tc>
      </w:tr>
      <w:tr>
        <w:trPr>
          <w:cantSplit/>
        </w:trPr>
        <w:tc>
          <w:tcPr>
            <w:tcW w:type="dxa" w:w="1728"/>
            <w:tcMar>
              <w:top w:w="110" w:type="dxa"/>
              <w:start w:w="120" w:type="dxa"/>
              <w:bottom w:w="110" w:type="dxa"/>
              <w:end w:w="120" w:type="dxa"/>
            </w:tcMar>
            <w:vAlign w:val="center"/>
          </w:tcPr>
          <w:p>
            <w:pPr>
              <w:spacing w:after="0"/>
            </w:pPr>
            <w:r>
              <w:t>Super Admin</w:t>
            </w:r>
          </w:p>
        </w:tc>
        <w:tc>
          <w:tcPr>
            <w:tcW w:type="dxa" w:w="1080"/>
            <w:tcMar>
              <w:top w:w="110" w:type="dxa"/>
              <w:start w:w="120" w:type="dxa"/>
              <w:bottom w:w="110" w:type="dxa"/>
              <w:end w:w="120" w:type="dxa"/>
            </w:tcMar>
            <w:vAlign w:val="center"/>
          </w:tcPr>
          <w:p>
            <w:pPr>
              <w:spacing w:after="0"/>
            </w:pPr>
            <w:r>
              <w:t>All</w:t>
            </w:r>
          </w:p>
        </w:tc>
        <w:tc>
          <w:tcPr>
            <w:tcW w:type="dxa" w:w="1152"/>
            <w:tcMar>
              <w:top w:w="110" w:type="dxa"/>
              <w:start w:w="120" w:type="dxa"/>
              <w:bottom w:w="110" w:type="dxa"/>
              <w:end w:w="120" w:type="dxa"/>
            </w:tcMar>
            <w:vAlign w:val="center"/>
          </w:tcPr>
          <w:p>
            <w:pPr>
              <w:spacing w:after="0"/>
            </w:pPr>
            <w:r>
              <w:t>Yes</w:t>
            </w:r>
          </w:p>
        </w:tc>
        <w:tc>
          <w:tcPr>
            <w:tcW w:type="dxa" w:w="1152"/>
            <w:tcMar>
              <w:top w:w="110" w:type="dxa"/>
              <w:start w:w="120" w:type="dxa"/>
              <w:bottom w:w="110" w:type="dxa"/>
              <w:end w:w="120" w:type="dxa"/>
            </w:tcMar>
            <w:vAlign w:val="center"/>
          </w:tcPr>
          <w:p>
            <w:pPr>
              <w:spacing w:after="0"/>
            </w:pPr>
            <w:r>
              <w:t>Yes</w:t>
            </w:r>
          </w:p>
        </w:tc>
        <w:tc>
          <w:tcPr>
            <w:tcW w:type="dxa" w:w="1224"/>
            <w:tcMar>
              <w:top w:w="110" w:type="dxa"/>
              <w:start w:w="120" w:type="dxa"/>
              <w:bottom w:w="110" w:type="dxa"/>
              <w:end w:w="120" w:type="dxa"/>
            </w:tcMar>
            <w:vAlign w:val="center"/>
          </w:tcPr>
          <w:p>
            <w:pPr>
              <w:spacing w:after="0"/>
            </w:pPr>
            <w:r>
              <w:t>Yes</w:t>
            </w:r>
          </w:p>
        </w:tc>
        <w:tc>
          <w:tcPr>
            <w:tcW w:type="dxa" w:w="1296"/>
            <w:tcMar>
              <w:top w:w="110" w:type="dxa"/>
              <w:start w:w="120" w:type="dxa"/>
              <w:bottom w:w="110" w:type="dxa"/>
              <w:end w:w="120" w:type="dxa"/>
            </w:tcMar>
            <w:vAlign w:val="center"/>
          </w:tcPr>
          <w:p>
            <w:pPr>
              <w:spacing w:after="0"/>
            </w:pPr>
            <w:r>
              <w:t>Yes</w:t>
            </w:r>
          </w:p>
        </w:tc>
        <w:tc>
          <w:tcPr>
            <w:tcW w:type="dxa" w:w="1152"/>
            <w:tcMar>
              <w:top w:w="110" w:type="dxa"/>
              <w:start w:w="120" w:type="dxa"/>
              <w:bottom w:w="110" w:type="dxa"/>
              <w:end w:w="120" w:type="dxa"/>
            </w:tcMar>
            <w:vAlign w:val="center"/>
          </w:tcPr>
          <w:p>
            <w:pPr>
              <w:spacing w:after="0"/>
            </w:pPr>
            <w:r>
              <w:t>Yes</w:t>
            </w:r>
          </w:p>
        </w:tc>
      </w:tr>
      <w:tr>
        <w:trPr>
          <w:cantSplit/>
        </w:trPr>
        <w:tc>
          <w:tcPr>
            <w:tcW w:type="dxa" w:w="1728"/>
            <w:shd w:fill="EAF2F8"/>
            <w:tcMar>
              <w:top w:w="110" w:type="dxa"/>
              <w:start w:w="120" w:type="dxa"/>
              <w:bottom w:w="110" w:type="dxa"/>
              <w:end w:w="120" w:type="dxa"/>
            </w:tcMar>
            <w:vAlign w:val="center"/>
          </w:tcPr>
          <w:p>
            <w:pPr>
              <w:spacing w:after="0"/>
            </w:pPr>
            <w:r>
              <w:t>Owner</w:t>
            </w:r>
          </w:p>
        </w:tc>
        <w:tc>
          <w:tcPr>
            <w:tcW w:type="dxa" w:w="1080"/>
            <w:shd w:fill="EAF2F8"/>
            <w:tcMar>
              <w:top w:w="110" w:type="dxa"/>
              <w:start w:w="120" w:type="dxa"/>
              <w:bottom w:w="110" w:type="dxa"/>
              <w:end w:w="120" w:type="dxa"/>
            </w:tcMar>
            <w:vAlign w:val="center"/>
          </w:tcPr>
          <w:p>
            <w:pPr>
              <w:spacing w:after="0"/>
            </w:pPr>
            <w:r>
              <w:t>All</w:t>
            </w:r>
          </w:p>
        </w:tc>
        <w:tc>
          <w:tcPr>
            <w:tcW w:type="dxa" w:w="1152"/>
            <w:shd w:fill="EAF2F8"/>
            <w:tcMar>
              <w:top w:w="110" w:type="dxa"/>
              <w:start w:w="120" w:type="dxa"/>
              <w:bottom w:w="110" w:type="dxa"/>
              <w:end w:w="120" w:type="dxa"/>
            </w:tcMar>
            <w:vAlign w:val="center"/>
          </w:tcPr>
          <w:p>
            <w:pPr>
              <w:spacing w:after="0"/>
            </w:pPr>
            <w:r>
              <w:t>Yes</w:t>
            </w:r>
          </w:p>
        </w:tc>
        <w:tc>
          <w:tcPr>
            <w:tcW w:type="dxa" w:w="1152"/>
            <w:shd w:fill="EAF2F8"/>
            <w:tcMar>
              <w:top w:w="110" w:type="dxa"/>
              <w:start w:w="120" w:type="dxa"/>
              <w:bottom w:w="110" w:type="dxa"/>
              <w:end w:w="120" w:type="dxa"/>
            </w:tcMar>
            <w:vAlign w:val="center"/>
          </w:tcPr>
          <w:p>
            <w:pPr>
              <w:spacing w:after="0"/>
            </w:pPr>
            <w:r>
              <w:t>Yes</w:t>
            </w:r>
          </w:p>
        </w:tc>
        <w:tc>
          <w:tcPr>
            <w:tcW w:type="dxa" w:w="1224"/>
            <w:shd w:fill="EAF2F8"/>
            <w:tcMar>
              <w:top w:w="110" w:type="dxa"/>
              <w:start w:w="120" w:type="dxa"/>
              <w:bottom w:w="110" w:type="dxa"/>
              <w:end w:w="120" w:type="dxa"/>
            </w:tcMar>
            <w:vAlign w:val="center"/>
          </w:tcPr>
          <w:p>
            <w:pPr>
              <w:spacing w:after="0"/>
            </w:pPr>
            <w:r>
              <w:t>Yes</w:t>
            </w:r>
          </w:p>
        </w:tc>
        <w:tc>
          <w:tcPr>
            <w:tcW w:type="dxa" w:w="1296"/>
            <w:shd w:fill="EAF2F8"/>
            <w:tcMar>
              <w:top w:w="110" w:type="dxa"/>
              <w:start w:w="120" w:type="dxa"/>
              <w:bottom w:w="110" w:type="dxa"/>
              <w:end w:w="120" w:type="dxa"/>
            </w:tcMar>
            <w:vAlign w:val="center"/>
          </w:tcPr>
          <w:p>
            <w:pPr>
              <w:spacing w:after="0"/>
            </w:pPr>
            <w:r>
              <w:t>Yes</w:t>
            </w:r>
          </w:p>
        </w:tc>
        <w:tc>
          <w:tcPr>
            <w:tcW w:type="dxa" w:w="1152"/>
            <w:shd w:fill="EAF2F8"/>
            <w:tcMar>
              <w:top w:w="110" w:type="dxa"/>
              <w:start w:w="120" w:type="dxa"/>
              <w:bottom w:w="110" w:type="dxa"/>
              <w:end w:w="120" w:type="dxa"/>
            </w:tcMar>
            <w:vAlign w:val="center"/>
          </w:tcPr>
          <w:p>
            <w:pPr>
              <w:spacing w:after="0"/>
            </w:pPr>
            <w:r>
              <w:t>Yes</w:t>
            </w:r>
          </w:p>
        </w:tc>
      </w:tr>
      <w:tr>
        <w:trPr>
          <w:cantSplit/>
        </w:trPr>
        <w:tc>
          <w:tcPr>
            <w:tcW w:type="dxa" w:w="1728"/>
            <w:tcMar>
              <w:top w:w="110" w:type="dxa"/>
              <w:start w:w="120" w:type="dxa"/>
              <w:bottom w:w="110" w:type="dxa"/>
              <w:end w:w="120" w:type="dxa"/>
            </w:tcMar>
            <w:vAlign w:val="center"/>
          </w:tcPr>
          <w:p>
            <w:pPr>
              <w:spacing w:after="0"/>
            </w:pPr>
            <w:r>
              <w:t>Branch Manager</w:t>
            </w:r>
          </w:p>
        </w:tc>
        <w:tc>
          <w:tcPr>
            <w:tcW w:type="dxa" w:w="1080"/>
            <w:tcMar>
              <w:top w:w="110" w:type="dxa"/>
              <w:start w:w="120" w:type="dxa"/>
              <w:bottom w:w="110" w:type="dxa"/>
              <w:end w:w="120" w:type="dxa"/>
            </w:tcMar>
            <w:vAlign w:val="center"/>
          </w:tcPr>
          <w:p>
            <w:pPr>
              <w:spacing w:after="0"/>
            </w:pPr>
            <w:r>
              <w:t>Related</w:t>
            </w:r>
          </w:p>
        </w:tc>
        <w:tc>
          <w:tcPr>
            <w:tcW w:type="dxa" w:w="1152"/>
            <w:tcMar>
              <w:top w:w="110" w:type="dxa"/>
              <w:start w:w="120" w:type="dxa"/>
              <w:bottom w:w="110" w:type="dxa"/>
              <w:end w:w="120" w:type="dxa"/>
            </w:tcMar>
            <w:vAlign w:val="center"/>
          </w:tcPr>
          <w:p>
            <w:pPr>
              <w:spacing w:after="0"/>
            </w:pPr>
            <w:r>
              <w:t>Source</w:t>
            </w:r>
          </w:p>
        </w:tc>
        <w:tc>
          <w:tcPr>
            <w:tcW w:type="dxa" w:w="1152"/>
            <w:tcMar>
              <w:top w:w="110" w:type="dxa"/>
              <w:start w:w="120" w:type="dxa"/>
              <w:bottom w:w="110" w:type="dxa"/>
              <w:end w:w="120" w:type="dxa"/>
            </w:tcMar>
            <w:vAlign w:val="center"/>
          </w:tcPr>
          <w:p>
            <w:pPr>
              <w:spacing w:after="0"/>
            </w:pPr>
            <w:r>
              <w:t>Source</w:t>
            </w:r>
          </w:p>
        </w:tc>
        <w:tc>
          <w:tcPr>
            <w:tcW w:type="dxa" w:w="1224"/>
            <w:tcMar>
              <w:top w:w="110" w:type="dxa"/>
              <w:start w:w="120" w:type="dxa"/>
              <w:bottom w:w="110" w:type="dxa"/>
              <w:end w:w="120" w:type="dxa"/>
            </w:tcMar>
            <w:vAlign w:val="center"/>
          </w:tcPr>
          <w:p>
            <w:pPr>
              <w:spacing w:after="0"/>
            </w:pPr>
            <w:r>
              <w:t>Source</w:t>
            </w:r>
          </w:p>
        </w:tc>
        <w:tc>
          <w:tcPr>
            <w:tcW w:type="dxa" w:w="1296"/>
            <w:tcMar>
              <w:top w:w="110" w:type="dxa"/>
              <w:start w:w="120" w:type="dxa"/>
              <w:bottom w:w="110" w:type="dxa"/>
              <w:end w:w="120" w:type="dxa"/>
            </w:tcMar>
            <w:vAlign w:val="center"/>
          </w:tcPr>
          <w:p>
            <w:pPr>
              <w:spacing w:after="0"/>
            </w:pPr>
            <w:r>
              <w:t>Destination</w:t>
            </w:r>
          </w:p>
        </w:tc>
        <w:tc>
          <w:tcPr>
            <w:tcW w:type="dxa" w:w="1152"/>
            <w:tcMar>
              <w:top w:w="110" w:type="dxa"/>
              <w:start w:w="120" w:type="dxa"/>
              <w:bottom w:w="110" w:type="dxa"/>
              <w:end w:w="120" w:type="dxa"/>
            </w:tcMar>
            <w:vAlign w:val="center"/>
          </w:tcPr>
          <w:p>
            <w:pPr>
              <w:spacing w:after="0"/>
            </w:pPr>
            <w:r>
              <w:t>Source</w:t>
            </w:r>
          </w:p>
        </w:tc>
      </w:tr>
      <w:tr>
        <w:trPr>
          <w:cantSplit/>
        </w:trPr>
        <w:tc>
          <w:tcPr>
            <w:tcW w:type="dxa" w:w="1728"/>
            <w:shd w:fill="EAF2F8"/>
            <w:tcMar>
              <w:top w:w="110" w:type="dxa"/>
              <w:start w:w="120" w:type="dxa"/>
              <w:bottom w:w="110" w:type="dxa"/>
              <w:end w:w="120" w:type="dxa"/>
            </w:tcMar>
            <w:vAlign w:val="center"/>
          </w:tcPr>
          <w:p>
            <w:pPr>
              <w:spacing w:after="0"/>
            </w:pPr>
            <w:r>
              <w:t>Inventory Officer</w:t>
            </w:r>
          </w:p>
        </w:tc>
        <w:tc>
          <w:tcPr>
            <w:tcW w:type="dxa" w:w="1080"/>
            <w:shd w:fill="EAF2F8"/>
            <w:tcMar>
              <w:top w:w="110" w:type="dxa"/>
              <w:start w:w="120" w:type="dxa"/>
              <w:bottom w:w="110" w:type="dxa"/>
              <w:end w:w="120" w:type="dxa"/>
            </w:tcMar>
            <w:vAlign w:val="center"/>
          </w:tcPr>
          <w:p>
            <w:pPr>
              <w:spacing w:after="0"/>
            </w:pPr>
            <w:r>
              <w:t>Related</w:t>
            </w:r>
          </w:p>
        </w:tc>
        <w:tc>
          <w:tcPr>
            <w:tcW w:type="dxa" w:w="1152"/>
            <w:shd w:fill="EAF2F8"/>
            <w:tcMar>
              <w:top w:w="110" w:type="dxa"/>
              <w:start w:w="120" w:type="dxa"/>
              <w:bottom w:w="110" w:type="dxa"/>
              <w:end w:w="120" w:type="dxa"/>
            </w:tcMar>
            <w:vAlign w:val="center"/>
          </w:tcPr>
          <w:p>
            <w:pPr>
              <w:spacing w:after="0"/>
            </w:pPr>
            <w:r>
              <w:t>Source</w:t>
            </w:r>
          </w:p>
        </w:tc>
        <w:tc>
          <w:tcPr>
            <w:tcW w:type="dxa" w:w="1152"/>
            <w:shd w:fill="EAF2F8"/>
            <w:tcMar>
              <w:top w:w="110" w:type="dxa"/>
              <w:start w:w="120" w:type="dxa"/>
              <w:bottom w:w="110" w:type="dxa"/>
              <w:end w:w="120" w:type="dxa"/>
            </w:tcMar>
            <w:vAlign w:val="center"/>
          </w:tcPr>
          <w:p>
            <w:pPr>
              <w:spacing w:after="0"/>
            </w:pPr>
            <w:r>
              <w:t>No</w:t>
            </w:r>
          </w:p>
        </w:tc>
        <w:tc>
          <w:tcPr>
            <w:tcW w:type="dxa" w:w="1224"/>
            <w:shd w:fill="EAF2F8"/>
            <w:tcMar>
              <w:top w:w="110" w:type="dxa"/>
              <w:start w:w="120" w:type="dxa"/>
              <w:bottom w:w="110" w:type="dxa"/>
              <w:end w:w="120" w:type="dxa"/>
            </w:tcMar>
            <w:vAlign w:val="center"/>
          </w:tcPr>
          <w:p>
            <w:pPr>
              <w:spacing w:after="0"/>
            </w:pPr>
            <w:r>
              <w:t>Source</w:t>
            </w:r>
          </w:p>
        </w:tc>
        <w:tc>
          <w:tcPr>
            <w:tcW w:type="dxa" w:w="1296"/>
            <w:shd w:fill="EAF2F8"/>
            <w:tcMar>
              <w:top w:w="110" w:type="dxa"/>
              <w:start w:w="120" w:type="dxa"/>
              <w:bottom w:w="110" w:type="dxa"/>
              <w:end w:w="120" w:type="dxa"/>
            </w:tcMar>
            <w:vAlign w:val="center"/>
          </w:tcPr>
          <w:p>
            <w:pPr>
              <w:spacing w:after="0"/>
            </w:pPr>
            <w:r>
              <w:t>Destination</w:t>
            </w:r>
          </w:p>
        </w:tc>
        <w:tc>
          <w:tcPr>
            <w:tcW w:type="dxa" w:w="1152"/>
            <w:shd w:fill="EAF2F8"/>
            <w:tcMar>
              <w:top w:w="110" w:type="dxa"/>
              <w:start w:w="120" w:type="dxa"/>
              <w:bottom w:w="110" w:type="dxa"/>
              <w:end w:w="120" w:type="dxa"/>
            </w:tcMar>
            <w:vAlign w:val="center"/>
          </w:tcPr>
          <w:p>
            <w:pPr>
              <w:spacing w:after="0"/>
            </w:pPr>
            <w:r>
              <w:t>No</w:t>
            </w:r>
          </w:p>
        </w:tc>
      </w:tr>
      <w:tr>
        <w:trPr>
          <w:cantSplit/>
        </w:trPr>
        <w:tc>
          <w:tcPr>
            <w:tcW w:type="dxa" w:w="1728"/>
            <w:tcMar>
              <w:top w:w="110" w:type="dxa"/>
              <w:start w:w="120" w:type="dxa"/>
              <w:bottom w:w="110" w:type="dxa"/>
              <w:end w:w="120" w:type="dxa"/>
            </w:tcMar>
            <w:vAlign w:val="center"/>
          </w:tcPr>
          <w:p>
            <w:pPr>
              <w:spacing w:after="0"/>
            </w:pPr>
            <w:r>
              <w:t>Sales or Cashier</w:t>
            </w:r>
          </w:p>
        </w:tc>
        <w:tc>
          <w:tcPr>
            <w:tcW w:type="dxa" w:w="1080"/>
            <w:tcMar>
              <w:top w:w="110" w:type="dxa"/>
              <w:start w:w="120" w:type="dxa"/>
              <w:bottom w:w="110" w:type="dxa"/>
              <w:end w:w="120" w:type="dxa"/>
            </w:tcMar>
            <w:vAlign w:val="center"/>
          </w:tcPr>
          <w:p>
            <w:pPr>
              <w:spacing w:after="0"/>
            </w:pPr>
            <w:r>
              <w:t>Related</w:t>
            </w:r>
          </w:p>
        </w:tc>
        <w:tc>
          <w:tcPr>
            <w:tcW w:type="dxa" w:w="1152"/>
            <w:tcMar>
              <w:top w:w="110" w:type="dxa"/>
              <w:start w:w="120" w:type="dxa"/>
              <w:bottom w:w="110" w:type="dxa"/>
              <w:end w:w="120" w:type="dxa"/>
            </w:tcMar>
            <w:vAlign w:val="center"/>
          </w:tcPr>
          <w:p>
            <w:pPr>
              <w:spacing w:after="0"/>
            </w:pPr>
            <w:r>
              <w:t>No</w:t>
            </w:r>
          </w:p>
        </w:tc>
        <w:tc>
          <w:tcPr>
            <w:tcW w:type="dxa" w:w="1152"/>
            <w:tcMar>
              <w:top w:w="110" w:type="dxa"/>
              <w:start w:w="120" w:type="dxa"/>
              <w:bottom w:w="110" w:type="dxa"/>
              <w:end w:w="120" w:type="dxa"/>
            </w:tcMar>
            <w:vAlign w:val="center"/>
          </w:tcPr>
          <w:p>
            <w:pPr>
              <w:spacing w:after="0"/>
            </w:pPr>
            <w:r>
              <w:t>No</w:t>
            </w:r>
          </w:p>
        </w:tc>
        <w:tc>
          <w:tcPr>
            <w:tcW w:type="dxa" w:w="1224"/>
            <w:tcMar>
              <w:top w:w="110" w:type="dxa"/>
              <w:start w:w="120" w:type="dxa"/>
              <w:bottom w:w="110" w:type="dxa"/>
              <w:end w:w="120" w:type="dxa"/>
            </w:tcMar>
            <w:vAlign w:val="center"/>
          </w:tcPr>
          <w:p>
            <w:pPr>
              <w:spacing w:after="0"/>
            </w:pPr>
            <w:r>
              <w:t>No</w:t>
            </w:r>
          </w:p>
        </w:tc>
        <w:tc>
          <w:tcPr>
            <w:tcW w:type="dxa" w:w="1296"/>
            <w:tcMar>
              <w:top w:w="110" w:type="dxa"/>
              <w:start w:w="120" w:type="dxa"/>
              <w:bottom w:w="110" w:type="dxa"/>
              <w:end w:w="120" w:type="dxa"/>
            </w:tcMar>
            <w:vAlign w:val="center"/>
          </w:tcPr>
          <w:p>
            <w:pPr>
              <w:spacing w:after="0"/>
            </w:pPr>
            <w:r>
              <w:t>No</w:t>
            </w:r>
          </w:p>
        </w:tc>
        <w:tc>
          <w:tcPr>
            <w:tcW w:type="dxa" w:w="1152"/>
            <w:tcMar>
              <w:top w:w="110" w:type="dxa"/>
              <w:start w:w="120" w:type="dxa"/>
              <w:bottom w:w="110" w:type="dxa"/>
              <w:end w:w="120" w:type="dxa"/>
            </w:tcMar>
            <w:vAlign w:val="center"/>
          </w:tcPr>
          <w:p>
            <w:pPr>
              <w:spacing w:after="0"/>
            </w:pPr>
            <w:r>
              <w:t>No</w:t>
            </w:r>
          </w:p>
        </w:tc>
      </w:tr>
    </w:tbl>
    <w:p>
      <w:pPr>
        <w:spacing w:after="0"/>
      </w:pPr>
    </w:p>
    <w:p>
      <w:pPr>
        <w:pStyle w:val="Heading1"/>
        <w:keepNext/>
      </w:pPr>
      <w:r>
        <w:t>Shared and Branch Specific Information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trPr>
        <w:tc>
          <w:tcPr>
            <w:tcW w:type="dxa" w:w="4608"/>
            <w:shd w:fill="17365D"/>
            <w:tcMar>
              <w:top w:w="110" w:type="dxa"/>
              <w:start w:w="120" w:type="dxa"/>
              <w:bottom w:w="110" w:type="dxa"/>
              <w:end w:w="120" w:type="dxa"/>
            </w:tcMar>
            <w:vAlign w:val="center"/>
          </w:tcPr>
          <w:p>
            <w:pPr>
              <w:spacing w:after="0"/>
            </w:pPr>
            <w:r>
              <w:rPr>
                <w:b/>
                <w:color w:val="FFFFFF"/>
              </w:rPr>
              <w:t>Shared across the company</w:t>
            </w:r>
          </w:p>
        </w:tc>
        <w:tc>
          <w:tcPr>
            <w:tcW w:type="dxa" w:w="4968"/>
            <w:shd w:fill="17365D"/>
            <w:tcMar>
              <w:top w:w="110" w:type="dxa"/>
              <w:start w:w="120" w:type="dxa"/>
              <w:bottom w:w="110" w:type="dxa"/>
              <w:end w:w="120" w:type="dxa"/>
            </w:tcMar>
            <w:vAlign w:val="center"/>
          </w:tcPr>
          <w:p>
            <w:pPr>
              <w:spacing w:after="0"/>
            </w:pPr>
            <w:r>
              <w:rPr>
                <w:b/>
                <w:color w:val="FFFFFF"/>
              </w:rPr>
              <w:t>Recorded with branch identity</w:t>
            </w:r>
          </w:p>
        </w:tc>
      </w:tr>
      <w:tr>
        <w:trPr>
          <w:cantSplit/>
        </w:trPr>
        <w:tc>
          <w:tcPr>
            <w:tcW w:type="dxa" w:w="4608"/>
            <w:tcMar>
              <w:top w:w="110" w:type="dxa"/>
              <w:start w:w="120" w:type="dxa"/>
              <w:bottom w:w="110" w:type="dxa"/>
              <w:end w:w="120" w:type="dxa"/>
            </w:tcMar>
            <w:vAlign w:val="center"/>
          </w:tcPr>
          <w:p>
            <w:pPr>
              <w:spacing w:after="0"/>
            </w:pPr>
            <w:r>
              <w:t>Product catalogue and variants</w:t>
            </w:r>
          </w:p>
        </w:tc>
        <w:tc>
          <w:tcPr>
            <w:tcW w:type="dxa" w:w="4968"/>
            <w:tcMar>
              <w:top w:w="110" w:type="dxa"/>
              <w:start w:w="120" w:type="dxa"/>
              <w:bottom w:w="110" w:type="dxa"/>
              <w:end w:w="120" w:type="dxa"/>
            </w:tcMar>
            <w:vAlign w:val="center"/>
          </w:tcPr>
          <w:p>
            <w:pPr>
              <w:spacing w:after="0"/>
            </w:pPr>
            <w:r>
              <w:t>Inventory quantities and minimum stock levels</w:t>
            </w:r>
          </w:p>
        </w:tc>
      </w:tr>
      <w:tr>
        <w:trPr>
          <w:cantSplit/>
        </w:trPr>
        <w:tc>
          <w:tcPr>
            <w:tcW w:type="dxa" w:w="4608"/>
            <w:shd w:fill="EAF2F8"/>
            <w:tcMar>
              <w:top w:w="110" w:type="dxa"/>
              <w:start w:w="120" w:type="dxa"/>
              <w:bottom w:w="110" w:type="dxa"/>
              <w:end w:w="120" w:type="dxa"/>
            </w:tcMar>
            <w:vAlign w:val="center"/>
          </w:tcPr>
          <w:p>
            <w:pPr>
              <w:spacing w:after="0"/>
            </w:pPr>
            <w:r>
              <w:t>Categories, brands, units, and attributes</w:t>
            </w:r>
          </w:p>
        </w:tc>
        <w:tc>
          <w:tcPr>
            <w:tcW w:type="dxa" w:w="4968"/>
            <w:shd w:fill="EAF2F8"/>
            <w:tcMar>
              <w:top w:w="110" w:type="dxa"/>
              <w:start w:w="120" w:type="dxa"/>
              <w:bottom w:w="110" w:type="dxa"/>
              <w:end w:w="120" w:type="dxa"/>
            </w:tcMar>
            <w:vAlign w:val="center"/>
          </w:tcPr>
          <w:p>
            <w:pPr>
              <w:spacing w:after="0"/>
            </w:pPr>
            <w:r>
              <w:t>Sales and sale payments</w:t>
            </w:r>
          </w:p>
        </w:tc>
      </w:tr>
      <w:tr>
        <w:trPr>
          <w:cantSplit/>
        </w:trPr>
        <w:tc>
          <w:tcPr>
            <w:tcW w:type="dxa" w:w="4608"/>
            <w:tcMar>
              <w:top w:w="110" w:type="dxa"/>
              <w:start w:w="120" w:type="dxa"/>
              <w:bottom w:w="110" w:type="dxa"/>
              <w:end w:w="120" w:type="dxa"/>
            </w:tcMar>
            <w:vAlign w:val="center"/>
          </w:tcPr>
          <w:p>
            <w:pPr>
              <w:spacing w:after="0"/>
            </w:pPr>
            <w:r>
              <w:t>Customer master records</w:t>
            </w:r>
          </w:p>
        </w:tc>
        <w:tc>
          <w:tcPr>
            <w:tcW w:type="dxa" w:w="4968"/>
            <w:tcMar>
              <w:top w:w="110" w:type="dxa"/>
              <w:start w:w="120" w:type="dxa"/>
              <w:bottom w:w="110" w:type="dxa"/>
              <w:end w:w="120" w:type="dxa"/>
            </w:tcMar>
            <w:vAlign w:val="center"/>
          </w:tcPr>
          <w:p>
            <w:pPr>
              <w:spacing w:after="0"/>
            </w:pPr>
            <w:r>
              <w:t>Purchases and supplier payments</w:t>
            </w:r>
          </w:p>
        </w:tc>
      </w:tr>
      <w:tr>
        <w:trPr>
          <w:cantSplit/>
        </w:trPr>
        <w:tc>
          <w:tcPr>
            <w:tcW w:type="dxa" w:w="4608"/>
            <w:shd w:fill="EAF2F8"/>
            <w:tcMar>
              <w:top w:w="110" w:type="dxa"/>
              <w:start w:w="120" w:type="dxa"/>
              <w:bottom w:w="110" w:type="dxa"/>
              <w:end w:w="120" w:type="dxa"/>
            </w:tcMar>
            <w:vAlign w:val="center"/>
          </w:tcPr>
          <w:p>
            <w:pPr>
              <w:spacing w:after="0"/>
            </w:pPr>
            <w:r>
              <w:t>Supplier master records</w:t>
            </w:r>
          </w:p>
        </w:tc>
        <w:tc>
          <w:tcPr>
            <w:tcW w:type="dxa" w:w="4968"/>
            <w:shd w:fill="EAF2F8"/>
            <w:tcMar>
              <w:top w:w="110" w:type="dxa"/>
              <w:start w:w="120" w:type="dxa"/>
              <w:bottom w:w="110" w:type="dxa"/>
              <w:end w:w="120" w:type="dxa"/>
            </w:tcMar>
            <w:vAlign w:val="center"/>
          </w:tcPr>
          <w:p>
            <w:pPr>
              <w:spacing w:after="0"/>
            </w:pPr>
            <w:r>
              <w:t>Receivables and supplier balances</w:t>
            </w:r>
          </w:p>
        </w:tc>
      </w:tr>
      <w:tr>
        <w:trPr>
          <w:cantSplit/>
        </w:trPr>
        <w:tc>
          <w:tcPr>
            <w:tcW w:type="dxa" w:w="4608"/>
            <w:tcMar>
              <w:top w:w="110" w:type="dxa"/>
              <w:start w:w="120" w:type="dxa"/>
              <w:bottom w:w="110" w:type="dxa"/>
              <w:end w:w="120" w:type="dxa"/>
            </w:tcMar>
            <w:vAlign w:val="center"/>
          </w:tcPr>
          <w:p>
            <w:pPr>
              <w:spacing w:after="0"/>
            </w:pPr>
            <w:r>
              <w:t>Public website catalogue</w:t>
            </w:r>
          </w:p>
        </w:tc>
        <w:tc>
          <w:tcPr>
            <w:tcW w:type="dxa" w:w="4968"/>
            <w:tcMar>
              <w:top w:w="110" w:type="dxa"/>
              <w:start w:w="120" w:type="dxa"/>
              <w:bottom w:w="110" w:type="dxa"/>
              <w:end w:w="120" w:type="dxa"/>
            </w:tcMar>
            <w:vAlign w:val="center"/>
          </w:tcPr>
          <w:p>
            <w:pPr>
              <w:spacing w:after="0"/>
            </w:pPr>
            <w:r>
              <w:t>Stock movements, adjustments, and counts</w:t>
            </w:r>
          </w:p>
        </w:tc>
      </w:tr>
      <w:tr>
        <w:trPr>
          <w:cantSplit/>
        </w:trPr>
        <w:tc>
          <w:tcPr>
            <w:tcW w:type="dxa" w:w="4608"/>
            <w:shd w:fill="EAF2F8"/>
            <w:tcMar>
              <w:top w:w="110" w:type="dxa"/>
              <w:start w:w="120" w:type="dxa"/>
              <w:bottom w:w="110" w:type="dxa"/>
              <w:end w:w="120" w:type="dxa"/>
            </w:tcMar>
            <w:vAlign w:val="center"/>
          </w:tcPr>
          <w:p>
            <w:pPr>
              <w:spacing w:after="0"/>
            </w:pPr>
            <w:r>
              <w:t>System roles and permissions</w:t>
            </w:r>
          </w:p>
        </w:tc>
        <w:tc>
          <w:tcPr>
            <w:tcW w:type="dxa" w:w="4968"/>
            <w:shd w:fill="EAF2F8"/>
            <w:tcMar>
              <w:top w:w="110" w:type="dxa"/>
              <w:start w:w="120" w:type="dxa"/>
              <w:bottom w:w="110" w:type="dxa"/>
              <w:end w:w="120" w:type="dxa"/>
            </w:tcMar>
            <w:vAlign w:val="center"/>
          </w:tcPr>
          <w:p>
            <w:pPr>
              <w:spacing w:after="0"/>
            </w:pPr>
            <w:r>
              <w:t>Transfers, branch dashboards, reports, and operational audit events</w:t>
            </w:r>
          </w:p>
        </w:tc>
      </w:tr>
    </w:tbl>
    <w:p>
      <w:pPr>
        <w:spacing w:after="0"/>
      </w:pPr>
    </w:p>
    <w:p>
      <w:r>
        <w:t>For example, the same product can exist in the shared catalogue while Branch A holds 20 units and Branch B holds 4 units. Each branch sees its own quantity unless the employee has company-wide access.</w:t>
      </w:r>
    </w:p>
    <w:p>
      <w:pPr>
        <w:pStyle w:val="Heading1"/>
        <w:keepNext/>
      </w:pPr>
      <w:r>
        <w:t>Dashboard and Reporting</w:t>
      </w:r>
    </w:p>
    <w:p>
      <w:r>
        <w:t>The dashboard adapts to the signed-in employee. Company roles receive company measures and branch comparisons. Branch employees receive information limited to their assignments and responsibilities.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2016"/>
            <w:shd w:fill="17365D"/>
            <w:tcMar>
              <w:top w:w="110" w:type="dxa"/>
              <w:start w:w="120" w:type="dxa"/>
              <w:bottom w:w="110" w:type="dxa"/>
              <w:end w:w="120" w:type="dxa"/>
            </w:tcMar>
            <w:vAlign w:val="center"/>
          </w:tcPr>
          <w:p>
            <w:pPr>
              <w:spacing w:after="0"/>
            </w:pPr>
            <w:r>
              <w:rPr>
                <w:b/>
                <w:color w:val="FFFFFF"/>
              </w:rPr>
              <w:t>User</w:t>
            </w:r>
          </w:p>
        </w:tc>
        <w:tc>
          <w:tcPr>
            <w:tcW w:type="dxa" w:w="5112"/>
            <w:shd w:fill="17365D"/>
            <w:tcMar>
              <w:top w:w="110" w:type="dxa"/>
              <w:start w:w="120" w:type="dxa"/>
              <w:bottom w:w="110" w:type="dxa"/>
              <w:end w:w="120" w:type="dxa"/>
            </w:tcMar>
            <w:vAlign w:val="center"/>
          </w:tcPr>
          <w:p>
            <w:pPr>
              <w:spacing w:after="0"/>
            </w:pPr>
            <w:r>
              <w:rPr>
                <w:b/>
                <w:color w:val="FFFFFF"/>
              </w:rPr>
              <w:t>Dashboard emphasis</w:t>
            </w:r>
          </w:p>
        </w:tc>
        <w:tc>
          <w:tcPr>
            <w:tcW w:type="dxa" w:w="2448"/>
            <w:shd w:fill="17365D"/>
            <w:tcMar>
              <w:top w:w="110" w:type="dxa"/>
              <w:start w:w="120" w:type="dxa"/>
              <w:bottom w:w="110" w:type="dxa"/>
              <w:end w:w="120" w:type="dxa"/>
            </w:tcMar>
            <w:vAlign w:val="center"/>
          </w:tcPr>
          <w:p>
            <w:pPr>
              <w:spacing w:after="0"/>
            </w:pPr>
            <w:r>
              <w:rPr>
                <w:b/>
                <w:color w:val="FFFFFF"/>
              </w:rPr>
              <w:t>Reporting access</w:t>
            </w:r>
          </w:p>
        </w:tc>
      </w:tr>
      <w:tr>
        <w:trPr>
          <w:cantSplit/>
        </w:trPr>
        <w:tc>
          <w:tcPr>
            <w:tcW w:type="dxa" w:w="2016"/>
            <w:tcMar>
              <w:top w:w="110" w:type="dxa"/>
              <w:start w:w="120" w:type="dxa"/>
              <w:bottom w:w="110" w:type="dxa"/>
              <w:end w:w="120" w:type="dxa"/>
            </w:tcMar>
            <w:vAlign w:val="center"/>
          </w:tcPr>
          <w:p>
            <w:pPr>
              <w:spacing w:after="0"/>
            </w:pPr>
            <w:r>
              <w:t>Branch Manager</w:t>
            </w:r>
          </w:p>
        </w:tc>
        <w:tc>
          <w:tcPr>
            <w:tcW w:type="dxa" w:w="5112"/>
            <w:tcMar>
              <w:top w:w="110" w:type="dxa"/>
              <w:start w:w="120" w:type="dxa"/>
              <w:bottom w:w="110" w:type="dxa"/>
              <w:end w:w="120" w:type="dxa"/>
            </w:tcMar>
            <w:vAlign w:val="center"/>
          </w:tcPr>
          <w:p>
            <w:pPr>
              <w:spacing w:after="0"/>
            </w:pPr>
            <w:r>
              <w:t>Branch sales, collections, purchasing, receivables, inventory health, transfers, and activity.</w:t>
            </w:r>
          </w:p>
        </w:tc>
        <w:tc>
          <w:tcPr>
            <w:tcW w:type="dxa" w:w="2448"/>
            <w:tcMar>
              <w:top w:w="110" w:type="dxa"/>
              <w:start w:w="120" w:type="dxa"/>
              <w:bottom w:w="110" w:type="dxa"/>
              <w:end w:w="120" w:type="dxa"/>
            </w:tcMar>
            <w:vAlign w:val="center"/>
          </w:tcPr>
          <w:p>
            <w:pPr>
              <w:spacing w:after="0"/>
            </w:pPr>
            <w:r>
              <w:t>Authorised branch reports and export.</w:t>
            </w:r>
          </w:p>
        </w:tc>
      </w:tr>
      <w:tr>
        <w:trPr>
          <w:cantSplit/>
        </w:trPr>
        <w:tc>
          <w:tcPr>
            <w:tcW w:type="dxa" w:w="2016"/>
            <w:shd w:fill="EAF2F8"/>
            <w:tcMar>
              <w:top w:w="110" w:type="dxa"/>
              <w:start w:w="120" w:type="dxa"/>
              <w:bottom w:w="110" w:type="dxa"/>
              <w:end w:w="120" w:type="dxa"/>
            </w:tcMar>
            <w:vAlign w:val="center"/>
          </w:tcPr>
          <w:p>
            <w:pPr>
              <w:spacing w:after="0"/>
            </w:pPr>
            <w:r>
              <w:t>Sales or Cashier</w:t>
            </w:r>
          </w:p>
        </w:tc>
        <w:tc>
          <w:tcPr>
            <w:tcW w:type="dxa" w:w="5112"/>
            <w:shd w:fill="EAF2F8"/>
            <w:tcMar>
              <w:top w:w="110" w:type="dxa"/>
              <w:start w:w="120" w:type="dxa"/>
              <w:bottom w:w="110" w:type="dxa"/>
              <w:end w:w="120" w:type="dxa"/>
            </w:tcMar>
            <w:vAlign w:val="center"/>
          </w:tcPr>
          <w:p>
            <w:pPr>
              <w:spacing w:after="0"/>
            </w:pPr>
            <w:r>
              <w:t>Sales, customer collections, and receivable operations.</w:t>
            </w:r>
          </w:p>
        </w:tc>
        <w:tc>
          <w:tcPr>
            <w:tcW w:type="dxa" w:w="2448"/>
            <w:shd w:fill="EAF2F8"/>
            <w:tcMar>
              <w:top w:w="110" w:type="dxa"/>
              <w:start w:w="120" w:type="dxa"/>
              <w:bottom w:w="110" w:type="dxa"/>
              <w:end w:w="120" w:type="dxa"/>
            </w:tcMar>
            <w:vAlign w:val="center"/>
          </w:tcPr>
          <w:p>
            <w:pPr>
              <w:spacing w:after="0"/>
            </w:pPr>
            <w:r>
              <w:t>Operational dashboard only under the standard role.</w:t>
            </w:r>
          </w:p>
        </w:tc>
      </w:tr>
      <w:tr>
        <w:trPr>
          <w:cantSplit/>
        </w:trPr>
        <w:tc>
          <w:tcPr>
            <w:tcW w:type="dxa" w:w="2016"/>
            <w:tcMar>
              <w:top w:w="110" w:type="dxa"/>
              <w:start w:w="120" w:type="dxa"/>
              <w:bottom w:w="110" w:type="dxa"/>
              <w:end w:w="120" w:type="dxa"/>
            </w:tcMar>
            <w:vAlign w:val="center"/>
          </w:tcPr>
          <w:p>
            <w:pPr>
              <w:spacing w:after="0"/>
            </w:pPr>
            <w:r>
              <w:t>Inventory Officer</w:t>
            </w:r>
          </w:p>
        </w:tc>
        <w:tc>
          <w:tcPr>
            <w:tcW w:type="dxa" w:w="5112"/>
            <w:tcMar>
              <w:top w:w="110" w:type="dxa"/>
              <w:start w:w="120" w:type="dxa"/>
              <w:bottom w:w="110" w:type="dxa"/>
              <w:end w:w="120" w:type="dxa"/>
            </w:tcMar>
            <w:vAlign w:val="center"/>
          </w:tcPr>
          <w:p>
            <w:pPr>
              <w:spacing w:after="0"/>
            </w:pPr>
            <w:r>
              <w:t>Inventory health, urgent stock items, purchase receipt, and transfers.</w:t>
            </w:r>
          </w:p>
        </w:tc>
        <w:tc>
          <w:tcPr>
            <w:tcW w:type="dxa" w:w="2448"/>
            <w:tcMar>
              <w:top w:w="110" w:type="dxa"/>
              <w:start w:w="120" w:type="dxa"/>
              <w:bottom w:w="110" w:type="dxa"/>
              <w:end w:w="120" w:type="dxa"/>
            </w:tcMar>
            <w:vAlign w:val="center"/>
          </w:tcPr>
          <w:p>
            <w:pPr>
              <w:spacing w:after="0"/>
            </w:pPr>
            <w:r>
              <w:t>Operational dashboard only under the standard role.</w:t>
            </w:r>
          </w:p>
        </w:tc>
      </w:tr>
      <w:tr>
        <w:trPr>
          <w:cantSplit/>
        </w:trPr>
        <w:tc>
          <w:tcPr>
            <w:tcW w:type="dxa" w:w="2016"/>
            <w:shd w:fill="EAF2F8"/>
            <w:tcMar>
              <w:top w:w="110" w:type="dxa"/>
              <w:start w:w="120" w:type="dxa"/>
              <w:bottom w:w="110" w:type="dxa"/>
              <w:end w:w="120" w:type="dxa"/>
            </w:tcMar>
            <w:vAlign w:val="center"/>
          </w:tcPr>
          <w:p>
            <w:pPr>
              <w:spacing w:after="0"/>
            </w:pPr>
            <w:r>
              <w:t>Owner or Management</w:t>
            </w:r>
          </w:p>
        </w:tc>
        <w:tc>
          <w:tcPr>
            <w:tcW w:type="dxa" w:w="5112"/>
            <w:shd w:fill="EAF2F8"/>
            <w:tcMar>
              <w:top w:w="110" w:type="dxa"/>
              <w:start w:w="120" w:type="dxa"/>
              <w:bottom w:w="110" w:type="dxa"/>
              <w:end w:w="120" w:type="dxa"/>
            </w:tcMar>
            <w:vAlign w:val="center"/>
          </w:tcPr>
          <w:p>
            <w:pPr>
              <w:spacing w:after="0"/>
            </w:pPr>
            <w:r>
              <w:t>Company totals, branch rankings, trends, inventory, receivables, purchasing, and transfers.</w:t>
            </w:r>
          </w:p>
        </w:tc>
        <w:tc>
          <w:tcPr>
            <w:tcW w:type="dxa" w:w="2448"/>
            <w:shd w:fill="EAF2F8"/>
            <w:tcMar>
              <w:top w:w="110" w:type="dxa"/>
              <w:start w:w="120" w:type="dxa"/>
              <w:bottom w:w="110" w:type="dxa"/>
              <w:end w:w="120" w:type="dxa"/>
            </w:tcMar>
            <w:vAlign w:val="center"/>
          </w:tcPr>
          <w:p>
            <w:pPr>
              <w:spacing w:after="0"/>
            </w:pPr>
            <w:r>
              <w:t>Company and branch reports with export.</w:t>
            </w:r>
          </w:p>
        </w:tc>
      </w:tr>
      <w:tr>
        <w:trPr>
          <w:cantSplit/>
        </w:trPr>
        <w:tc>
          <w:tcPr>
            <w:tcW w:type="dxa" w:w="2016"/>
            <w:tcMar>
              <w:top w:w="110" w:type="dxa"/>
              <w:start w:w="120" w:type="dxa"/>
              <w:bottom w:w="110" w:type="dxa"/>
              <w:end w:w="120" w:type="dxa"/>
            </w:tcMar>
            <w:vAlign w:val="center"/>
          </w:tcPr>
          <w:p>
            <w:pPr>
              <w:spacing w:after="0"/>
            </w:pPr>
            <w:r>
              <w:t>Super Admin</w:t>
            </w:r>
          </w:p>
        </w:tc>
        <w:tc>
          <w:tcPr>
            <w:tcW w:type="dxa" w:w="5112"/>
            <w:tcMar>
              <w:top w:w="110" w:type="dxa"/>
              <w:start w:w="120" w:type="dxa"/>
              <w:bottom w:w="110" w:type="dxa"/>
              <w:end w:w="120" w:type="dxa"/>
            </w:tcMar>
            <w:vAlign w:val="center"/>
          </w:tcPr>
          <w:p>
            <w:pPr>
              <w:spacing w:after="0"/>
            </w:pPr>
            <w:r>
              <w:t>The same company oversight plus administrative access.</w:t>
            </w:r>
          </w:p>
        </w:tc>
        <w:tc>
          <w:tcPr>
            <w:tcW w:type="dxa" w:w="2448"/>
            <w:tcMar>
              <w:top w:w="110" w:type="dxa"/>
              <w:start w:w="120" w:type="dxa"/>
              <w:bottom w:w="110" w:type="dxa"/>
              <w:end w:w="120" w:type="dxa"/>
            </w:tcMar>
            <w:vAlign w:val="center"/>
          </w:tcPr>
          <w:p>
            <w:pPr>
              <w:spacing w:after="0"/>
            </w:pPr>
            <w:r>
              <w:t>Company and branch reports with export.</w:t>
            </w:r>
          </w:p>
        </w:tc>
      </w:tr>
    </w:tbl>
    <w:p>
      <w:pPr>
        <w:spacing w:after="0"/>
      </w:pPr>
    </w:p>
    <w:p>
      <w:pPr>
        <w:pStyle w:val="Heading1"/>
        <w:keepNext/>
      </w:pPr>
      <w:r>
        <w:t>Head Office Responsibilities</w:t>
      </w:r>
    </w:p>
    <w:p>
      <w:r>
        <w:t>Owner or Management users monitor the company through:</w:t>
      </w:r>
    </w:p>
    <w:p>
      <w:pPr>
        <w:pStyle w:val="ListBullet"/>
      </w:pPr>
      <w:r>
        <w:t>Company and branch sales, collections, and purchasing results.</w:t>
      </w:r>
    </w:p>
    <w:p>
      <w:pPr>
        <w:pStyle w:val="ListBullet"/>
      </w:pPr>
      <w:r>
        <w:t>Branch comparisons and product performance.</w:t>
      </w:r>
    </w:p>
    <w:p>
      <w:pPr>
        <w:pStyle w:val="ListBullet"/>
      </w:pPr>
      <w:r>
        <w:t>Inventory levels, low-stock items, and stock in transit.</w:t>
      </w:r>
    </w:p>
    <w:p>
      <w:pPr>
        <w:pStyle w:val="ListBullet"/>
      </w:pPr>
      <w:r>
        <w:t>Customer receivables and supplier balances.</w:t>
      </w:r>
    </w:p>
    <w:p>
      <w:pPr>
        <w:pStyle w:val="ListBullet"/>
      </w:pPr>
      <w:r>
        <w:t>Employee access, roles, and audit history where authorised.</w:t>
      </w:r>
    </w:p>
    <w:p>
      <w:pPr>
        <w:pStyle w:val="ListBullet"/>
      </w:pPr>
      <w:r>
        <w:t>Public website content and quotation requests.</w:t>
      </w:r>
    </w:p>
    <w:p>
      <w:r>
        <w:t>The Super Admin additionally creates and updates branches, provisions employee access, assigns roles, and manages branch assignments.</w:t>
      </w:r>
    </w:p>
    <w:p>
      <w:pPr>
        <w:pStyle w:val="Heading1"/>
        <w:keepNext/>
      </w:pPr>
      <w:r>
        <w:t>Security and Audit Controls</w:t>
      </w:r>
    </w:p>
    <w:p>
      <w:r>
        <w:t>An authentication account alone does not grant application access. The employee also needs an active profile, a valid role, the application access permission, and an active branch assignment for branch-scoped work.</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trPr>
        <w:tc>
          <w:tcPr>
            <w:tcW w:type="dxa" w:w="2520"/>
            <w:shd w:fill="17365D"/>
            <w:tcMar>
              <w:top w:w="110" w:type="dxa"/>
              <w:start w:w="120" w:type="dxa"/>
              <w:bottom w:w="110" w:type="dxa"/>
              <w:end w:w="120" w:type="dxa"/>
            </w:tcMar>
            <w:vAlign w:val="center"/>
          </w:tcPr>
          <w:p>
            <w:pPr>
              <w:spacing w:after="0"/>
            </w:pPr>
            <w:r>
              <w:rPr>
                <w:b/>
                <w:color w:val="FFFFFF"/>
              </w:rPr>
              <w:t>Control</w:t>
            </w:r>
          </w:p>
        </w:tc>
        <w:tc>
          <w:tcPr>
            <w:tcW w:type="dxa" w:w="7056"/>
            <w:shd w:fill="17365D"/>
            <w:tcMar>
              <w:top w:w="110" w:type="dxa"/>
              <w:start w:w="120" w:type="dxa"/>
              <w:bottom w:w="110" w:type="dxa"/>
              <w:end w:w="120" w:type="dxa"/>
            </w:tcMar>
            <w:vAlign w:val="center"/>
          </w:tcPr>
          <w:p>
            <w:pPr>
              <w:spacing w:after="0"/>
            </w:pPr>
            <w:r>
              <w:rPr>
                <w:b/>
                <w:color w:val="FFFFFF"/>
              </w:rPr>
              <w:t>Protection provided</w:t>
            </w:r>
          </w:p>
        </w:tc>
      </w:tr>
      <w:tr>
        <w:trPr>
          <w:cantSplit/>
        </w:trPr>
        <w:tc>
          <w:tcPr>
            <w:tcW w:type="dxa" w:w="2520"/>
            <w:tcMar>
              <w:top w:w="110" w:type="dxa"/>
              <w:start w:w="120" w:type="dxa"/>
              <w:bottom w:w="110" w:type="dxa"/>
              <w:end w:w="120" w:type="dxa"/>
            </w:tcMar>
            <w:vAlign w:val="center"/>
          </w:tcPr>
          <w:p>
            <w:pPr>
              <w:spacing w:after="0"/>
            </w:pPr>
            <w:r>
              <w:t>Permission-aware interface</w:t>
            </w:r>
          </w:p>
        </w:tc>
        <w:tc>
          <w:tcPr>
            <w:tcW w:type="dxa" w:w="7056"/>
            <w:tcMar>
              <w:top w:w="110" w:type="dxa"/>
              <w:start w:w="120" w:type="dxa"/>
              <w:bottom w:w="110" w:type="dxa"/>
              <w:end w:w="120" w:type="dxa"/>
            </w:tcMar>
            <w:vAlign w:val="center"/>
          </w:tcPr>
          <w:p>
            <w:pPr>
              <w:spacing w:after="0"/>
            </w:pPr>
            <w:r>
              <w:t>Shows only the modules and actions available to the role.</w:t>
            </w:r>
          </w:p>
        </w:tc>
      </w:tr>
      <w:tr>
        <w:trPr>
          <w:cantSplit/>
        </w:trPr>
        <w:tc>
          <w:tcPr>
            <w:tcW w:type="dxa" w:w="2520"/>
            <w:shd w:fill="EAF2F8"/>
            <w:tcMar>
              <w:top w:w="110" w:type="dxa"/>
              <w:start w:w="120" w:type="dxa"/>
              <w:bottom w:w="110" w:type="dxa"/>
              <w:end w:w="120" w:type="dxa"/>
            </w:tcMar>
            <w:vAlign w:val="center"/>
          </w:tcPr>
          <w:p>
            <w:pPr>
              <w:spacing w:after="0"/>
            </w:pPr>
            <w:r>
              <w:t>Server authorisation</w:t>
            </w:r>
          </w:p>
        </w:tc>
        <w:tc>
          <w:tcPr>
            <w:tcW w:type="dxa" w:w="7056"/>
            <w:shd w:fill="EAF2F8"/>
            <w:tcMar>
              <w:top w:w="110" w:type="dxa"/>
              <w:start w:w="120" w:type="dxa"/>
              <w:bottom w:w="110" w:type="dxa"/>
              <w:end w:w="120" w:type="dxa"/>
            </w:tcMar>
            <w:vAlign w:val="center"/>
          </w:tcPr>
          <w:p>
            <w:pPr>
              <w:spacing w:after="0"/>
            </w:pPr>
            <w:r>
              <w:t>Checks the employee's permission and branch before processing an operation.</w:t>
            </w:r>
          </w:p>
        </w:tc>
      </w:tr>
      <w:tr>
        <w:trPr>
          <w:cantSplit/>
        </w:trPr>
        <w:tc>
          <w:tcPr>
            <w:tcW w:type="dxa" w:w="2520"/>
            <w:tcMar>
              <w:top w:w="110" w:type="dxa"/>
              <w:start w:w="120" w:type="dxa"/>
              <w:bottom w:w="110" w:type="dxa"/>
              <w:end w:w="120" w:type="dxa"/>
            </w:tcMar>
            <w:vAlign w:val="center"/>
          </w:tcPr>
          <w:p>
            <w:pPr>
              <w:spacing w:after="0"/>
            </w:pPr>
            <w:r>
              <w:t>Database row security</w:t>
            </w:r>
          </w:p>
        </w:tc>
        <w:tc>
          <w:tcPr>
            <w:tcW w:type="dxa" w:w="7056"/>
            <w:tcMar>
              <w:top w:w="110" w:type="dxa"/>
              <w:start w:w="120" w:type="dxa"/>
              <w:bottom w:w="110" w:type="dxa"/>
              <w:end w:w="120" w:type="dxa"/>
            </w:tcMar>
            <w:vAlign w:val="center"/>
          </w:tcPr>
          <w:p>
            <w:pPr>
              <w:spacing w:after="0"/>
            </w:pPr>
            <w:r>
              <w:t>Prevents direct access to operational records outside the employee's authorised scope.</w:t>
            </w:r>
          </w:p>
        </w:tc>
      </w:tr>
      <w:tr>
        <w:trPr>
          <w:cantSplit/>
        </w:trPr>
        <w:tc>
          <w:tcPr>
            <w:tcW w:type="dxa" w:w="2520"/>
            <w:shd w:fill="EAF2F8"/>
            <w:tcMar>
              <w:top w:w="110" w:type="dxa"/>
              <w:start w:w="120" w:type="dxa"/>
              <w:bottom w:w="110" w:type="dxa"/>
              <w:end w:w="120" w:type="dxa"/>
            </w:tcMar>
            <w:vAlign w:val="center"/>
          </w:tcPr>
          <w:p>
            <w:pPr>
              <w:spacing w:after="0"/>
            </w:pPr>
            <w:r>
              <w:t>Transaction controls</w:t>
            </w:r>
          </w:p>
        </w:tc>
        <w:tc>
          <w:tcPr>
            <w:tcW w:type="dxa" w:w="7056"/>
            <w:shd w:fill="EAF2F8"/>
            <w:tcMar>
              <w:top w:w="110" w:type="dxa"/>
              <w:start w:w="120" w:type="dxa"/>
              <w:bottom w:w="110" w:type="dxa"/>
              <w:end w:w="120" w:type="dxa"/>
            </w:tcMar>
            <w:vAlign w:val="center"/>
          </w:tcPr>
          <w:p>
            <w:pPr>
              <w:spacing w:after="0"/>
            </w:pPr>
            <w:r>
              <w:t>Locks and validates critical inventory, sale, purchase, and transfer operations.</w:t>
            </w:r>
          </w:p>
        </w:tc>
      </w:tr>
      <w:tr>
        <w:trPr>
          <w:cantSplit/>
        </w:trPr>
        <w:tc>
          <w:tcPr>
            <w:tcW w:type="dxa" w:w="2520"/>
            <w:tcMar>
              <w:top w:w="110" w:type="dxa"/>
              <w:start w:w="120" w:type="dxa"/>
              <w:bottom w:w="110" w:type="dxa"/>
              <w:end w:w="120" w:type="dxa"/>
            </w:tcMar>
            <w:vAlign w:val="center"/>
          </w:tcPr>
          <w:p>
            <w:pPr>
              <w:spacing w:after="0"/>
            </w:pPr>
            <w:r>
              <w:t>Audit history</w:t>
            </w:r>
          </w:p>
        </w:tc>
        <w:tc>
          <w:tcPr>
            <w:tcW w:type="dxa" w:w="7056"/>
            <w:tcMar>
              <w:top w:w="110" w:type="dxa"/>
              <w:start w:w="120" w:type="dxa"/>
              <w:bottom w:w="110" w:type="dxa"/>
              <w:end w:w="120" w:type="dxa"/>
            </w:tcMar>
            <w:vAlign w:val="center"/>
          </w:tcPr>
          <w:p>
            <w:pPr>
              <w:spacing w:after="0"/>
            </w:pPr>
            <w:r>
              <w:t>Records the responsible user, action, affected record, branch, and time for important events.</w:t>
            </w:r>
          </w:p>
        </w:tc>
      </w:tr>
      <w:tr>
        <w:trPr>
          <w:cantSplit/>
        </w:trPr>
        <w:tc>
          <w:tcPr>
            <w:tcW w:type="dxa" w:w="2520"/>
            <w:shd w:fill="EAF2F8"/>
            <w:tcMar>
              <w:top w:w="110" w:type="dxa"/>
              <w:start w:w="120" w:type="dxa"/>
              <w:bottom w:w="110" w:type="dxa"/>
              <w:end w:w="120" w:type="dxa"/>
            </w:tcMar>
            <w:vAlign w:val="center"/>
          </w:tcPr>
          <w:p>
            <w:pPr>
              <w:spacing w:after="0"/>
            </w:pPr>
            <w:r>
              <w:t>Inactive-account enforcement</w:t>
            </w:r>
          </w:p>
        </w:tc>
        <w:tc>
          <w:tcPr>
            <w:tcW w:type="dxa" w:w="7056"/>
            <w:shd w:fill="EAF2F8"/>
            <w:tcMar>
              <w:top w:w="110" w:type="dxa"/>
              <w:start w:w="120" w:type="dxa"/>
              <w:bottom w:w="110" w:type="dxa"/>
              <w:end w:w="120" w:type="dxa"/>
            </w:tcMar>
            <w:vAlign w:val="center"/>
          </w:tcPr>
          <w:p>
            <w:pPr>
              <w:spacing w:after="0"/>
            </w:pPr>
            <w:r>
              <w:t>Stops an inactive employee from using application operations.</w:t>
            </w:r>
          </w:p>
        </w:tc>
      </w:tr>
    </w:tbl>
    <w:p>
      <w:pPr>
        <w:spacing w:after="0"/>
      </w:pPr>
    </w:p>
    <w:p>
      <w:r>
        <w:t>Typing another branch identifier into a URL or request does not grant access because server and database checks independently enforce the assignment.</w:t>
      </w:r>
    </w:p>
    <w:p>
      <w:pPr>
        <w:pStyle w:val="Heading1"/>
        <w:keepNext/>
      </w:pPr>
      <w:r>
        <w:t>Recommended Daily Branch Routine</w:t>
      </w:r>
    </w:p>
    <w:p>
      <w:pPr>
        <w:pStyle w:val="Heading2"/>
        <w:keepNext/>
      </w:pPr>
      <w:r>
        <w:t>Opening the Branch</w:t>
      </w:r>
    </w:p>
    <w:p>
      <w:pPr>
        <w:pStyle w:val="ListBullet"/>
      </w:pPr>
      <w:r>
        <w:t>Confirm that staff can sign in with their individual accounts.</w:t>
      </w:r>
    </w:p>
    <w:p>
      <w:pPr>
        <w:pStyle w:val="ListBullet"/>
      </w:pPr>
      <w:r>
        <w:t>Review dashboard alerts, transfers awaiting action, purchases awaiting receipt, and urgent stock items.</w:t>
      </w:r>
    </w:p>
    <w:p>
      <w:pPr>
        <w:pStyle w:val="ListBullet"/>
      </w:pPr>
      <w:r>
        <w:t>Confirm the branch context before recording transactions.</w:t>
      </w:r>
    </w:p>
    <w:p>
      <w:pPr>
        <w:pStyle w:val="Heading2"/>
        <w:keepNext/>
      </w:pPr>
      <w:r>
        <w:t>During the Day</w:t>
      </w:r>
    </w:p>
    <w:p>
      <w:pPr>
        <w:pStyle w:val="ListBullet"/>
      </w:pPr>
      <w:r>
        <w:t>Complete sales when goods leave the branch and record payments against the correct customer.</w:t>
      </w:r>
    </w:p>
    <w:p>
      <w:pPr>
        <w:pStyle w:val="ListBullet"/>
      </w:pPr>
      <w:r>
        <w:t>Receive supplier deliveries only after checking the physical quantities.</w:t>
      </w:r>
    </w:p>
    <w:p>
      <w:pPr>
        <w:pStyle w:val="ListBullet"/>
      </w:pPr>
      <w:r>
        <w:t>Record stock corrections through authorised adjustments with clear reasons.</w:t>
      </w:r>
    </w:p>
    <w:p>
      <w:pPr>
        <w:pStyle w:val="ListBullet"/>
      </w:pPr>
      <w:r>
        <w:t>Dispatch and receive transfers at the actual physical handover points.</w:t>
      </w:r>
    </w:p>
    <w:p>
      <w:pPr>
        <w:pStyle w:val="Heading2"/>
        <w:keepNext/>
      </w:pPr>
      <w:r>
        <w:t>Closing the Branch</w:t>
      </w:r>
    </w:p>
    <w:p>
      <w:pPr>
        <w:pStyle w:val="ListBullet"/>
      </w:pPr>
      <w:r>
        <w:t>Review completed sales, collections, unpaid balances, and exceptions.</w:t>
      </w:r>
    </w:p>
    <w:p>
      <w:pPr>
        <w:pStyle w:val="ListBullet"/>
      </w:pPr>
      <w:r>
        <w:t>Confirm that received goods and transfers were entered correctly.</w:t>
      </w:r>
    </w:p>
    <w:p>
      <w:pPr>
        <w:pStyle w:val="ListBullet"/>
      </w:pPr>
      <w:r>
        <w:t>Investigate unexpected stock balances through the movement history.</w:t>
      </w:r>
    </w:p>
    <w:p>
      <w:pPr>
        <w:pStyle w:val="ListBullet"/>
      </w:pPr>
      <w:r>
        <w:t>Escalate unresolved differences to the Branch Manager and retain supporting records.</w:t>
      </w:r>
    </w:p>
    <w:p>
      <w:pPr>
        <w:pStyle w:val="Heading1"/>
        <w:keepNext/>
      </w:pPr>
      <w:r>
        <w:t>Practical Example</w:t>
      </w:r>
    </w:p>
    <w:p>
      <w:r>
        <w:t>A customer buys five units of a product at Branch A and pays part of the amount. The cashier completes the sale. Branch A stock decreases by five units, the payment is recorded as a collection, and the unpaid amount becomes a receivable. Management can see the updated sale and receivable in authorised reports. Branch B stock remains unchanged because stock is maintained separately by branch.</w:t>
      </w:r>
    </w:p>
    <w:p>
      <w:r>
        <w:t>If Branch B later needs this product, an authorised employee at Branch A creates a transfer. Approval alone does not move stock. Dispatch removes the confirmed quantity from Branch A and reports it as in transit. Receipt at Branch B adds the quantity to Branch B inventory and completes the transfer.</w:t>
      </w:r>
    </w:p>
    <w:p>
      <w:pPr>
        <w:pStyle w:val="Heading1"/>
        <w:keepNext/>
      </w:pPr>
      <w:r>
        <w:t>Key Operating Rules</w:t>
      </w:r>
    </w:p>
    <w:p>
      <w:pPr>
        <w:pStyle w:val="ListBullet"/>
      </w:pPr>
      <w:r>
        <w:t>Use individual employee accounts and keep branch assignments current.</w:t>
      </w:r>
    </w:p>
    <w:p>
      <w:pPr>
        <w:pStyle w:val="ListBullet"/>
      </w:pPr>
      <w:r>
        <w:t>Complete transactions in the branch where the physical activity occurs.</w:t>
      </w:r>
    </w:p>
    <w:p>
      <w:pPr>
        <w:pStyle w:val="ListBullet"/>
      </w:pPr>
      <w:r>
        <w:t>A purchase changes inventory only when goods are received.</w:t>
      </w:r>
    </w:p>
    <w:p>
      <w:pPr>
        <w:pStyle w:val="ListBullet"/>
      </w:pPr>
      <w:r>
        <w:t>A sale changes inventory when the sale is completed.</w:t>
      </w:r>
    </w:p>
    <w:p>
      <w:pPr>
        <w:pStyle w:val="ListBullet"/>
      </w:pPr>
      <w:r>
        <w:t>A transfer removes source stock at dispatch and adds destination stock at receipt.</w:t>
      </w:r>
    </w:p>
    <w:p>
      <w:pPr>
        <w:pStyle w:val="ListBullet"/>
      </w:pPr>
      <w:r>
        <w:t>Record payments against the correct customer, supplier, sale, purchase, and branch.</w:t>
      </w:r>
    </w:p>
    <w:p>
      <w:pPr>
        <w:pStyle w:val="ListBullet"/>
      </w:pPr>
      <w:r>
        <w:t>Use adjustments only for documented corrections and complete physical counts before reconciling differences.</w:t>
      </w:r>
    </w:p>
    <w:p>
      <w:pPr>
        <w:pStyle w:val="ListBullet"/>
      </w:pPr>
      <w:r>
        <w:t>Review dashboards and reports regularly rather than waiting for month end.</w:t>
      </w:r>
    </w:p>
    <w:sectPr w:rsidR="00FC693F" w:rsidRPr="0006063C" w:rsidSect="00034616">
      <w:footerReference w:type="default" r:id="rId9"/>
      <w:pgSz w:w="12240" w:h="15840"/>
      <w:pgMar w:top="1037" w:right="1123" w:bottom="1224"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 xml:space="preserve">SAT-J Ent Branch Operations Guide   |   </w:t>
    </w: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rFonts w:ascii="Aptos" w:hAnsi="Aptos"/>
      <w:sz w:val="21"/>
    </w:rPr>
  </w:style>
  <w:style w:type="paragraph" w:styleId="ListBullet2">
    <w:name w:val="List Bullet 2"/>
    <w:basedOn w:val="Normal"/>
    <w:uiPriority w:val="99"/>
    <w:unhideWhenUsed/>
    <w:rsid w:val="00326F90"/>
    <w:pPr>
      <w:numPr>
        <w:numId w:val="2"/>
      </w:numPr>
      <w:spacing w:after="60" w:line="259" w:lineRule="auto"/>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 J Ent Branch Operations Guide</dc:title>
  <dc:subject>How the SAT-J Ent system is used from each branch</dc:subject>
  <dc:creator>SAT-J Ent</dc:creator>
  <cp:keywords>SAT-J Ent, branches, roles, sales, purchasing, inventory, transfers, security</cp:keywords>
  <dc:description>generated by python-docx</dc:description>
  <cp:lastModifiedBy/>
  <cp:revision>1</cp:revision>
  <dcterms:created xsi:type="dcterms:W3CDTF">2013-12-23T23:15:00Z</dcterms:created>
  <dcterms:modified xsi:type="dcterms:W3CDTF">2013-12-23T23:15:00Z</dcterms:modified>
  <cp:category/>
</cp:coreProperties>
</file>