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0" w:before="0"/>
      </w:pPr>
      <w:r>
        <w:rPr>
          <w:b/>
          <w:color w:val="0B5A9C"/>
          <w:sz w:val="36"/>
          <w:rFonts w:ascii="Arial" w:hAnsi="Arial" w:eastAsia="Arial"/>
        </w:rPr>
        <w:t xml:space="preserve">Plan de Gestión de la Calidad</w:t>
      </w:r>
    </w:p>
    <w:p>
      <w:pPr>
        <w:jc w:val="center"/>
        <w:spacing w:after="0" w:before="0"/>
      </w:pPr>
      <w:r>
        <w:rPr>
          <w:b/>
          <w:color w:val="2A7FD1"/>
          <w:sz w:val="20"/>
          <w:rFonts w:ascii="Arial" w:hAnsi="Arial" w:eastAsia="Arial"/>
        </w:rPr>
        <w:t xml:space="preserve">Identificador del proyecto: </w:t>
      </w:r>
      <w:r>
        <w:rPr>
          <w:b/>
          <w:color w:val="C9C9C9"/>
          <w:sz w:val="20"/>
          <w:rFonts w:ascii="Arial" w:hAnsi="Arial" w:eastAsia="Arial"/>
        </w:rPr>
        <w:t xml:space="preserve">SIGSUP</w:t>
      </w:r>
    </w:p>
    <w:p>
      <w:pPr>
        <w:jc w:val="center"/>
        <w:spacing w:after="0" w:before="0"/>
        <w:pBdr>
          <w:bottom w:val="single" w:sz="8" w:space="1" w:color="999999"/>
        </w:pBdr>
      </w:pPr>
      <w:r>
        <w:rPr>
          <w:color w:val="000000"/>
          <w:sz w:val="2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center"/>
        <w:spacing w:after="80" w:before="0"/>
      </w:pPr>
      <w:r>
        <w:rPr>
          <w:b/>
          <w:color w:val="0B5A9C"/>
          <w:sz w:val="48"/>
          <w:rFonts w:ascii="Arial" w:hAnsi="Arial" w:eastAsia="Arial"/>
        </w:rPr>
        <w:t xml:space="preserve">Plan de Gestión de la Calidad</w:t>
      </w:r>
    </w:p>
    <w:p>
      <w:pPr>
        <w:jc w:val="center"/>
        <w:spacing w:after="20" w:before="0"/>
      </w:pPr>
      <w:r>
        <w:rPr>
          <w:b/>
          <w:color w:val="2A7FD1"/>
          <w:sz w:val="26"/>
          <w:rFonts w:ascii="Arial" w:hAnsi="Arial" w:eastAsia="Arial"/>
        </w:rPr>
        <w:t xml:space="preserve">Nombre del proyecto: </w:t>
      </w:r>
      <w:r>
        <w:rPr>
          <w:b/>
          <w:color w:val="C9C9C9"/>
          <w:sz w:val="26"/>
          <w:rFonts w:ascii="Arial" w:hAnsi="Arial" w:eastAsia="Arial"/>
        </w:rPr>
        <w:t xml:space="preserve">Implementación de estrategia TI para HIPERMAXI</w:t>
      </w:r>
    </w:p>
    <w:p>
      <w:pPr>
        <w:jc w:val="center"/>
        <w:spacing w:after="20" w:before="0"/>
      </w:pPr>
      <w:r>
        <w:rPr>
          <w:b/>
          <w:color w:val="2A7FD1"/>
          <w:sz w:val="26"/>
          <w:rFonts w:ascii="Arial" w:hAnsi="Arial" w:eastAsia="Arial"/>
        </w:rPr>
        <w:t xml:space="preserve">Identificador del proyecto: </w:t>
      </w:r>
      <w:r>
        <w:rPr>
          <w:b/>
          <w:color w:val="C9C9C9"/>
          <w:sz w:val="26"/>
          <w:rFonts w:ascii="Arial" w:hAnsi="Arial" w:eastAsia="Arial"/>
        </w:rPr>
        <w:t xml:space="preserve">SIGSUP</w:t>
      </w:r>
    </w:p>
    <w:p>
      <w:pPr>
        <w:jc w:val="center"/>
        <w:spacing w:after="20" w:before="0"/>
      </w:pPr>
      <w:r>
        <w:rPr>
          <w:b/>
          <w:color w:val="2A7FD1"/>
          <w:sz w:val="26"/>
          <w:rFonts w:ascii="Arial" w:hAnsi="Arial" w:eastAsia="Arial"/>
        </w:rPr>
        <w:t xml:space="preserve">Fecha elaboración: </w:t>
      </w:r>
      <w:r>
        <w:rPr>
          <w:b/>
          <w:color w:val="C9C9C9"/>
          <w:sz w:val="26"/>
          <w:rFonts w:ascii="Arial" w:hAnsi="Arial" w:eastAsia="Arial"/>
        </w:rPr>
        <w:t xml:space="preserve">01/03/2026</w:t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pPr>
        <w:jc w:val="left"/>
        <w:spacing w:after="0" w:before="0"/>
      </w:pPr>
      <w:r>
        <w:rPr>
          <w:color w:val="000000"/>
          <w:sz w:val="24"/>
          <w:rFonts w:ascii="Arial" w:hAnsi="Arial" w:eastAsia="Arial"/>
        </w:rPr>
        <w:t xml:space="preserve"/>
      </w:r>
    </w:p>
    <w:p>
      <w:r>
        <w:br w:type="page"/>
      </w:r>
    </w:p>
    <w:p>
      <w:pPr>
        <w:jc w:val="left"/>
        <w:spacing w:after="240" w:before="480"/>
      </w:pPr>
      <w:r>
        <w:rPr>
          <w:b/>
          <w:color w:val="0B5A9C"/>
          <w:sz w:val="36"/>
          <w:rFonts w:ascii="Arial" w:hAnsi="Arial" w:eastAsia="Arial"/>
        </w:rPr>
        <w:t xml:space="preserve">Contenido</w:t>
      </w:r>
    </w:p>
    <w:p>
      <w:pPr>
        <w:pStyle w:val="TOC1"/>
        <w:jc w:val="left"/>
        <w:spacing w:after="40" w:before="0"/>
        <w:ind w:left="0"/>
        <w:tabs>
          <w:tab w:val="right" w:leader="dot" w:pos="9000"/>
        </w:tabs>
      </w:pPr>
      <w:r>
        <w:fldChar w:fldCharType="begin"/>
        <w:instrText xml:space="preserve"> TOC \o "1-3" \h \z \u </w:instrText>
        <w:fldChar w:fldCharType="separate"/>
      </w:r>
      <w:r>
        <w:rPr>
          <w:color w:val="000000"/>
          <w:sz w:val="24"/>
          <w:rFonts w:ascii="Arial" w:hAnsi="Arial" w:eastAsia="Arial"/>
        </w:rPr>
        <w:t xml:space="preserve">Información del Proyecto</w:t>
      </w:r>
      <w:r>
        <w:rPr>
          <w:color w:val="000000"/>
          <w:sz w:val="24"/>
          <w:rFonts w:ascii="Arial" w:hAnsi="Arial" w:eastAsia="Arial"/>
        </w:rPr>
        <w:t xml:space="preserve">	</w:t>
      </w:r>
      <w:r>
        <w:rPr>
          <w:color w:val="000000"/>
          <w:sz w:val="24"/>
          <w:rFonts w:ascii="Arial" w:hAnsi="Arial" w:eastAsia="Arial"/>
        </w:rPr>
        <w:t xml:space="preserve">3</w:t>
      </w:r>
    </w:p>
    <w:p>
      <w:pPr>
        <w:pStyle w:val="TOC1"/>
        <w:jc w:val="left"/>
        <w:spacing w:after="40" w:before="0"/>
        <w:ind w:left="0"/>
        <w:tabs>
          <w:tab w:val="right" w:leader="dot" w:pos="9000"/>
        </w:tabs>
      </w:pPr>
      <w:r>
        <w:rPr>
          <w:color w:val="000000"/>
          <w:sz w:val="24"/>
          <w:rFonts w:ascii="Arial" w:hAnsi="Arial" w:eastAsia="Arial"/>
        </w:rPr>
        <w:t xml:space="preserve">1.- Enfoque de planificación.</w:t>
      </w:r>
      <w:r>
        <w:rPr>
          <w:color w:val="000000"/>
          <w:sz w:val="24"/>
          <w:rFonts w:ascii="Arial" w:hAnsi="Arial" w:eastAsia="Arial"/>
        </w:rPr>
        <w:t xml:space="preserve">	</w:t>
      </w:r>
      <w:r>
        <w:rPr>
          <w:color w:val="000000"/>
          <w:sz w:val="24"/>
          <w:rFonts w:ascii="Arial" w:hAnsi="Arial" w:eastAsia="Arial"/>
        </w:rPr>
        <w:t xml:space="preserve">3</w:t>
      </w:r>
    </w:p>
    <w:p>
      <w:pPr>
        <w:pStyle w:val="TOC1"/>
        <w:jc w:val="left"/>
        <w:spacing w:after="40" w:before="0"/>
        <w:ind w:left="0"/>
        <w:tabs>
          <w:tab w:val="right" w:leader="dot" w:pos="9000"/>
        </w:tabs>
      </w:pPr>
      <w:r>
        <w:rPr>
          <w:color w:val="000000"/>
          <w:sz w:val="24"/>
          <w:rFonts w:ascii="Arial" w:hAnsi="Arial" w:eastAsia="Arial"/>
        </w:rPr>
        <w:t xml:space="preserve">2.- Enfoque del aseguramiento de la calidad.</w:t>
      </w:r>
      <w:r>
        <w:rPr>
          <w:color w:val="000000"/>
          <w:sz w:val="24"/>
          <w:rFonts w:ascii="Arial" w:hAnsi="Arial" w:eastAsia="Arial"/>
        </w:rPr>
        <w:t xml:space="preserve">	</w:t>
      </w:r>
      <w:r>
        <w:rPr>
          <w:color w:val="000000"/>
          <w:sz w:val="24"/>
          <w:rFonts w:ascii="Arial" w:hAnsi="Arial" w:eastAsia="Arial"/>
        </w:rPr>
        <w:t xml:space="preserve">6</w:t>
      </w:r>
    </w:p>
    <w:p>
      <w:pPr>
        <w:pStyle w:val="TOC1"/>
        <w:jc w:val="left"/>
        <w:spacing w:after="40" w:before="0"/>
        <w:ind w:left="0"/>
        <w:tabs>
          <w:tab w:val="right" w:leader="dot" w:pos="9000"/>
        </w:tabs>
      </w:pPr>
      <w:r>
        <w:rPr>
          <w:color w:val="000000"/>
          <w:sz w:val="24"/>
          <w:rFonts w:ascii="Arial" w:hAnsi="Arial" w:eastAsia="Arial"/>
        </w:rPr>
        <w:t xml:space="preserve">3.- Enfoque de control de calidad.</w:t>
      </w:r>
      <w:r>
        <w:rPr>
          <w:color w:val="000000"/>
          <w:sz w:val="24"/>
          <w:rFonts w:ascii="Arial" w:hAnsi="Arial" w:eastAsia="Arial"/>
        </w:rPr>
        <w:t xml:space="preserve">	</w:t>
      </w:r>
      <w:r>
        <w:rPr>
          <w:color w:val="000000"/>
          <w:sz w:val="24"/>
          <w:rFonts w:ascii="Arial" w:hAnsi="Arial" w:eastAsia="Arial"/>
        </w:rPr>
        <w:t xml:space="preserve">8</w:t>
      </w:r>
    </w:p>
    <w:p>
      <w:pPr>
        <w:pStyle w:val="TOC1"/>
        <w:jc w:val="left"/>
        <w:spacing w:after="40" w:before="0"/>
        <w:ind w:left="0"/>
        <w:tabs>
          <w:tab w:val="right" w:leader="dot" w:pos="9000"/>
        </w:tabs>
      </w:pPr>
      <w:r>
        <w:rPr>
          <w:color w:val="000000"/>
          <w:sz w:val="24"/>
          <w:rFonts w:ascii="Arial" w:hAnsi="Arial" w:eastAsia="Arial"/>
        </w:rPr>
        <w:t xml:space="preserve">4.- Enfoque de mejora continua.</w:t>
      </w:r>
      <w:r>
        <w:rPr>
          <w:color w:val="000000"/>
          <w:sz w:val="24"/>
          <w:rFonts w:ascii="Arial" w:hAnsi="Arial" w:eastAsia="Arial"/>
        </w:rPr>
        <w:t xml:space="preserve">	</w:t>
      </w:r>
      <w:r>
        <w:rPr>
          <w:color w:val="000000"/>
          <w:sz w:val="24"/>
          <w:rFonts w:ascii="Arial" w:hAnsi="Arial" w:eastAsia="Arial"/>
        </w:rPr>
        <w:t xml:space="preserve">10</w:t>
      </w:r>
      <w:r>
        <w:fldChar w:fldCharType="end"/>
      </w:r>
    </w:p>
    <w:p>
      <w:r>
        <w:br w:type="page"/>
      </w:r>
    </w:p>
    <w:p>
      <w:pPr>
        <w:pStyle w:val="Heading1"/>
        <w:spacing w:before="0" w:after="120" w:line="259" w:lineRule="auto"/>
      </w:pPr>
      <w:r>
        <w:rPr>
          <w:rFonts w:ascii="Arial" w:hAnsi="Arial" w:eastAsia="Calibri"/>
          <w:b/>
          <w:color w:val="1F4E79"/>
          <w:sz w:val="32"/>
        </w:rP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Empresa/Organización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HIPERMAXI</w:t>
            </w:r>
          </w:p>
        </w:tc>
      </w:tr>
      <w:tr>
        <w:tc>
          <w:tcPr>
            <w:tcW w:type="dxa" w:w="3456"/>
            <w:shd w:fill="6FA8D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Nombre del proyecto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Estrategia Integral de Tecnologías de Información para la Modernización Operativa de HIPERMAXI</w:t>
            </w:r>
          </w:p>
        </w:tc>
      </w:tr>
      <w:tr>
        <w:tc>
          <w:tcPr>
            <w:tcW w:type="dxa" w:w="3456"/>
            <w:shd w:fill="6FA8D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Fecha de elaboración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15/05/2026</w:t>
            </w:r>
          </w:p>
        </w:tc>
      </w:tr>
      <w:tr>
        <w:tc>
          <w:tcPr>
            <w:tcW w:type="dxa" w:w="3456"/>
            <w:shd w:fill="6FA8D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Cliente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HIPERMAXI</w:t>
            </w:r>
          </w:p>
        </w:tc>
      </w:tr>
      <w:tr>
        <w:tc>
          <w:tcPr>
            <w:tcW w:type="dxa" w:w="3456"/>
            <w:shd w:fill="6FA8D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Patrocinador principal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Gerencia General de HIPERMAXI</w:t>
            </w:r>
          </w:p>
        </w:tc>
      </w:tr>
      <w:tr>
        <w:tc>
          <w:tcPr>
            <w:tcW w:type="dxa" w:w="3456"/>
            <w:shd w:fill="6FA8DC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Director del proyecto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Director del Proyecto de Estrategia TI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Este plan define cómo se planificará, asegurará, controlará y mejorará la calidad de los entregables de la estrategia TI de HIPERMAXI. El enfoque se organiza alrededor de la estructura de entregables del proyecto: Cloud, Adquisiciones, Software, Redes e Infraestructura. La calidad se evaluará por evidencia verificable, criterios de aceptación, pruebas, documentación, capacitación y actas de conformidad por componente.</w:t>
      </w:r>
    </w:p>
    <w:p>
      <w:pPr>
        <w:pStyle w:val="Heading1"/>
        <w:spacing w:before="0" w:after="120" w:line="259" w:lineRule="auto"/>
      </w:pPr>
      <w:r>
        <w:rPr>
          <w:rFonts w:ascii="Arial" w:hAnsi="Arial" w:eastAsia="Calibri"/>
          <w:b/>
          <w:color w:val="1F4E79"/>
          <w:sz w:val="32"/>
        </w:rPr>
        <w:t>1.- Enfoque de planificación.</w:t>
      </w: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La planificación de calidad establecerá desde el inicio los estándares, procedimientos, responsables, evidencias y criterios mínimos que deberá cumplir cada entregable antes de ser presentado para aceptación. No se considerará terminado un entregable si no cuenta con documentación, prueba, validación del área correspondiente y evidencia formal de cierre.</w:t>
      </w: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Los estándares de calidad se aplicarán por componente de la estructura de entregables, evitando controles genéricos y asegurando que cada fase entregue un resultado claro para 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655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componente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</w:p>
        </w:tc>
        <w:tc>
          <w:tcPr>
            <w:tcW w:type="dxa" w:w="35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Entregables sujetos a calidad</w:t>
            </w:r>
          </w:p>
        </w:tc>
        <w:tc>
          <w:tcPr>
            <w:tcW w:type="dxa" w:w="288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Criterios de planificación</w:t>
            </w:r>
          </w:p>
        </w:tc>
        <w:tc>
          <w:tcPr>
            <w:tcW w:type="dxa" w:w="309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Evidencia esperada</w:t>
            </w:r>
          </w:p>
        </w:tc>
      </w:tr>
      <w:t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Cloud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Contratación de asesoría cloud, contratación de servicios cloud, respaldo y continuidad, ambientes de desarrollo/pruebas/preproducción/producción, base de datos administrada, almacenamiento, red cloud privada, usuarios, roles, monitoreo, logs, alertas y línea base mensual de costos.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Separación de ambientes, principio de mínimo privilegio, respaldo probado, monitoreo activo, costos mensuales trazables y arquitectura cloud documentada.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Contrato/orden de servicio, arquitectura cloud aprobada, checklist de configuración, evidencias de backups, dashboard de monitoreo y reporte mensual de costos.</w:t>
            </w:r>
          </w:p>
        </w:tc>
      </w:tr>
      <w:tr>
        <w:tc>
          <w:tcPr>
            <w:tcW w:type="dxa" w:w="1655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</w:t>
            </w:r>
          </w:p>
        </w:tc>
        <w:tc>
          <w:tcPr>
            <w:tcW w:type="dxa" w:w="352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Cotización de proveedores, selección económicamente factible, adquisición de materiales, equipos y servicios relacionados con el EDT.</w:t>
            </w:r>
          </w:p>
        </w:tc>
        <w:tc>
          <w:tcPr>
            <w:tcW w:type="dxa" w:w="288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Mínimo de cotizaciones comparables cuando aplique, matriz técnica-económica, criterios de selección transparentes, recepción conforme y trazabilidad de compras.</w:t>
            </w:r>
          </w:p>
        </w:tc>
        <w:tc>
          <w:tcPr>
            <w:tcW w:type="dxa" w:w="309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Cotizaciones, matriz de evaluación, aprobación de proveedor, orden de compra, acta de recepción y registro de garantías.</w:t>
            </w:r>
          </w:p>
        </w:tc>
      </w:tr>
      <w:t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Software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Diseño funcional y técnico, prototipos, modelo de datos, integraciones, módulos POS/cajas, inventario, compras, contabilidad web, logística, BI, datos migrados, documentación técnica, pruebas, capacitación, manuales y UAT.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Trazabilidad requisito-entregable-prueba, prototipos validados, modelo de datos aprobado, módulos integrados, pruebas internas, UAT por área, manuales por rol y acta de aceptación.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Documento funcional/técnico, prototipos, modelo de datos, matriz de pruebas, reporte UAT, manuales, actas de capacitación y acta de aceptación del sistema.</w:t>
            </w:r>
          </w:p>
        </w:tc>
      </w:tr>
      <w:tr>
        <w:tc>
          <w:tcPr>
            <w:tcW w:type="dxa" w:w="1655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Redes</w:t>
            </w:r>
          </w:p>
        </w:tc>
        <w:tc>
          <w:tcPr>
            <w:tcW w:type="dxa" w:w="352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Contratación de experto en redes, servicios de conectividad, personal operativo, preparación del terreno, switches, routers, puntos de acceso, cableado estructurado, VPN sucursal-cloud, firewall, VLAN y acceso seguro para soporte.</w:t>
            </w:r>
          </w:p>
        </w:tc>
        <w:tc>
          <w:tcPr>
            <w:tcW w:type="dxa" w:w="288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Topología aprobada, instalación ordenada, segmentación por VLAN, conectividad estable, VPN funcional, firewall configurado, pruebas de latencia/velocidad/failover y documentación as-built.</w:t>
            </w:r>
          </w:p>
        </w:tc>
        <w:tc>
          <w:tcPr>
            <w:tcW w:type="dxa" w:w="309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Diseño de red, contratos de conectividad, inventario de equipos, pruebas de red, configuración VPN/firewall/VLAN, planos as-built y acta de conformidad.</w:t>
            </w:r>
          </w:p>
        </w:tc>
      </w:tr>
      <w:t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Infraestructura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Contratación de experto, personal de preparación, terreno, racks y gabinetes, UPS, etiquetado, equipamiento de tienda, POS, lectores, impresoras, balanzas, equipos de almacén/oficina, respaldo local, seguridad física TI y plan de mantenimiento/mesa de ayuda.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Instalación física segura, energía protegida, racks ordenados, equipos etiquetados, dispositivos operativos, respaldo local disponible, acceso restringido y plan de soporte documentado.</w:t>
            </w:r>
          </w:p>
        </w:tc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Inventario de activos, fotografías de instalación, checklist de energía/UPS, etiquetas, pruebas de equipos, evidencia de seguridad física, plan de mantenimiento y matriz de escalamiento.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La línea de calidad de cada entregable se definirá antes de iniciar la ejecución técnica. Para cada paquete se deberá registrar: responsable, criterios de aceptación, evidencia requerida, fecha objetivo, dependencia, riesgos de calidad y área validadora.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Política de calidad</w:t>
            </w:r>
          </w:p>
        </w:tc>
        <w:tc>
          <w:tcPr>
            <w:tcW w:type="dxa" w:w="83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Aplicación en el proyecto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Trazabilidad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Todo requisito debe relacionarse con un entregable del EDT, una prueba o inspección y un responsable de aceptación.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No aprobación sin evidencia</w:t>
            </w:r>
          </w:p>
        </w:tc>
        <w:tc>
          <w:tcPr>
            <w:tcW w:type="dxa" w:w="835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No se aprobarán entregables con evidencia incompleta, pruebas pendientes, manuales faltantes o criterios de aceptación ambiguos.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Documentación mínima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Cada componente deberá entregar documentación técnica, operativa y de usuario cuando corresponda.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Capacitación</w:t>
            </w:r>
          </w:p>
        </w:tc>
        <w:tc>
          <w:tcPr>
            <w:tcW w:type="dxa" w:w="835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Todo entregable que cambie la operación diaria deberá incluir capacitación, guía rápida o manual por rol.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Seguridad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Cloud, software, redes e infraestructura deberán validar usuarios, roles, accesos, segmentación, respaldos y continuidad.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Aceptación formal</w:t>
            </w:r>
          </w:p>
        </w:tc>
        <w:tc>
          <w:tcPr>
            <w:tcW w:type="dxa" w:w="835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Cada cierre por componente requerirá acta, validación del área responsable o aprobación del comité del proyecto.</w:t>
            </w:r>
          </w:p>
        </w:tc>
      </w:tr>
    </w:tbl>
    <w:p>
      <w:pPr>
        <w:spacing w:after="0" w:line="259" w:lineRule="auto"/>
      </w:pPr>
    </w:p>
    <w:p>
      <w:pPr>
        <w:pStyle w:val="Heading1"/>
        <w:spacing w:before="0" w:after="120" w:line="259" w:lineRule="auto"/>
      </w:pPr>
      <w:r>
        <w:rPr>
          <w:rFonts w:ascii="Arial" w:hAnsi="Arial" w:eastAsia="Calibri"/>
          <w:b/>
          <w:color w:val="1F4E79"/>
          <w:sz w:val="32"/>
        </w:rPr>
        <w:t>2.- Enfoque del aseguramiento de la calidad.</w:t>
      </w: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El aseguramiento de la calidad se enfocará en prevenir defectos antes de la entrega. Para ello se realizarán revisiones planificadas, validaciones técnicas, controles de cumplimiento, revisión de documentación y puntos de control antes de avanzar a la siguiente fase del EDT.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94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Momento</w:t>
            </w:r>
          </w:p>
        </w:tc>
        <w:tc>
          <w:tcPr>
            <w:tcW w:type="dxa" w:w="432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Actividad de aseguramiento</w:t>
            </w:r>
          </w:p>
        </w:tc>
        <w:tc>
          <w:tcPr>
            <w:tcW w:type="dxa" w:w="23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Responsable</w:t>
            </w:r>
          </w:p>
        </w:tc>
        <w:tc>
          <w:tcPr>
            <w:tcW w:type="dxa" w:w="2376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Evidencia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Inicio de componente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alcance, criterios de aceptación, responsable, riesgos, dependencias y evidencia esperada.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Director del proyecto / responsable del componente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Checklist de inicio aprobado.</w:t>
            </w:r>
          </w:p>
        </w:tc>
      </w:tr>
      <w:tr>
        <w:tc>
          <w:tcPr>
            <w:tcW w:type="dxa" w:w="194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Cloud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arquitectura cloud, separación de ambientes, políticas de acceso, respaldo, continuidad, monitoreo, logs y costos.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Asesor cloud / TI / seguridad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Informe de revisión cloud y checklist de configuración.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Validación de cotizaciones, comparación técnica-económica, contratos, SLA, tiempos de entrega y recepción conforme.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 / finanzas / responsable técnico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Matriz de evaluación y acta de recepción.</w:t>
            </w:r>
          </w:p>
        </w:tc>
      </w:tr>
      <w:tr>
        <w:tc>
          <w:tcPr>
            <w:tcW w:type="dxa" w:w="194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Software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prototipos, modelo de datos, integraciones, código/configuración, documentación técnica, pruebas internas y UAT.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Líder técnico / QA / usuarios clave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Matriz de pruebas, reporte UAT y acta de aceptación.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Redes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diseño, instalación, cableado, VPN, firewall, VLAN, conectividad, soporte seguro y documentación as-built.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Experto en redes / TI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Pruebas de latencia, velocidad, failover y plano as-built.</w:t>
            </w:r>
          </w:p>
        </w:tc>
      </w:tr>
      <w:tr>
        <w:tc>
          <w:tcPr>
            <w:tcW w:type="dxa" w:w="194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Infraestructura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preparación del terreno, racks, gabinetes, UPS, etiquetado, equipos instalados, respaldo local y seguridad física.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Experto en infraestructura / TI / seguridad física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Checklist físico, inventario, fotografías y acta de instalación.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Capacitación y manuales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Verificación de que los usuarios reciban manuales, guías prácticas, sesiones de capacitación y soporte inicial.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Capacitador / RR. HH. / responsable de área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F4E79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1F4E79"/>
                <w:sz w:val="24"/>
              </w:rPr>
              <w:t>Lista de asistencia, material entregado y encuesta/validación.</w:t>
            </w:r>
          </w:p>
        </w:tc>
      </w:tr>
      <w:tr>
        <w:tc>
          <w:tcPr>
            <w:tcW w:type="dxa" w:w="194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Cierre de componente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entregables, observaciones, evidencias, riesgos remanentes y aprobación del área correspondiente.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Director del proyecto / comité de revisión</w:t>
            </w:r>
          </w:p>
        </w:tc>
        <w:tc>
          <w:tcPr>
            <w:tcW w:type="dxa" w:w="2376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Acta de cierre del componente.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El proyecto utilizará puertas de calidad para evitar que un componente avance sin cumplir condiciones mínimas. Estas puertas no reemplazan la aceptación final, pero reducen retrabajo y mejoran el control del avance.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5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Puerta</w:t>
            </w:r>
          </w:p>
        </w:tc>
        <w:tc>
          <w:tcPr>
            <w:tcW w:type="dxa" w:w="230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Nombre</w:t>
            </w:r>
          </w:p>
        </w:tc>
        <w:tc>
          <w:tcPr>
            <w:tcW w:type="dxa" w:w="540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Condición de cumplimiento</w:t>
            </w:r>
          </w:p>
        </w:tc>
        <w:tc>
          <w:tcPr>
            <w:tcW w:type="dxa" w:w="216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Resultado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GQ-01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Diseño aprobado</w:t>
            </w:r>
          </w:p>
        </w:tc>
        <w:tc>
          <w:tcPr>
            <w:tcW w:type="dxa" w:w="54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El diseño o plan del componente está documentado, validado por el área técnica y vinculado a los entregables aprobados.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Habilita ejecución técnica o contratación.</w:t>
            </w:r>
          </w:p>
        </w:tc>
      </w:tr>
      <w:tr>
        <w:tc>
          <w:tcPr>
            <w:tcW w:type="dxa" w:w="115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GQ-02</w:t>
            </w:r>
          </w:p>
        </w:tc>
        <w:tc>
          <w:tcPr>
            <w:tcW w:type="dxa" w:w="230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Ejecución verificada</w:t>
            </w:r>
          </w:p>
        </w:tc>
        <w:tc>
          <w:tcPr>
            <w:tcW w:type="dxa" w:w="540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El entregable fue configurado, instalado, desarrollado o adquirido según especificación.</w:t>
            </w:r>
          </w:p>
        </w:tc>
        <w:tc>
          <w:tcPr>
            <w:tcW w:type="dxa" w:w="216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Habilita pruebas o inspección.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GQ-03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Pruebas/inspección aprobadas</w:t>
            </w:r>
          </w:p>
        </w:tc>
        <w:tc>
          <w:tcPr>
            <w:tcW w:type="dxa" w:w="54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No existen defectos críticos abiertos y la evidencia técnica está completa.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Habilita capacitación, piloto o recepción.</w:t>
            </w:r>
          </w:p>
        </w:tc>
      </w:tr>
      <w:tr>
        <w:tc>
          <w:tcPr>
            <w:tcW w:type="dxa" w:w="115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GQ-04</w:t>
            </w:r>
          </w:p>
        </w:tc>
        <w:tc>
          <w:tcPr>
            <w:tcW w:type="dxa" w:w="230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Capacitación/documentación completa</w:t>
            </w:r>
          </w:p>
        </w:tc>
        <w:tc>
          <w:tcPr>
            <w:tcW w:type="dxa" w:w="540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Existen manuales, guías, actas de capacitación o transferencia técnica según el componente.</w:t>
            </w:r>
          </w:p>
        </w:tc>
        <w:tc>
          <w:tcPr>
            <w:tcW w:type="dxa" w:w="216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Habilita aceptación del área usuaria.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GQ-05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Acta de aceptación</w:t>
            </w:r>
          </w:p>
        </w:tc>
        <w:tc>
          <w:tcPr>
            <w:tcW w:type="dxa" w:w="54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El área validadora firma conformidad o registra aceptación formal con observaciones controladas.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Cierra el entregable o paquete EDT.</w:t>
            </w:r>
          </w:p>
        </w:tc>
      </w:tr>
    </w:tbl>
    <w:p>
      <w:pPr>
        <w:spacing w:after="0" w:line="259" w:lineRule="auto"/>
      </w:pPr>
    </w:p>
    <w:p>
      <w:pPr>
        <w:pStyle w:val="Heading1"/>
        <w:spacing w:before="0" w:after="120" w:line="259" w:lineRule="auto"/>
      </w:pPr>
      <w:r>
        <w:rPr>
          <w:rFonts w:ascii="Arial" w:hAnsi="Arial" w:eastAsia="Calibri"/>
          <w:b/>
          <w:color w:val="1F4E79"/>
          <w:sz w:val="32"/>
        </w:rPr>
        <w:t>3.- Enfoque de control de calidad.</w:t>
      </w: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El control de calidad comprobará si los entregables cumplen con los criterios definidos. A diferencia del aseguramiento, que previene fallas, el control verificará el resultado mediante pruebas, inspecciones, mediciones, revisión documental y validación con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Componente</w:t>
            </w:r>
          </w:p>
        </w:tc>
        <w:tc>
          <w:tcPr>
            <w:tcW w:type="dxa" w:w="432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Controles de calidad</w:t>
            </w:r>
          </w:p>
        </w:tc>
        <w:tc>
          <w:tcPr>
            <w:tcW w:type="dxa" w:w="396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Criterio mínimo de aprobación</w:t>
            </w:r>
          </w:p>
        </w:tc>
        <w:tc>
          <w:tcPr>
            <w:tcW w:type="dxa" w:w="151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Responsable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Cloud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ambientes, pruebas de respaldo/restauración, validación de roles, monitoreo, logs, alertas, red cloud privada y costos.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Ambientes separados y accesibles; respaldo recuperable; roles mínimos; alertas activas; costo mensual visible.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Asesor cloud / TI / seguridad</w:t>
            </w:r>
          </w:p>
        </w:tc>
      </w:tr>
      <w:tr>
        <w:tc>
          <w:tcPr>
            <w:tcW w:type="dxa" w:w="158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de cotizaciones, proveedor seleccionado, contrato, recepción de bienes, garantías y cumplimiento de especificación.</w:t>
            </w:r>
          </w:p>
        </w:tc>
        <w:tc>
          <w:tcPr>
            <w:tcW w:type="dxa" w:w="396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Proveedor elegido con matriz; materiales recibidos; diferencias registradas; garantía y documentación entregadas.</w:t>
            </w:r>
          </w:p>
        </w:tc>
        <w:tc>
          <w:tcPr>
            <w:tcW w:type="dxa" w:w="151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 / finanzas / responsable técnico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Software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Pruebas funcionales, integración, seguridad, rendimiento básico, migración, UAT por área, revisión de documentación y manuales.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Módulos críticos operativos; datos migrados validados; UAT aprobado; defectos críticos cerrados; manuales por rol.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QA / líder técnico / usuarios clave</w:t>
            </w:r>
          </w:p>
        </w:tc>
      </w:tr>
      <w:tr>
        <w:tc>
          <w:tcPr>
            <w:tcW w:type="dxa" w:w="158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Redes</w:t>
            </w:r>
          </w:p>
        </w:tc>
        <w:tc>
          <w:tcPr>
            <w:tcW w:type="dxa" w:w="432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Pruebas de conectividad, latencia, velocidad, failover, VPN, VLAN, firewall, puntos de acceso y documentación as-built.</w:t>
            </w:r>
          </w:p>
        </w:tc>
        <w:tc>
          <w:tcPr>
            <w:tcW w:type="dxa" w:w="396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Red estable; VPN funcional; VLAN separadas; firewall aplicado; pruebas documentadas; planos actualizados.</w:t>
            </w:r>
          </w:p>
        </w:tc>
        <w:tc>
          <w:tcPr>
            <w:tcW w:type="dxa" w:w="151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Experto en redes / TI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Infraestructura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Inspección de racks, UPS, etiquetado, equipos POS/lectores/impresoras/balanzas, respaldo local, seguridad física y plan de mesa de ayuda.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Equipos instalados y probados; energía protegida; etiquetas correctas; acceso restringido; soporte y escalamiento definidos.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Experto en infraestructura / TI / operaciones</w:t>
            </w:r>
          </w:p>
        </w:tc>
      </w:tr>
    </w:tbl>
    <w:p>
      <w:pPr>
        <w:spacing w:after="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23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Métrica</w:t>
            </w:r>
          </w:p>
        </w:tc>
        <w:tc>
          <w:tcPr>
            <w:tcW w:type="dxa" w:w="3671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Descripción</w:t>
            </w:r>
          </w:p>
        </w:tc>
        <w:tc>
          <w:tcPr>
            <w:tcW w:type="dxa" w:w="316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Umbral esperado</w:t>
            </w:r>
          </w:p>
        </w:tc>
        <w:tc>
          <w:tcPr>
            <w:tcW w:type="dxa" w:w="18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Frecuencia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Cumplimiento de entregables</w:t>
            </w:r>
          </w:p>
        </w:tc>
        <w:tc>
          <w:tcPr>
            <w:tcW w:type="dxa" w:w="36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Porcentaje de entregables aprobados frente a entregables planificados.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Mayor o igual a 90% por componente antes del cierre.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Por componente y al cierre de fase.</w:t>
            </w:r>
          </w:p>
        </w:tc>
      </w:tr>
      <w:tr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Defectos críticos abiertos</w:t>
            </w:r>
          </w:p>
        </w:tc>
        <w:tc>
          <w:tcPr>
            <w:tcW w:type="dxa" w:w="3671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Cantidad de fallas que impiden operación, seguridad, continuidad o aceptación.</w:t>
            </w:r>
          </w:p>
        </w:tc>
        <w:tc>
          <w:tcPr>
            <w:tcW w:type="dxa" w:w="316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0 defectos críticos para aceptación.</w:t>
            </w:r>
          </w:p>
        </w:tc>
        <w:tc>
          <w:tcPr>
            <w:tcW w:type="dxa" w:w="18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En cada entrega relevante.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Observaciones pendientes</w:t>
            </w:r>
          </w:p>
        </w:tc>
        <w:tc>
          <w:tcPr>
            <w:tcW w:type="dxa" w:w="36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Ajustes menores o medios no cerrados.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Máximo 5 observaciones menores con plan de cierre aprobado.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Antes de acta de aceptación.</w:t>
            </w:r>
          </w:p>
        </w:tc>
      </w:tr>
      <w:tr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Disponibilidad de evidencias</w:t>
            </w:r>
          </w:p>
        </w:tc>
        <w:tc>
          <w:tcPr>
            <w:tcW w:type="dxa" w:w="3671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Documentos, actas, capturas, pruebas, manuales, inventarios y reportes requeridos.</w:t>
            </w:r>
          </w:p>
        </w:tc>
        <w:tc>
          <w:tcPr>
            <w:tcW w:type="dxa" w:w="316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100% de evidencias obligatorias.</w:t>
            </w:r>
          </w:p>
        </w:tc>
        <w:tc>
          <w:tcPr>
            <w:tcW w:type="dxa" w:w="18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Antes de cierre de paquete EDT.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Cumplimiento de capacitación</w:t>
            </w:r>
          </w:p>
        </w:tc>
        <w:tc>
          <w:tcPr>
            <w:tcW w:type="dxa" w:w="36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Usuarios convocados vs usuarios capacitados y material entregado.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Mayor o igual a 85% de asistencia y material entregado.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Después de cada capacitación.</w:t>
            </w:r>
          </w:p>
        </w:tc>
      </w:tr>
      <w:tr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Cumplimiento de pruebas técnicas</w:t>
            </w:r>
          </w:p>
        </w:tc>
        <w:tc>
          <w:tcPr>
            <w:tcW w:type="dxa" w:w="3671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Pruebas ejecutadas y aprobadas sobre pruebas planificadas.</w:t>
            </w:r>
          </w:p>
        </w:tc>
        <w:tc>
          <w:tcPr>
            <w:tcW w:type="dxa" w:w="316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Mayor o igual a 95% y sin pruebas críticas fallidas.</w:t>
            </w:r>
          </w:p>
        </w:tc>
        <w:tc>
          <w:tcPr>
            <w:tcW w:type="dxa" w:w="18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Durante pruebas y piloto.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Cuando un entregable no cumpla los criterios mínimos, se registrará una no conformidad. La no conformidad deberá incluir causa, responsable, acción correctiva, fecha compromiso, evidencia de cierre y nueva validación. Ningún entregable crítico podrá darse por aceptado si mantiene no conformidades críticas abiertas.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Tipo de no conformidad</w:t>
            </w:r>
          </w:p>
        </w:tc>
        <w:tc>
          <w:tcPr>
            <w:tcW w:type="dxa" w:w="482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Descripción</w:t>
            </w:r>
          </w:p>
        </w:tc>
        <w:tc>
          <w:tcPr>
            <w:tcW w:type="dxa" w:w="3528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Tratamiento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Crítica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Afecta operación, seguridad, continuidad, datos, costo mayor o aceptación del componente.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Bloquea aceptación y requiere plan correctivo inmediato.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Mayor</w:t>
            </w:r>
          </w:p>
        </w:tc>
        <w:tc>
          <w:tcPr>
            <w:tcW w:type="dxa" w:w="482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Afecta funcionamiento parcial, documentación clave, prueba relevante o experiencia del usuario.</w:t>
            </w:r>
          </w:p>
        </w:tc>
        <w:tc>
          <w:tcPr>
            <w:tcW w:type="dxa" w:w="3528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Debe corregirse antes de cierre o pasar por aprobación formal.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Menor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Observación documental, ajuste de formato, mejora de claridad o detalle no bloqueante.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Puede cerrarse con plan de seguimiento aprobado.</w:t>
            </w:r>
          </w:p>
        </w:tc>
      </w:tr>
    </w:tbl>
    <w:p>
      <w:pPr>
        <w:spacing w:after="0" w:line="259" w:lineRule="auto"/>
      </w:pPr>
    </w:p>
    <w:p>
      <w:pPr>
        <w:pStyle w:val="Heading1"/>
        <w:spacing w:before="0" w:after="120" w:line="259" w:lineRule="auto"/>
      </w:pPr>
      <w:r>
        <w:rPr>
          <w:rFonts w:ascii="Arial" w:hAnsi="Arial" w:eastAsia="Calibri"/>
          <w:b/>
          <w:color w:val="1F4E79"/>
          <w:sz w:val="32"/>
        </w:rPr>
        <w:t>4.- Enfoque de mejora continua.</w:t>
      </w: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La mejora continua se aplicará durante todo el proyecto, especialmente después de cada revisión técnica, prueba, capacitación, piloto y cierre de componente. El objetivo será corregir desviaciones, reducir retrabajo, mejorar la adopción de usuarios y convertir las lecciones aprendidas en acciones concretas.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59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Actividad de mejora</w:t>
            </w:r>
          </w:p>
        </w:tc>
        <w:tc>
          <w:tcPr>
            <w:tcW w:type="dxa" w:w="4824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Aplicación</w:t>
            </w:r>
          </w:p>
        </w:tc>
        <w:tc>
          <w:tcPr>
            <w:tcW w:type="dxa" w:w="223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Frecuencia</w:t>
            </w:r>
          </w:p>
        </w:tc>
        <w:tc>
          <w:tcPr>
            <w:tcW w:type="dxa" w:w="1800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Responsable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semanal de calidad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Revisar avances, observaciones, no conformidades, bloqueos y acciones correctivas.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Semanal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Director del proyecto / QA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  <w:t>Revisión por componente</w:t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</w:p>
        </w:tc>
        <w:tc>
          <w:tcPr>
            <w:tcW w:type="dxa" w:w="482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Evaluar calidad de Cloud, Adquisiciones, Software, Redes e Infraestructura antes de pasar a la siguiente fase.</w:t>
            </w:r>
          </w:p>
        </w:tc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Al cierre de cada componente</w:t>
            </w:r>
          </w:p>
        </w:tc>
        <w:tc>
          <w:tcPr>
            <w:tcW w:type="dxa" w:w="180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Comité de revisión / área responsable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Análisis de causa raíz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Aplicar análisis de causa cuando existan defectos repetidos, retrasos, fallas técnicas o rechazo de entregables.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Cuando exista no conformidad mayor o crítica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Responsable del componente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Retroalimentación de usuarios</w:t>
            </w:r>
          </w:p>
        </w:tc>
        <w:tc>
          <w:tcPr>
            <w:tcW w:type="dxa" w:w="482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Recoger observaciones de cajas, inventarios, compras, contabilidad, logística, TI y administradores de sucursal.</w:t>
            </w:r>
          </w:p>
        </w:tc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Durante UAT, capacitación y piloto</w:t>
            </w:r>
          </w:p>
        </w:tc>
        <w:tc>
          <w:tcPr>
            <w:tcW w:type="dxa" w:w="180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Analista funcional / capacitación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Lecciones aprendidas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Documentar qué funcionó, qué falló, qué debe repetirse y qué debe corregirse para futuras sucursales o fases.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Al cierre de cada fase y cierre final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Director del proyecto</w:t>
            </w:r>
          </w:p>
        </w:tc>
      </w:tr>
      <w:tr>
        <w:tc>
          <w:tcPr>
            <w:tcW w:type="dxa" w:w="259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Mejora de manuales y soporte</w:t>
            </w:r>
          </w:p>
        </w:tc>
        <w:tc>
          <w:tcPr>
            <w:tcW w:type="dxa" w:w="4824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Actualizar manuales, guías rápidas y escalamiento de mesa de ayuda según dudas reales de usuarios.</w:t>
            </w:r>
          </w:p>
        </w:tc>
        <w:tc>
          <w:tcPr>
            <w:tcW w:type="dxa" w:w="223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Después de capacitación y piloto</w:t>
            </w:r>
          </w:p>
        </w:tc>
        <w:tc>
          <w:tcPr>
            <w:tcW w:type="dxa" w:w="1800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Capacitación / TI / mesa de ayuda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El ciclo de mejora seguirá la secuencia: identificar desviación, analizar causa, definir acción correctiva, implementar corrección, verificar resultado y actualizar la documentación. Las mejoras aprobadas deberán reflejarse en manuales, checklists, matriz de riesgos, matriz de trazabilidad, cronograma o línea base cuando corresponda.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Componente</w:t>
            </w:r>
          </w:p>
        </w:tc>
        <w:tc>
          <w:tcPr>
            <w:tcW w:type="dxa" w:w="9072"/>
            <w:shd w:fill="1F4E7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Condición de cierre de calidad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Cloud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Backup probado, monitoreo activo, roles validados, ambientes documentados y costos controlados.</w:t>
            </w:r>
          </w:p>
        </w:tc>
      </w:tr>
      <w:tr>
        <w:tc>
          <w:tcPr>
            <w:tcW w:type="dxa" w:w="18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Adquisiciones</w:t>
            </w:r>
          </w:p>
        </w:tc>
        <w:tc>
          <w:tcPr>
            <w:tcW w:type="dxa" w:w="90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Compras recibidas conforme, garantías registradas y proveedor validado técnica y económicamente.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Software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UAT aprobado por área, manuales por rol, defectos críticos cerrados y módulos integrados.</w:t>
            </w:r>
          </w:p>
        </w:tc>
      </w:tr>
      <w:tr>
        <w:tc>
          <w:tcPr>
            <w:tcW w:type="dxa" w:w="18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Redes</w:t>
            </w:r>
          </w:p>
        </w:tc>
        <w:tc>
          <w:tcPr>
            <w:tcW w:type="dxa" w:w="9072"/>
            <w:vAlign w:val="top"/>
            <w:shd w:fill="F8FBF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VPN, VLAN, firewall, cableado, conectividad, failover y documentación as-built aprobados.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Infraestructura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4"/>
              </w:rPr>
            </w:r>
            <w:r>
              <w:rPr>
                <w:rFonts w:ascii="Calibri" w:hAnsi="Calibri" w:eastAsia="Calibri"/>
                <w:b w:val="0"/>
                <w:i w:val="0"/>
                <w:sz w:val="24"/>
              </w:rPr>
              <w:t>Racks, UPS, equipos, etiquetado, respaldo local, seguridad física y mesa de ayuda implementados.</w:t>
            </w:r>
          </w:p>
        </w:tc>
      </w:tr>
    </w:tbl>
    <w:p>
      <w:pPr>
        <w:spacing w:after="0" w:line="259" w:lineRule="auto"/>
      </w:pPr>
    </w:p>
    <w:p>
      <w:pPr>
        <w:spacing w:after="120" w:line="259" w:lineRule="auto" w:before="0"/>
      </w:pPr>
      <w:r>
        <w:rPr>
          <w:rFonts w:ascii="Calibri" w:hAnsi="Calibri" w:eastAsia="Calibri"/>
          <w:color w:val="1F1F1F"/>
          <w:sz w:val="24"/>
        </w:rPr>
        <w:t>El cierre general de calidad del proyecto se realizará cuando todos los componentes de la estructura de entregables cuenten con evidencia suficiente, aceptación del área correspondiente, documentación completa, capacitación ejecutada y no conformidades críticas cerradas. Las observaciones menores podrán quedar abiertas únicamente si tienen responsable, fecha de cierre y aprobación del director del proyecto.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666666"/>
        <w:sz w:val="16"/>
      </w:rPr>
      <w:t>Proyecto SIGSUP - HIPERMAXI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/>
        <w:color w:val="0B5A9C"/>
        <w:sz w:val="18"/>
      </w:rPr>
      <w:t>Plan de Gestión de la Calidad</w:t>
    </w:r>
  </w:p>
  <w:p>
    <w:pPr>
      <w:jc w:val="center"/>
      <w:pBdr>
        <w:bottom w:val="single" w:sz="6" w:space="1" w:color="999999"/>
      </w:pBdr>
    </w:pPr>
    <w:r>
      <w:rPr>
        <w:rFonts w:ascii="Arial" w:hAnsi="Arial"/>
        <w:b/>
        <w:color w:val="2A7FD1"/>
        <w:sz w:val="16"/>
      </w:rPr>
      <w:t xml:space="preserve">Identificador del proyecto: </w:t>
    </w:r>
    <w:r>
      <w:rPr>
        <w:rFonts w:ascii="Arial" w:hAnsi="Arial"/>
        <w:b/>
        <w:color w:val="C9C9C9"/>
        <w:sz w:val="16"/>
      </w:rPr>
      <w:t>SIGSUP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 w:val="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A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A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5A9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5A9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after="40"/>
      <w:ind w:left="0"/>
    </w:pPr>
    <w:rPr>
      <w:rFonts w:ascii="Arial" w:hAnsi="Arial" w:eastAsia="Arial"/>
      <w:sz w:val="24"/>
    </w:rPr>
  </w:style>
  <w:style w:type="paragraph" w:customStyle="1" w:styleId="TOC2">
    <w:name w:val="TOC 2"/>
    <w:pPr>
      <w:spacing w:after="40"/>
      <w:ind w:left="360"/>
    </w:pPr>
    <w:rPr>
      <w:rFonts w:ascii="Arial" w:hAnsi="Arial" w:eastAsia="Arial"/>
      <w:sz w:val="24"/>
    </w:rPr>
  </w:style>
  <w:style w:type="paragraph" w:customStyle="1" w:styleId="TOC3">
    <w:name w:val="TOC 3"/>
    <w:pPr>
      <w:spacing w:after="40"/>
      <w:ind w:left="720"/>
    </w:pPr>
    <w:rPr>
      <w:rFonts w:ascii="Arial" w:hAnsi="Arial" w:eastAsia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