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after="0" w:before="0"/>
      </w:pPr>
      <w:r>
        <w:rPr>
          <w:b/>
          <w:color w:val="0B5A9C"/>
          <w:sz w:val="36"/>
          <w:rFonts w:ascii="Arial" w:hAnsi="Arial" w:eastAsia="Arial"/>
        </w:rPr>
        <w:t xml:space="preserve">Plan para la Gestión del Alcance</w:t>
      </w:r>
    </w:p>
    <w:p>
      <w:pPr>
        <w:jc w:val="center"/>
        <w:spacing w:after="0" w:before="0"/>
      </w:pPr>
      <w:r>
        <w:rPr>
          <w:b/>
          <w:color w:val="2A7FD1"/>
          <w:sz w:val="20"/>
          <w:rFonts w:ascii="Arial" w:hAnsi="Arial" w:eastAsia="Arial"/>
        </w:rPr>
        <w:t xml:space="preserve">Identificador del proyecto: </w:t>
      </w:r>
      <w:r>
        <w:rPr>
          <w:b/>
          <w:color w:val="C9C9C9"/>
          <w:sz w:val="20"/>
          <w:rFonts w:ascii="Arial" w:hAnsi="Arial" w:eastAsia="Arial"/>
        </w:rPr>
        <w:t xml:space="preserve">SIGSUP</w:t>
      </w:r>
    </w:p>
    <w:p>
      <w:pPr>
        <w:jc w:val="center"/>
        <w:spacing w:after="0" w:before="0"/>
        <w:pBdr>
          <w:bottom w:val="single" w:sz="8" w:space="1" w:color="999999"/>
        </w:pBdr>
      </w:pPr>
      <w:r>
        <w:rPr>
          <w:color w:val="000000"/>
          <w:sz w:val="2"/>
          <w:rFonts w:ascii="Arial" w:hAnsi="Arial" w:eastAsia="Arial"/>
        </w:rPr>
        <w:t xml:space="preserve"/>
      </w:r>
    </w:p>
    <w:p>
      <w:pPr>
        <w:jc w:val="left"/>
        <w:spacing w:after="0" w:before="0"/>
      </w:pPr>
      <w:r>
        <w:rPr>
          <w:color w:val="000000"/>
          <w:sz w:val="24"/>
          <w:rFonts w:ascii="Arial" w:hAnsi="Arial" w:eastAsia="Arial"/>
        </w:rPr>
        <w:t xml:space="preserve"/>
      </w:r>
    </w:p>
    <w:p>
      <w:pPr>
        <w:jc w:val="left"/>
        <w:spacing w:after="0" w:before="0"/>
      </w:pPr>
      <w:r>
        <w:rPr>
          <w:color w:val="000000"/>
          <w:sz w:val="24"/>
          <w:rFonts w:ascii="Arial" w:hAnsi="Arial" w:eastAsia="Arial"/>
        </w:rPr>
        <w:t xml:space="preserve"/>
      </w:r>
    </w:p>
    <w:p>
      <w:pPr>
        <w:jc w:val="left"/>
        <w:spacing w:after="0" w:before="0"/>
      </w:pPr>
      <w:r>
        <w:rPr>
          <w:color w:val="000000"/>
          <w:sz w:val="24"/>
          <w:rFonts w:ascii="Arial" w:hAnsi="Arial" w:eastAsia="Arial"/>
        </w:rPr>
        <w:t xml:space="preserve"/>
      </w:r>
    </w:p>
    <w:p>
      <w:pPr>
        <w:jc w:val="left"/>
        <w:spacing w:after="0" w:before="0"/>
      </w:pPr>
      <w:r>
        <w:rPr>
          <w:color w:val="000000"/>
          <w:sz w:val="24"/>
          <w:rFonts w:ascii="Arial" w:hAnsi="Arial" w:eastAsia="Arial"/>
        </w:rPr>
        <w:t xml:space="preserve"/>
      </w:r>
    </w:p>
    <w:p>
      <w:pPr>
        <w:jc w:val="left"/>
        <w:spacing w:after="0" w:before="0"/>
      </w:pPr>
      <w:r>
        <w:rPr>
          <w:color w:val="000000"/>
          <w:sz w:val="24"/>
          <w:rFonts w:ascii="Arial" w:hAnsi="Arial" w:eastAsia="Arial"/>
        </w:rPr>
        <w:t xml:space="preserve"/>
      </w:r>
    </w:p>
    <w:p>
      <w:pPr>
        <w:jc w:val="left"/>
        <w:spacing w:after="0" w:before="0"/>
      </w:pPr>
      <w:r>
        <w:rPr>
          <w:color w:val="000000"/>
          <w:sz w:val="24"/>
          <w:rFonts w:ascii="Arial" w:hAnsi="Arial" w:eastAsia="Arial"/>
        </w:rPr>
        <w:t xml:space="preserve"/>
      </w:r>
    </w:p>
    <w:p>
      <w:pPr>
        <w:jc w:val="left"/>
        <w:spacing w:after="0" w:before="0"/>
      </w:pPr>
      <w:r>
        <w:rPr>
          <w:color w:val="000000"/>
          <w:sz w:val="24"/>
          <w:rFonts w:ascii="Arial" w:hAnsi="Arial" w:eastAsia="Arial"/>
        </w:rPr>
        <w:t xml:space="preserve"/>
      </w:r>
    </w:p>
    <w:p>
      <w:pPr>
        <w:jc w:val="left"/>
        <w:spacing w:after="0" w:before="0"/>
      </w:pPr>
      <w:r>
        <w:rPr>
          <w:color w:val="000000"/>
          <w:sz w:val="24"/>
          <w:rFonts w:ascii="Arial" w:hAnsi="Arial" w:eastAsia="Arial"/>
        </w:rPr>
        <w:t xml:space="preserve"/>
      </w:r>
    </w:p>
    <w:p>
      <w:pPr>
        <w:jc w:val="center"/>
        <w:spacing w:after="80" w:before="0"/>
      </w:pPr>
      <w:r>
        <w:rPr>
          <w:b/>
          <w:color w:val="0B5A9C"/>
          <w:sz w:val="48"/>
          <w:rFonts w:ascii="Arial" w:hAnsi="Arial" w:eastAsia="Arial"/>
        </w:rPr>
        <w:t xml:space="preserve">Plan para la Gestión del Alcance</w:t>
      </w:r>
    </w:p>
    <w:p>
      <w:pPr>
        <w:jc w:val="center"/>
        <w:spacing w:after="20" w:before="0"/>
      </w:pPr>
      <w:r>
        <w:rPr>
          <w:b/>
          <w:color w:val="2A7FD1"/>
          <w:sz w:val="26"/>
          <w:rFonts w:ascii="Arial" w:hAnsi="Arial" w:eastAsia="Arial"/>
        </w:rPr>
        <w:t xml:space="preserve">Nombre del proyecto: </w:t>
      </w:r>
      <w:r>
        <w:rPr>
          <w:b/>
          <w:color w:val="C9C9C9"/>
          <w:sz w:val="26"/>
          <w:rFonts w:ascii="Arial" w:hAnsi="Arial" w:eastAsia="Arial"/>
        </w:rPr>
        <w:t xml:space="preserve">Implementación de estrategia TI para HIPERMAXI</w:t>
      </w:r>
    </w:p>
    <w:p>
      <w:pPr>
        <w:jc w:val="center"/>
        <w:spacing w:after="20" w:before="0"/>
      </w:pPr>
      <w:r>
        <w:rPr>
          <w:b/>
          <w:color w:val="2A7FD1"/>
          <w:sz w:val="26"/>
          <w:rFonts w:ascii="Arial" w:hAnsi="Arial" w:eastAsia="Arial"/>
        </w:rPr>
        <w:t xml:space="preserve">Identificador del proyecto: </w:t>
      </w:r>
      <w:r>
        <w:rPr>
          <w:b/>
          <w:color w:val="C9C9C9"/>
          <w:sz w:val="26"/>
          <w:rFonts w:ascii="Arial" w:hAnsi="Arial" w:eastAsia="Arial"/>
        </w:rPr>
        <w:t xml:space="preserve">SIGSUP</w:t>
      </w:r>
    </w:p>
    <w:p>
      <w:pPr>
        <w:jc w:val="center"/>
        <w:spacing w:after="20" w:before="0"/>
      </w:pPr>
      <w:r>
        <w:rPr>
          <w:b/>
          <w:color w:val="2A7FD1"/>
          <w:sz w:val="26"/>
          <w:rFonts w:ascii="Arial" w:hAnsi="Arial" w:eastAsia="Arial"/>
        </w:rPr>
        <w:t xml:space="preserve">Fecha elaboración: </w:t>
      </w:r>
      <w:r>
        <w:rPr>
          <w:b/>
          <w:color w:val="C9C9C9"/>
          <w:sz w:val="26"/>
          <w:rFonts w:ascii="Arial" w:hAnsi="Arial" w:eastAsia="Arial"/>
        </w:rPr>
        <w:t xml:space="preserve">01/03/2026</w:t>
      </w:r>
    </w:p>
    <w:p>
      <w:pPr>
        <w:jc w:val="left"/>
        <w:spacing w:after="0" w:before="0"/>
      </w:pPr>
      <w:r>
        <w:rPr>
          <w:color w:val="000000"/>
          <w:sz w:val="24"/>
          <w:rFonts w:ascii="Arial" w:hAnsi="Arial" w:eastAsia="Arial"/>
        </w:rPr>
        <w:t xml:space="preserve"/>
      </w:r>
    </w:p>
    <w:p>
      <w:pPr>
        <w:jc w:val="left"/>
        <w:spacing w:after="0" w:before="0"/>
      </w:pPr>
      <w:r>
        <w:rPr>
          <w:color w:val="000000"/>
          <w:sz w:val="24"/>
          <w:rFonts w:ascii="Arial" w:hAnsi="Arial" w:eastAsia="Arial"/>
        </w:rPr>
        <w:t xml:space="preserve"/>
      </w:r>
    </w:p>
    <w:p>
      <w:pPr>
        <w:jc w:val="left"/>
        <w:spacing w:after="0" w:before="0"/>
      </w:pPr>
      <w:r>
        <w:rPr>
          <w:color w:val="000000"/>
          <w:sz w:val="24"/>
          <w:rFonts w:ascii="Arial" w:hAnsi="Arial" w:eastAsia="Arial"/>
        </w:rPr>
        <w:t xml:space="preserve"/>
      </w:r>
    </w:p>
    <w:p>
      <w:pPr>
        <w:jc w:val="left"/>
        <w:spacing w:after="0" w:before="0"/>
      </w:pPr>
      <w:r>
        <w:rPr>
          <w:color w:val="000000"/>
          <w:sz w:val="24"/>
          <w:rFonts w:ascii="Arial" w:hAnsi="Arial" w:eastAsia="Arial"/>
        </w:rPr>
        <w:t xml:space="preserve"/>
      </w:r>
    </w:p>
    <w:p>
      <w:pPr>
        <w:jc w:val="left"/>
        <w:spacing w:after="0" w:before="0"/>
      </w:pPr>
      <w:r>
        <w:rPr>
          <w:color w:val="000000"/>
          <w:sz w:val="24"/>
          <w:rFonts w:ascii="Arial" w:hAnsi="Arial" w:eastAsia="Arial"/>
        </w:rPr>
        <w:t xml:space="preserve"/>
      </w:r>
    </w:p>
    <w:p>
      <w:pPr>
        <w:jc w:val="left"/>
        <w:spacing w:after="0" w:before="0"/>
      </w:pPr>
      <w:r>
        <w:rPr>
          <w:color w:val="000000"/>
          <w:sz w:val="24"/>
          <w:rFonts w:ascii="Arial" w:hAnsi="Arial" w:eastAsia="Arial"/>
        </w:rPr>
        <w:t xml:space="preserve"/>
      </w:r>
    </w:p>
    <w:p>
      <w:pPr>
        <w:jc w:val="left"/>
        <w:spacing w:after="0" w:before="0"/>
      </w:pPr>
      <w:r>
        <w:rPr>
          <w:color w:val="000000"/>
          <w:sz w:val="24"/>
          <w:rFonts w:ascii="Arial" w:hAnsi="Arial" w:eastAsia="Arial"/>
        </w:rPr>
        <w:t xml:space="preserve"/>
      </w:r>
    </w:p>
    <w:p>
      <w:pPr>
        <w:jc w:val="left"/>
        <w:spacing w:after="0" w:before="0"/>
      </w:pPr>
      <w:r>
        <w:rPr>
          <w:color w:val="000000"/>
          <w:sz w:val="24"/>
          <w:rFonts w:ascii="Arial" w:hAnsi="Arial" w:eastAsia="Arial"/>
        </w:rPr>
        <w:t xml:space="preserve"/>
      </w:r>
    </w:p>
    <w:p>
      <w:pPr>
        <w:jc w:val="left"/>
        <w:spacing w:after="0" w:before="0"/>
      </w:pPr>
      <w:r>
        <w:rPr>
          <w:color w:val="000000"/>
          <w:sz w:val="24"/>
          <w:rFonts w:ascii="Arial" w:hAnsi="Arial" w:eastAsia="Arial"/>
        </w:rPr>
        <w:t xml:space="preserve"/>
      </w:r>
    </w:p>
    <w:p>
      <w:pPr>
        <w:jc w:val="left"/>
        <w:spacing w:after="0" w:before="0"/>
      </w:pPr>
      <w:r>
        <w:rPr>
          <w:color w:val="000000"/>
          <w:sz w:val="24"/>
          <w:rFonts w:ascii="Arial" w:hAnsi="Arial" w:eastAsia="Arial"/>
        </w:rPr>
        <w:t xml:space="preserve"/>
      </w:r>
    </w:p>
    <w:p>
      <w:pPr>
        <w:jc w:val="left"/>
        <w:spacing w:after="0" w:before="0"/>
      </w:pPr>
      <w:r>
        <w:rPr>
          <w:color w:val="000000"/>
          <w:sz w:val="24"/>
          <w:rFonts w:ascii="Arial" w:hAnsi="Arial" w:eastAsia="Arial"/>
        </w:rPr>
        <w:t xml:space="preserve"/>
      </w:r>
    </w:p>
    <w:p>
      <w:pPr>
        <w:jc w:val="left"/>
        <w:spacing w:after="0" w:before="0"/>
      </w:pPr>
      <w:r>
        <w:rPr>
          <w:color w:val="000000"/>
          <w:sz w:val="24"/>
          <w:rFonts w:ascii="Arial" w:hAnsi="Arial" w:eastAsia="Arial"/>
        </w:rPr>
        <w:t xml:space="preserve"/>
      </w:r>
    </w:p>
    <w:p>
      <w:pPr>
        <w:jc w:val="left"/>
        <w:spacing w:after="0" w:before="0"/>
      </w:pPr>
      <w:r>
        <w:rPr>
          <w:color w:val="000000"/>
          <w:sz w:val="24"/>
          <w:rFonts w:ascii="Arial" w:hAnsi="Arial" w:eastAsia="Arial"/>
        </w:rPr>
        <w:t xml:space="preserve"/>
      </w:r>
    </w:p>
    <w:p>
      <w:pPr>
        <w:jc w:val="left"/>
        <w:spacing w:after="0" w:before="0"/>
      </w:pPr>
      <w:r>
        <w:rPr>
          <w:color w:val="000000"/>
          <w:sz w:val="24"/>
          <w:rFonts w:ascii="Arial" w:hAnsi="Arial" w:eastAsia="Arial"/>
        </w:rPr>
        <w:t xml:space="preserve"/>
      </w:r>
    </w:p>
    <w:p>
      <w:pPr>
        <w:jc w:val="left"/>
        <w:spacing w:after="0" w:before="0"/>
      </w:pPr>
      <w:r>
        <w:rPr>
          <w:color w:val="000000"/>
          <w:sz w:val="24"/>
          <w:rFonts w:ascii="Arial" w:hAnsi="Arial" w:eastAsia="Arial"/>
        </w:rPr>
        <w:t xml:space="preserve"/>
      </w:r>
    </w:p>
    <w:p>
      <w:pPr>
        <w:jc w:val="left"/>
        <w:spacing w:after="0" w:before="0"/>
      </w:pPr>
      <w:r>
        <w:rPr>
          <w:color w:val="000000"/>
          <w:sz w:val="24"/>
          <w:rFonts w:ascii="Arial" w:hAnsi="Arial" w:eastAsia="Arial"/>
        </w:rPr>
        <w:t xml:space="preserve"/>
      </w:r>
    </w:p>
    <w:p>
      <w:r>
        <w:br w:type="page"/>
      </w:r>
    </w:p>
    <w:p>
      <w:pPr>
        <w:jc w:val="left"/>
        <w:spacing w:after="240" w:before="480"/>
      </w:pPr>
      <w:r>
        <w:rPr>
          <w:b/>
          <w:color w:val="0B5A9C"/>
          <w:sz w:val="36"/>
          <w:rFonts w:ascii="Arial" w:hAnsi="Arial" w:eastAsia="Arial"/>
        </w:rPr>
        <w:t xml:space="preserve">Contenido</w:t>
      </w:r>
    </w:p>
    <w:p>
      <w:pPr>
        <w:pStyle w:val="TOC1"/>
        <w:jc w:val="left"/>
        <w:spacing w:after="40" w:before="0"/>
        <w:ind w:left="0"/>
        <w:tabs>
          <w:tab w:val="right" w:leader="dot" w:pos="9000"/>
        </w:tabs>
      </w:pPr>
      <w:r>
        <w:fldChar w:fldCharType="begin"/>
        <w:instrText xml:space="preserve"> TOC \o "1-3" \h \z \u </w:instrText>
        <w:fldChar w:fldCharType="separate"/>
      </w:r>
      <w:r>
        <w:rPr>
          <w:color w:val="000000"/>
          <w:sz w:val="24"/>
          <w:rFonts w:ascii="Arial" w:hAnsi="Arial" w:eastAsia="Arial"/>
        </w:rPr>
        <w:t xml:space="preserve">Información del Proyecto</w:t>
      </w:r>
      <w:r>
        <w:rPr>
          <w:color w:val="000000"/>
          <w:sz w:val="24"/>
          <w:rFonts w:ascii="Arial" w:hAnsi="Arial" w:eastAsia="Arial"/>
        </w:rPr>
        <w:t xml:space="preserve">	</w:t>
      </w:r>
      <w:r>
        <w:rPr>
          <w:color w:val="000000"/>
          <w:sz w:val="24"/>
          <w:rFonts w:ascii="Arial" w:hAnsi="Arial" w:eastAsia="Arial"/>
        </w:rPr>
        <w:t xml:space="preserve">3</w:t>
      </w:r>
    </w:p>
    <w:p>
      <w:pPr>
        <w:pStyle w:val="TOC1"/>
        <w:jc w:val="left"/>
        <w:spacing w:after="40" w:before="0"/>
        <w:ind w:left="0"/>
        <w:tabs>
          <w:tab w:val="right" w:leader="dot" w:pos="9000"/>
        </w:tabs>
      </w:pPr>
      <w:r>
        <w:rPr>
          <w:color w:val="000000"/>
          <w:sz w:val="24"/>
          <w:rFonts w:ascii="Arial" w:hAnsi="Arial" w:eastAsia="Arial"/>
        </w:rPr>
        <w:t xml:space="preserve">1.- Desarrollo del Enunciado del Alcance</w:t>
      </w:r>
      <w:r>
        <w:rPr>
          <w:color w:val="000000"/>
          <w:sz w:val="24"/>
          <w:rFonts w:ascii="Arial" w:hAnsi="Arial" w:eastAsia="Arial"/>
        </w:rPr>
        <w:t xml:space="preserve">	</w:t>
      </w:r>
      <w:r>
        <w:rPr>
          <w:color w:val="000000"/>
          <w:sz w:val="24"/>
          <w:rFonts w:ascii="Arial" w:hAnsi="Arial" w:eastAsia="Arial"/>
        </w:rPr>
        <w:t xml:space="preserve">3</w:t>
      </w:r>
    </w:p>
    <w:p>
      <w:pPr>
        <w:pStyle w:val="TOC2"/>
        <w:jc w:val="left"/>
        <w:spacing w:after="40" w:before="0"/>
        <w:ind w:left="360"/>
        <w:tabs>
          <w:tab w:val="right" w:leader="dot" w:pos="9000"/>
        </w:tabs>
      </w:pPr>
      <w:r>
        <w:rPr>
          <w:color w:val="000000"/>
          <w:sz w:val="24"/>
          <w:rFonts w:ascii="Arial" w:hAnsi="Arial" w:eastAsia="Arial"/>
        </w:rPr>
        <w:t xml:space="preserve">Entregables principales considerados</w:t>
      </w:r>
      <w:r>
        <w:rPr>
          <w:color w:val="000000"/>
          <w:sz w:val="24"/>
          <w:rFonts w:ascii="Arial" w:hAnsi="Arial" w:eastAsia="Arial"/>
        </w:rPr>
        <w:t xml:space="preserve">	</w:t>
      </w:r>
      <w:r>
        <w:rPr>
          <w:color w:val="000000"/>
          <w:sz w:val="24"/>
          <w:rFonts w:ascii="Arial" w:hAnsi="Arial" w:eastAsia="Arial"/>
        </w:rPr>
        <w:t xml:space="preserve">5</w:t>
      </w:r>
    </w:p>
    <w:p>
      <w:pPr>
        <w:pStyle w:val="TOC1"/>
        <w:jc w:val="left"/>
        <w:spacing w:after="40" w:before="0"/>
        <w:ind w:left="0"/>
        <w:tabs>
          <w:tab w:val="right" w:leader="dot" w:pos="9000"/>
        </w:tabs>
      </w:pPr>
      <w:r>
        <w:rPr>
          <w:color w:val="000000"/>
          <w:sz w:val="24"/>
          <w:rFonts w:ascii="Arial" w:hAnsi="Arial" w:eastAsia="Arial"/>
        </w:rPr>
        <w:t xml:space="preserve">2.- Estructura del EDT/WBS</w:t>
      </w:r>
      <w:r>
        <w:rPr>
          <w:color w:val="000000"/>
          <w:sz w:val="24"/>
          <w:rFonts w:ascii="Arial" w:hAnsi="Arial" w:eastAsia="Arial"/>
        </w:rPr>
        <w:t xml:space="preserve">	</w:t>
      </w:r>
      <w:r>
        <w:rPr>
          <w:color w:val="000000"/>
          <w:sz w:val="24"/>
          <w:rFonts w:ascii="Arial" w:hAnsi="Arial" w:eastAsia="Arial"/>
        </w:rPr>
        <w:t xml:space="preserve">6</w:t>
      </w:r>
    </w:p>
    <w:p>
      <w:pPr>
        <w:pStyle w:val="TOC1"/>
        <w:jc w:val="left"/>
        <w:spacing w:after="40" w:before="0"/>
        <w:ind w:left="0"/>
        <w:tabs>
          <w:tab w:val="right" w:leader="dot" w:pos="9000"/>
        </w:tabs>
      </w:pPr>
      <w:r>
        <w:rPr>
          <w:color w:val="000000"/>
          <w:sz w:val="24"/>
          <w:rFonts w:ascii="Arial" w:hAnsi="Arial" w:eastAsia="Arial"/>
        </w:rPr>
        <w:t xml:space="preserve">3.- Diccionario de datos</w:t>
      </w:r>
      <w:r>
        <w:rPr>
          <w:color w:val="000000"/>
          <w:sz w:val="24"/>
          <w:rFonts w:ascii="Arial" w:hAnsi="Arial" w:eastAsia="Arial"/>
        </w:rPr>
        <w:t xml:space="preserve">	</w:t>
      </w:r>
      <w:r>
        <w:rPr>
          <w:color w:val="000000"/>
          <w:sz w:val="24"/>
          <w:rFonts w:ascii="Arial" w:hAnsi="Arial" w:eastAsia="Arial"/>
        </w:rPr>
        <w:t xml:space="preserve">9</w:t>
      </w:r>
    </w:p>
    <w:p>
      <w:pPr>
        <w:pStyle w:val="TOC1"/>
        <w:jc w:val="left"/>
        <w:spacing w:after="40" w:before="0"/>
        <w:ind w:left="0"/>
        <w:tabs>
          <w:tab w:val="right" w:leader="dot" w:pos="9000"/>
        </w:tabs>
      </w:pPr>
      <w:r>
        <w:rPr>
          <w:color w:val="000000"/>
          <w:sz w:val="24"/>
          <w:rFonts w:ascii="Arial" w:hAnsi="Arial" w:eastAsia="Arial"/>
        </w:rPr>
        <w:t xml:space="preserve">4.- Mantenimiento a la Línea Base del Alcance</w:t>
      </w:r>
      <w:r>
        <w:rPr>
          <w:color w:val="000000"/>
          <w:sz w:val="24"/>
          <w:rFonts w:ascii="Arial" w:hAnsi="Arial" w:eastAsia="Arial"/>
        </w:rPr>
        <w:t xml:space="preserve">	</w:t>
      </w:r>
      <w:r>
        <w:rPr>
          <w:color w:val="000000"/>
          <w:sz w:val="24"/>
          <w:rFonts w:ascii="Arial" w:hAnsi="Arial" w:eastAsia="Arial"/>
        </w:rPr>
        <w:t xml:space="preserve">10</w:t>
      </w:r>
    </w:p>
    <w:p>
      <w:pPr>
        <w:pStyle w:val="TOC1"/>
        <w:jc w:val="left"/>
        <w:spacing w:after="40" w:before="0"/>
        <w:ind w:left="0"/>
        <w:tabs>
          <w:tab w:val="right" w:leader="dot" w:pos="9000"/>
        </w:tabs>
      </w:pPr>
      <w:r>
        <w:rPr>
          <w:color w:val="000000"/>
          <w:sz w:val="24"/>
          <w:rFonts w:ascii="Arial" w:hAnsi="Arial" w:eastAsia="Arial"/>
        </w:rPr>
        <w:t xml:space="preserve">5.- Cambios al Alcance</w:t>
      </w:r>
      <w:r>
        <w:rPr>
          <w:color w:val="000000"/>
          <w:sz w:val="24"/>
          <w:rFonts w:ascii="Arial" w:hAnsi="Arial" w:eastAsia="Arial"/>
        </w:rPr>
        <w:t xml:space="preserve">	</w:t>
      </w:r>
      <w:r>
        <w:rPr>
          <w:color w:val="000000"/>
          <w:sz w:val="24"/>
          <w:rFonts w:ascii="Arial" w:hAnsi="Arial" w:eastAsia="Arial"/>
        </w:rPr>
        <w:t xml:space="preserve">11</w:t>
      </w:r>
    </w:p>
    <w:p>
      <w:pPr>
        <w:pStyle w:val="TOC1"/>
        <w:jc w:val="left"/>
        <w:spacing w:after="40" w:before="0"/>
        <w:ind w:left="0"/>
        <w:tabs>
          <w:tab w:val="right" w:leader="dot" w:pos="9000"/>
        </w:tabs>
      </w:pPr>
      <w:r>
        <w:rPr>
          <w:color w:val="000000"/>
          <w:sz w:val="24"/>
          <w:rFonts w:ascii="Arial" w:hAnsi="Arial" w:eastAsia="Arial"/>
        </w:rPr>
        <w:t xml:space="preserve">6.- Aceptación de Entregables</w:t>
      </w:r>
      <w:r>
        <w:rPr>
          <w:color w:val="000000"/>
          <w:sz w:val="24"/>
          <w:rFonts w:ascii="Arial" w:hAnsi="Arial" w:eastAsia="Arial"/>
        </w:rPr>
        <w:t xml:space="preserve">	</w:t>
      </w:r>
      <w:r>
        <w:rPr>
          <w:color w:val="000000"/>
          <w:sz w:val="24"/>
          <w:rFonts w:ascii="Arial" w:hAnsi="Arial" w:eastAsia="Arial"/>
        </w:rPr>
        <w:t xml:space="preserve">12</w:t>
      </w:r>
    </w:p>
    <w:p>
      <w:pPr>
        <w:pStyle w:val="TOC1"/>
        <w:jc w:val="left"/>
        <w:spacing w:after="40" w:before="0"/>
        <w:ind w:left="0"/>
        <w:tabs>
          <w:tab w:val="right" w:leader="dot" w:pos="9000"/>
        </w:tabs>
      </w:pPr>
      <w:r>
        <w:rPr>
          <w:color w:val="000000"/>
          <w:sz w:val="24"/>
          <w:rFonts w:ascii="Arial" w:hAnsi="Arial" w:eastAsia="Arial"/>
        </w:rPr>
        <w:t xml:space="preserve">7.- Alcance y requerimientos de integración</w:t>
      </w:r>
      <w:r>
        <w:rPr>
          <w:color w:val="000000"/>
          <w:sz w:val="24"/>
          <w:rFonts w:ascii="Arial" w:hAnsi="Arial" w:eastAsia="Arial"/>
        </w:rPr>
        <w:t xml:space="preserve">	</w:t>
      </w:r>
      <w:r>
        <w:rPr>
          <w:color w:val="000000"/>
          <w:sz w:val="24"/>
          <w:rFonts w:ascii="Arial" w:hAnsi="Arial" w:eastAsia="Arial"/>
        </w:rPr>
        <w:t xml:space="preserve">13</w:t>
      </w:r>
    </w:p>
    <w:p>
      <w:pPr>
        <w:pStyle w:val="TOC1"/>
        <w:jc w:val="left"/>
        <w:spacing w:after="40" w:before="0"/>
        <w:ind w:left="0"/>
        <w:tabs>
          <w:tab w:val="right" w:leader="dot" w:pos="9000"/>
        </w:tabs>
      </w:pPr>
      <w:r>
        <w:rPr>
          <w:color w:val="000000"/>
          <w:sz w:val="24"/>
          <w:rFonts w:ascii="Arial" w:hAnsi="Arial" w:eastAsia="Arial"/>
        </w:rPr>
        <w:t xml:space="preserve">Anexo A.- Resumen ejecutivo por componentes</w:t>
      </w:r>
      <w:r>
        <w:rPr>
          <w:color w:val="000000"/>
          <w:sz w:val="24"/>
          <w:rFonts w:ascii="Arial" w:hAnsi="Arial" w:eastAsia="Arial"/>
        </w:rPr>
        <w:t xml:space="preserve">	</w:t>
      </w:r>
      <w:r>
        <w:rPr>
          <w:color w:val="000000"/>
          <w:sz w:val="24"/>
          <w:rFonts w:ascii="Arial" w:hAnsi="Arial" w:eastAsia="Arial"/>
        </w:rPr>
        <w:t xml:space="preserve">14</w:t>
      </w:r>
      <w:r>
        <w:fldChar w:fldCharType="end"/>
      </w:r>
    </w:p>
    <w:p>
      <w:r>
        <w:br w:type="page"/>
      </w:r>
    </w:p>
    <w:p>
      <w:pPr>
        <w:pStyle w:val="Heading1"/>
        <w:spacing w:before="0" w:after="120" w:line="259" w:lineRule="auto"/>
      </w:pPr>
      <w:r>
        <w:rPr>
          <w:rFonts w:ascii="Arial" w:hAnsi="Arial" w:eastAsia="Calibri"/>
          <w:b/>
          <w:color w:val="1F4E79"/>
          <w:sz w:val="32"/>
        </w:rPr>
        <w:t>Información del Proyecto</w:t>
      </w:r>
    </w:p>
    <w:tbl>
      <w:tblPr>
        <w:tblW w:type="auto" w:w="0"/>
        <w:jc w:val="center"/>
        <w:tblLayout w:type="autofit"/>
        <w:tblLook w:firstColumn="1" w:firstRow="1" w:lastColumn="0" w:lastRow="0" w:noHBand="0" w:noVBand="1" w:val="04A0"/>
      </w:tblPr>
      <w:tblGrid>
        <w:gridCol w:w="5184"/>
        <w:gridCol w:w="5184"/>
      </w:tblGrid>
      <w:tr>
        <w:trPr>
          <w:cantSplit/>
        </w:trPr>
        <w:tc>
          <w:tcPr>
            <w:tcW w:type="dxa" w:w="5184"/>
            <w:tcBorders>
              <w:top w:val="single" w:sz="6" w:space="0" w:color="2F75B5"/>
              <w:left w:val="single" w:sz="6" w:space="0" w:color="2F75B5"/>
              <w:bottom w:val="single" w:sz="6" w:space="0" w:color="2F75B5"/>
              <w:right w:val="single" w:sz="6" w:space="0" w:color="2F75B5"/>
            </w:tcBorders>
            <w:vAlign w:val="top"/>
            <w:shd w:fill="1F4E79"/>
            <w:tcMar>
              <w:top w:w="80" w:type="dxa"/>
              <w:start w:w="80" w:type="dxa"/>
              <w:bottom w:w="80" w:type="dxa"/>
              <w:end w:w="80" w:type="dxa"/>
            </w:tcMar>
          </w:tcPr>
          <w:p>
            <w:pPr>
              <w:spacing w:after="60" w:before="0" w:line="240" w:lineRule="auto"/>
            </w:pPr>
            <w:r>
              <w:rPr>
                <w:rFonts w:ascii="Calibri" w:hAnsi="Calibri" w:eastAsia="Calibri"/>
                <w:b/>
                <w:i w:val="0"/>
                <w:color w:val="FFFFFF"/>
                <w:sz w:val="24"/>
              </w:rPr>
              <w:t>Campo</w:t>
            </w:r>
          </w:p>
        </w:tc>
        <w:tc>
          <w:tcPr>
            <w:tcW w:type="dxa" w:w="5184"/>
            <w:tcBorders>
              <w:top w:val="single" w:sz="6" w:space="0" w:color="2F75B5"/>
              <w:left w:val="single" w:sz="6" w:space="0" w:color="2F75B5"/>
              <w:bottom w:val="single" w:sz="6" w:space="0" w:color="2F75B5"/>
              <w:right w:val="single" w:sz="6" w:space="0" w:color="2F75B5"/>
            </w:tcBorders>
            <w:vAlign w:val="top"/>
            <w:shd w:fill="1F4E79"/>
            <w:tcMar>
              <w:top w:w="80" w:type="dxa"/>
              <w:start w:w="80" w:type="dxa"/>
              <w:bottom w:w="80" w:type="dxa"/>
              <w:end w:w="80" w:type="dxa"/>
            </w:tcMar>
          </w:tcPr>
          <w:p>
            <w:pPr>
              <w:spacing w:after="60" w:before="0" w:line="240" w:lineRule="auto"/>
            </w:pPr>
            <w:r>
              <w:rPr>
                <w:rFonts w:ascii="Calibri" w:hAnsi="Calibri" w:eastAsia="Calibri"/>
                <w:b/>
                <w:i w:val="0"/>
                <w:color w:val="FFFFFF"/>
                <w:sz w:val="24"/>
              </w:rPr>
              <w:t>Detalle</w:t>
            </w:r>
          </w:p>
        </w:tc>
      </w:tr>
      <w:tr>
        <w:trPr>
          <w:cantSplit/>
        </w:trPr>
        <w:tc>
          <w:tcPr>
            <w:tcW w:type="dxa" w:w="5184"/>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Empresa/Organización</w:t>
            </w:r>
          </w:p>
        </w:tc>
        <w:tc>
          <w:tcPr>
            <w:tcW w:type="dxa" w:w="5184"/>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HIPERMAXI</w:t>
            </w:r>
          </w:p>
        </w:tc>
      </w:tr>
      <w:tr>
        <w:trPr>
          <w:cantSplit/>
        </w:trPr>
        <w:tc>
          <w:tcPr>
            <w:tcW w:type="dxa" w:w="5184"/>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Nombre del proyecto</w:t>
            </w:r>
          </w:p>
        </w:tc>
        <w:tc>
          <w:tcPr>
            <w:tcW w:type="dxa" w:w="5184"/>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Implementación de estrategia TI para HIPERMAXI</w:t>
            </w:r>
          </w:p>
        </w:tc>
      </w:tr>
      <w:tr>
        <w:trPr>
          <w:cantSplit/>
        </w:trPr>
        <w:tc>
          <w:tcPr>
            <w:tcW w:type="dxa" w:w="5184"/>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Identificador del proyecto</w:t>
            </w:r>
          </w:p>
        </w:tc>
        <w:tc>
          <w:tcPr>
            <w:tcW w:type="dxa" w:w="5184"/>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SIGSUP</w:t>
            </w:r>
          </w:p>
        </w:tc>
      </w:tr>
      <w:tr>
        <w:trPr>
          <w:cantSplit/>
        </w:trPr>
        <w:tc>
          <w:tcPr>
            <w:tcW w:type="dxa" w:w="5184"/>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Fecha de elaboración</w:t>
            </w:r>
          </w:p>
        </w:tc>
        <w:tc>
          <w:tcPr>
            <w:tcW w:type="dxa" w:w="5184"/>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01/03/2026</w:t>
            </w:r>
          </w:p>
        </w:tc>
      </w:tr>
      <w:tr>
        <w:trPr>
          <w:cantSplit/>
        </w:trPr>
        <w:tc>
          <w:tcPr>
            <w:tcW w:type="dxa" w:w="5184"/>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Cliente</w:t>
            </w:r>
          </w:p>
        </w:tc>
        <w:tc>
          <w:tcPr>
            <w:tcW w:type="dxa" w:w="5184"/>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HIPERMAXI</w:t>
            </w:r>
          </w:p>
        </w:tc>
      </w:tr>
      <w:tr>
        <w:trPr>
          <w:cantSplit/>
        </w:trPr>
        <w:tc>
          <w:tcPr>
            <w:tcW w:type="dxa" w:w="5184"/>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Patrocinador principal</w:t>
            </w:r>
          </w:p>
        </w:tc>
        <w:tc>
          <w:tcPr>
            <w:tcW w:type="dxa" w:w="5184"/>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HIPERMAXI</w:t>
            </w:r>
          </w:p>
        </w:tc>
      </w:tr>
      <w:tr>
        <w:trPr>
          <w:cantSplit/>
        </w:trPr>
        <w:tc>
          <w:tcPr>
            <w:tcW w:type="dxa" w:w="5184"/>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Director del proyecto</w:t>
            </w:r>
          </w:p>
        </w:tc>
        <w:tc>
          <w:tcPr>
            <w:tcW w:type="dxa" w:w="5184"/>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Pablo Arauz Caballero</w:t>
            </w:r>
          </w:p>
        </w:tc>
      </w:tr>
      <w:tr>
        <w:trPr>
          <w:cantSplit/>
        </w:trPr>
        <w:tc>
          <w:tcPr>
            <w:tcW w:type="dxa" w:w="5184"/>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Base de relación</w:t>
            </w:r>
          </w:p>
        </w:tc>
        <w:tc>
          <w:tcPr>
            <w:tcW w:type="dxa" w:w="5184"/>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estructura de entregables: Cloud, Adquisiciones, Software, Redes e Infraestructura</w:t>
            </w:r>
          </w:p>
        </w:tc>
      </w:tr>
    </w:tbl>
    <w:p>
      <w:pPr>
        <w:pStyle w:val="Heading1"/>
        <w:spacing w:before="0" w:after="120" w:line="259" w:lineRule="auto"/>
      </w:pPr>
      <w:r>
        <w:rPr>
          <w:rFonts w:ascii="Arial" w:hAnsi="Arial" w:eastAsia="Calibri"/>
          <w:b/>
          <w:color w:val="1F4E79"/>
          <w:sz w:val="32"/>
        </w:rPr>
        <w:t>1.- Desarrollo del Enunciado del Alcance</w:t>
      </w:r>
    </w:p>
    <w:p>
      <w:pPr>
        <w:spacing w:after="120" w:before="0" w:line="259" w:lineRule="auto"/>
        <w:jc w:val="both"/>
      </w:pPr>
      <w:r>
        <w:rPr>
          <w:rFonts w:ascii="Calibri" w:hAnsi="Calibri" w:eastAsia="Calibri"/>
          <w:sz w:val="24"/>
        </w:rPr>
        <w:t>El enunciado del alcance del proyecto será desarrollado a partir de las necesidades de modernización tecnológica y operativa de HIPERMAXI, pero se controlará mediante entregables concretos y verificables. La finalidad es evitar que el alcance quede como una declaración general de transformación TI y convertirlo en un conjunto de productos que el cliente pueda revisar, probar y aceptar por fase.</w:t>
      </w:r>
    </w:p>
    <w:p>
      <w:pPr>
        <w:spacing w:after="120" w:before="0" w:line="259" w:lineRule="auto"/>
        <w:jc w:val="both"/>
      </w:pPr>
      <w:r>
        <w:rPr>
          <w:rFonts w:ascii="Calibri" w:hAnsi="Calibri" w:eastAsia="Calibri"/>
          <w:sz w:val="24"/>
        </w:rPr>
        <w:t>Para este documento, el alcance se organiza según la estructura de entregables aprobado para el proyecto SIGSUP: Cloud, Adquisiciones, Software, Redes e Infraestructura. Cada componente tendrá entregables, evidencias de cumplimiento, criterios de aceptación, responsables de revisión y documentación asociada. El alcance no se considerará cumplido por la sola ejecución de actividades, sino por la entrega formal de productos aceptables para HIPERMAXI.</w:t>
      </w:r>
    </w:p>
    <w:p>
      <w:pPr>
        <w:spacing w:after="120" w:before="0" w:line="259" w:lineRule="auto"/>
        <w:jc w:val="both"/>
      </w:pPr>
      <w:r>
        <w:rPr>
          <w:rFonts w:ascii="Calibri" w:hAnsi="Calibri" w:eastAsia="Calibri"/>
          <w:sz w:val="24"/>
        </w:rPr>
        <w:t>El desarrollo del alcance no se limita al software. Incluye contratación de servicios especializados, adquisición de materiales, configuración cloud, conectividad, seguridad de red, infraestructura física de TI, equipamiento operativo, pruebas, manuales, capacitación, documentación y soporte inicial.</w:t>
      </w:r>
    </w:p>
    <w:tbl>
      <w:tblPr>
        <w:tblW w:type="auto" w:w="0"/>
        <w:jc w:val="center"/>
        <w:tblLayout w:type="autofit"/>
        <w:tblLook w:firstColumn="1" w:firstRow="1" w:lastColumn="0" w:lastRow="0" w:noHBand="0" w:noVBand="1" w:val="04A0"/>
      </w:tblPr>
      <w:tblGrid>
        <w:gridCol w:w="3456"/>
        <w:gridCol w:w="3456"/>
        <w:gridCol w:w="3456"/>
      </w:tblGrid>
      <w:tr>
        <w:trPr>
          <w:cantSplit/>
        </w:trPr>
        <w:tc>
          <w:tcPr>
            <w:tcW w:type="dxa" w:w="3456"/>
            <w:tcBorders>
              <w:top w:val="single" w:sz="6" w:space="0" w:color="2F75B5"/>
              <w:left w:val="single" w:sz="6" w:space="0" w:color="2F75B5"/>
              <w:bottom w:val="single" w:sz="6" w:space="0" w:color="2F75B5"/>
              <w:right w:val="single" w:sz="6" w:space="0" w:color="2F75B5"/>
            </w:tcBorders>
            <w:vAlign w:val="top"/>
            <w:shd w:fill="1F4E79"/>
            <w:tcMar>
              <w:top w:w="80" w:type="dxa"/>
              <w:start w:w="80" w:type="dxa"/>
              <w:bottom w:w="80" w:type="dxa"/>
              <w:end w:w="80" w:type="dxa"/>
            </w:tcMar>
          </w:tcPr>
          <w:p>
            <w:pPr>
              <w:spacing w:after="60" w:before="0" w:line="240" w:lineRule="auto"/>
            </w:pPr>
            <w:r>
              <w:rPr>
                <w:rFonts w:ascii="Calibri" w:hAnsi="Calibri" w:eastAsia="Calibri"/>
                <w:b/>
                <w:i w:val="0"/>
                <w:color w:val="FFFFFF"/>
                <w:sz w:val="24"/>
              </w:rPr>
              <w:t>Componente</w:t>
            </w:r>
          </w:p>
        </w:tc>
        <w:tc>
          <w:tcPr>
            <w:tcW w:type="dxa" w:w="3456"/>
            <w:tcBorders>
              <w:top w:val="single" w:sz="6" w:space="0" w:color="2F75B5"/>
              <w:left w:val="single" w:sz="6" w:space="0" w:color="2F75B5"/>
              <w:bottom w:val="single" w:sz="6" w:space="0" w:color="2F75B5"/>
              <w:right w:val="single" w:sz="6" w:space="0" w:color="2F75B5"/>
            </w:tcBorders>
            <w:vAlign w:val="top"/>
            <w:shd w:fill="1F4E79"/>
            <w:tcMar>
              <w:top w:w="80" w:type="dxa"/>
              <w:start w:w="80" w:type="dxa"/>
              <w:bottom w:w="80" w:type="dxa"/>
              <w:end w:w="80" w:type="dxa"/>
            </w:tcMar>
          </w:tcPr>
          <w:p>
            <w:pPr>
              <w:spacing w:after="60" w:before="0" w:line="240" w:lineRule="auto"/>
            </w:pPr>
            <w:r>
              <w:rPr>
                <w:rFonts w:ascii="Calibri" w:hAnsi="Calibri" w:eastAsia="Calibri"/>
                <w:b/>
                <w:i w:val="0"/>
                <w:color w:val="FFFFFF"/>
                <w:sz w:val="24"/>
              </w:rPr>
              <w:t>Entregable principal</w:t>
            </w:r>
          </w:p>
        </w:tc>
        <w:tc>
          <w:tcPr>
            <w:tcW w:type="dxa" w:w="3456"/>
            <w:tcBorders>
              <w:top w:val="single" w:sz="6" w:space="0" w:color="2F75B5"/>
              <w:left w:val="single" w:sz="6" w:space="0" w:color="2F75B5"/>
              <w:bottom w:val="single" w:sz="6" w:space="0" w:color="2F75B5"/>
              <w:right w:val="single" w:sz="6" w:space="0" w:color="2F75B5"/>
            </w:tcBorders>
            <w:vAlign w:val="top"/>
            <w:shd w:fill="1F4E79"/>
            <w:tcMar>
              <w:top w:w="80" w:type="dxa"/>
              <w:start w:w="80" w:type="dxa"/>
              <w:bottom w:w="80" w:type="dxa"/>
              <w:end w:w="80" w:type="dxa"/>
            </w:tcMar>
          </w:tcPr>
          <w:p>
            <w:pPr>
              <w:spacing w:after="60" w:before="0" w:line="240" w:lineRule="auto"/>
            </w:pPr>
            <w:r>
              <w:rPr>
                <w:rFonts w:ascii="Calibri" w:hAnsi="Calibri" w:eastAsia="Calibri"/>
                <w:b/>
                <w:i w:val="0"/>
                <w:color w:val="FFFFFF"/>
                <w:sz w:val="24"/>
              </w:rPr>
              <w:t>Alcance específico incluido</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Cloud</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Servicios cloud contratados y configurados</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Asesoría cloud contratada, servicios cloud contratados, plan de respaldo y continuidad, ambientes desarrollo/pruebas/preproducción/producción, base de datos administrada, almacenamiento de documentos y respaldos, red cloud privada, usuarios/roles/accesos, monitoreo/logs/alertas, línea base mensual de costos, manual técnico y capacitación cloud.</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Adquisiciones</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Proveedores y materiales aprobados/adquiridos</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Cotizaciones recibidas, matriz técnica-económica, proveedores económicamente factibles seleccionados, materiales/equipos/servicios adquiridos, órdenes de compra, actas de recepción y procedimiento de adquisición TI documentado.</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Software</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Sistema funcional y documentado</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Diseño funcional y técnico, prototipos, modelo de datos, diseño de integraciones, módulos POS/cajas/ventas, inventario por sucursal/lote/vencimiento, compras/proveedores, contabilidad web, logística/traspasos, BI/reportes gerenciales, datos migrados y depurados, documentación técnica, pruebas internas, UAT por área, manuales por rol y acta de aceptación.</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Redes</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Red operativa, segura y documentada</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Experto en redes contratado, servicios de conectividad contratados, personal operativo contratado, terreno preparado, switches/routers instalados, puntos de acceso colocados, cableado estructurado implementado, VPN sucursal-cloud configurada, firewalls y VLAN cajas/admin/invitados, acceso seguro para soporte, pruebas de latencia/velocidad/failover, documentación as-built, manuales y capacitación de operación de red.</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Infraestructura</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Infraestructura física de TI instalada y lista para operar</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Experto de infraestructura contratado, personal necesario contratado, terreno preparado, racks y gabinetes instalados, UPS y protección eléctrica instalados, etiquetado y ordenamiento, equipamiento de tienda instalado, terminales POS, lectores, impresoras, balanzas, equipos de almacén/oficina, equipo edge/local, repositorio de respaldo, seguridad física de TI, señalética, controles de acceso, herramientas varias, plan de mantenimiento, mesa de ayuda y escalamiento, manuales y capacitación.</w:t>
            </w:r>
          </w:p>
        </w:tc>
      </w:tr>
    </w:tbl>
    <w:p>
      <w:pPr>
        <w:pStyle w:val="Heading2"/>
        <w:spacing w:before="0" w:after="120" w:line="259" w:lineRule="auto"/>
      </w:pPr>
      <w:r>
        <w:rPr>
          <w:rFonts w:ascii="Arial" w:hAnsi="Arial" w:eastAsia="Calibri"/>
          <w:b/>
          <w:color w:val="1F4E79"/>
          <w:sz w:val="28"/>
        </w:rPr>
        <w:t>Entregables principales considerados</w:t>
      </w:r>
    </w:p>
    <w:p>
      <w:pPr>
        <w:pStyle w:val="ListBullet"/>
        <w:spacing w:after="120" w:before="0" w:line="259" w:lineRule="auto"/>
        <w:jc w:val="center"/>
      </w:pPr>
      <w:r>
        <w:rPr>
          <w:rFonts w:ascii="Calibri" w:hAnsi="Calibri" w:eastAsia="Calibri"/>
          <w:b/>
          <w:color w:val="1F4E79"/>
          <w:sz w:val="24"/>
        </w:rPr>
        <w:t>Plan y contratación de asesoría cloud, servicios cloud, respaldo, continuidad y seguridad cloud.</w:t>
      </w:r>
    </w:p>
    <w:p>
      <w:pPr>
        <w:pStyle w:val="ListBullet"/>
        <w:spacing w:after="120" w:before="0" w:line="259" w:lineRule="auto"/>
      </w:pPr>
      <w:r>
        <w:rPr>
          <w:rFonts w:ascii="Calibri" w:hAnsi="Calibri" w:eastAsia="Calibri"/>
          <w:sz w:val="24"/>
        </w:rPr>
        <w:t>Matriz de cotización, selección y adquisición de proveedores/materiales con evidencia económica y técnica.</w:t>
      </w:r>
    </w:p>
    <w:p>
      <w:pPr>
        <w:pStyle w:val="ListBullet"/>
        <w:spacing w:after="120" w:before="0" w:line="259" w:lineRule="auto"/>
      </w:pPr>
      <w:r>
        <w:rPr>
          <w:rFonts w:ascii="Calibri" w:hAnsi="Calibri" w:eastAsia="Calibri"/>
          <w:sz w:val="24"/>
        </w:rPr>
        <w:t>Sistema de software de operación y gestión con datos migrados, pruebas, documentación técnica, capacitación y manuales por rol.</w:t>
      </w:r>
    </w:p>
    <w:p>
      <w:pPr>
        <w:pStyle w:val="ListBullet"/>
        <w:spacing w:after="120" w:before="0" w:line="259" w:lineRule="auto"/>
      </w:pPr>
      <w:r>
        <w:rPr>
          <w:rFonts w:ascii="Calibri" w:hAnsi="Calibri" w:eastAsia="Calibri"/>
          <w:sz w:val="24"/>
        </w:rPr>
        <w:t>Red corporativa instalada, segura, con VPN sucursal-cloud, VLAN, firewall, pruebas y documentación as-built.</w:t>
      </w:r>
    </w:p>
    <w:p>
      <w:pPr>
        <w:pStyle w:val="ListBullet"/>
        <w:spacing w:after="120" w:before="0" w:line="259" w:lineRule="auto"/>
      </w:pPr>
      <w:r>
        <w:rPr>
          <w:rFonts w:ascii="Calibri" w:hAnsi="Calibri" w:eastAsia="Calibri"/>
          <w:sz w:val="24"/>
        </w:rPr>
        <w:t>Infraestructura física de TI instalada, energizada, etiquetada, protegida y soportada por plan de mantenimiento y mesa de ayuda.</w:t>
      </w:r>
    </w:p>
    <w:p>
      <w:pPr>
        <w:pStyle w:val="ListBullet"/>
        <w:spacing w:after="120" w:before="0" w:line="259" w:lineRule="auto"/>
      </w:pPr>
      <w:r>
        <w:rPr>
          <w:rFonts w:ascii="Calibri" w:hAnsi="Calibri" w:eastAsia="Calibri"/>
          <w:sz w:val="24"/>
        </w:rPr>
        <w:t>Actas de aceptación por componente y cierre formal del alcance.</w:t>
      </w:r>
    </w:p>
    <w:p>
      <w:pPr>
        <w:pStyle w:val="Heading1"/>
        <w:spacing w:before="0" w:after="120" w:line="259" w:lineRule="auto"/>
      </w:pPr>
      <w:r>
        <w:rPr>
          <w:rFonts w:ascii="Arial" w:hAnsi="Arial" w:eastAsia="Calibri"/>
          <w:b/>
          <w:color w:val="1F4E79"/>
          <w:sz w:val="32"/>
        </w:rPr>
        <w:t>2.- Estructura del EDT/WBS</w:t>
      </w:r>
    </w:p>
    <w:p>
      <w:pPr>
        <w:spacing w:after="120" w:before="0" w:line="259" w:lineRule="auto"/>
        <w:jc w:val="both"/>
      </w:pPr>
      <w:r>
        <w:rPr>
          <w:rFonts w:ascii="Calibri" w:hAnsi="Calibri" w:eastAsia="Calibri"/>
          <w:sz w:val="24"/>
        </w:rPr>
        <w:t>La Estructura de Desglose del Trabajo — EDT/WBS — será utilizada para organizar el alcance de HIPERMAXI en cuentas de control y paquetes entregables. La estructura prioriza productos verificables y no actividades aisladas. Por ello, cada elemento del EDT debe terminar en un entregable que pueda ser revisado, medido y aceptado.</w:t>
      </w:r>
    </w:p>
    <w:p>
      <w:pPr>
        <w:spacing w:after="120" w:before="0" w:line="259" w:lineRule="auto"/>
        <w:jc w:val="both"/>
      </w:pPr>
      <w:r>
        <w:rPr>
          <w:rFonts w:ascii="Calibri" w:hAnsi="Calibri" w:eastAsia="Calibri"/>
          <w:sz w:val="24"/>
        </w:rPr>
        <w:t>La jerarquía del EDT será la siguiente: Nivel 0: Proyecto SIGSUP; Nivel 1: Cuenta de control; Nivel 2: Paquete entregable; Nivel 3: Subentregables; Nivel 4: evidencia, documentación, manuales, capacitación y acta de aceptación cuando corresponda.</w:t>
      </w:r>
    </w:p>
    <w:tbl>
      <w:tblPr>
        <w:tblW w:type="auto" w:w="0"/>
        <w:jc w:val="center"/>
        <w:tblLayout w:type="autofit"/>
        <w:tblLook w:firstColumn="1" w:firstRow="1" w:lastColumn="0" w:lastRow="0" w:noHBand="0" w:noVBand="1" w:val="04A0"/>
      </w:tblPr>
      <w:tblGrid>
        <w:gridCol w:w="3456"/>
        <w:gridCol w:w="3456"/>
        <w:gridCol w:w="3456"/>
      </w:tblGrid>
      <w:tr>
        <w:trPr>
          <w:cantSplit/>
        </w:trPr>
        <w:tc>
          <w:tcPr>
            <w:tcW w:type="dxa" w:w="3456"/>
            <w:tcBorders>
              <w:top w:val="single" w:sz="6" w:space="0" w:color="2F75B5"/>
              <w:left w:val="single" w:sz="6" w:space="0" w:color="2F75B5"/>
              <w:bottom w:val="single" w:sz="6" w:space="0" w:color="2F75B5"/>
              <w:right w:val="single" w:sz="6" w:space="0" w:color="2F75B5"/>
            </w:tcBorders>
            <w:vAlign w:val="top"/>
            <w:shd w:fill="1F4E79"/>
            <w:tcMar>
              <w:top w:w="80" w:type="dxa"/>
              <w:start w:w="80" w:type="dxa"/>
              <w:bottom w:w="80" w:type="dxa"/>
              <w:end w:w="80" w:type="dxa"/>
            </w:tcMar>
          </w:tcPr>
          <w:p>
            <w:pPr>
              <w:spacing w:after="60" w:before="0" w:line="240" w:lineRule="auto"/>
            </w:pPr>
            <w:r>
              <w:rPr>
                <w:rFonts w:ascii="Calibri" w:hAnsi="Calibri" w:eastAsia="Calibri"/>
                <w:b/>
                <w:i w:val="0"/>
                <w:color w:val="FFFFFF"/>
                <w:sz w:val="24"/>
              </w:rPr>
              <w:t>Código EDT</w:t>
            </w:r>
          </w:p>
        </w:tc>
        <w:tc>
          <w:tcPr>
            <w:tcW w:type="dxa" w:w="3456"/>
            <w:tcBorders>
              <w:top w:val="single" w:sz="6" w:space="0" w:color="2F75B5"/>
              <w:left w:val="single" w:sz="6" w:space="0" w:color="2F75B5"/>
              <w:bottom w:val="single" w:sz="6" w:space="0" w:color="2F75B5"/>
              <w:right w:val="single" w:sz="6" w:space="0" w:color="2F75B5"/>
            </w:tcBorders>
            <w:vAlign w:val="top"/>
            <w:shd w:fill="1F4E79"/>
            <w:tcMar>
              <w:top w:w="80" w:type="dxa"/>
              <w:start w:w="80" w:type="dxa"/>
              <w:bottom w:w="80" w:type="dxa"/>
              <w:end w:w="80" w:type="dxa"/>
            </w:tcMar>
          </w:tcPr>
          <w:p>
            <w:pPr>
              <w:spacing w:after="60" w:before="0" w:line="240" w:lineRule="auto"/>
            </w:pPr>
            <w:r>
              <w:rPr>
                <w:rFonts w:ascii="Calibri" w:hAnsi="Calibri" w:eastAsia="Calibri"/>
                <w:b/>
                <w:i w:val="0"/>
                <w:color w:val="FFFFFF"/>
                <w:sz w:val="24"/>
              </w:rPr>
              <w:t>Elemento EDT</w:t>
            </w:r>
          </w:p>
        </w:tc>
        <w:tc>
          <w:tcPr>
            <w:tcW w:type="dxa" w:w="3456"/>
            <w:tcBorders>
              <w:top w:val="single" w:sz="6" w:space="0" w:color="2F75B5"/>
              <w:left w:val="single" w:sz="6" w:space="0" w:color="2F75B5"/>
              <w:bottom w:val="single" w:sz="6" w:space="0" w:color="2F75B5"/>
              <w:right w:val="single" w:sz="6" w:space="0" w:color="2F75B5"/>
            </w:tcBorders>
            <w:vAlign w:val="top"/>
            <w:shd w:fill="1F4E79"/>
            <w:tcMar>
              <w:top w:w="80" w:type="dxa"/>
              <w:start w:w="80" w:type="dxa"/>
              <w:bottom w:w="80" w:type="dxa"/>
              <w:end w:w="80" w:type="dxa"/>
            </w:tcMar>
          </w:tcPr>
          <w:p>
            <w:pPr>
              <w:spacing w:after="60" w:before="0" w:line="240" w:lineRule="auto"/>
            </w:pPr>
            <w:r>
              <w:rPr>
                <w:rFonts w:ascii="Calibri" w:hAnsi="Calibri" w:eastAsia="Calibri"/>
                <w:b/>
                <w:i w:val="0"/>
                <w:color w:val="FFFFFF"/>
                <w:sz w:val="24"/>
              </w:rPr>
              <w:t>Tipo</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0.0</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SIGSUP - Implementación de estrategia TI para HIPERMAXI</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Proyecto integral</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1.0</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Cloud</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Cuenta de control</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1.1</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Contratación de servicios de asesoría cloud</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Paquete entregable</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1.2</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Contratación de servicios cloud</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Paquete entregable</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1.3</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Configuración de plan de respaldo y continuidad</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Paquete entregable</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1.4</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Configuración de ambientes de desarrollo, pruebas, preproducción y producción</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Paquete entregable</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1.5</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Configuración de servicios cloud: base de datos administrada, almacenamiento y red cloud privada</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Paquete entregable</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1.6</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Seguridad y operación cloud: usuarios, roles, accesos, monitoreo, logs, alertas y costos</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Paquete entregable</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1.7</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Manual técnico y capacitación de operación cloud</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Paquete entregable</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2.0</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Adquisiciones</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Cuenta de control</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2.1</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Cotización de proveedores</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Paquete entregable</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2.2</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Selección de proveedores económicamente factibles</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Paquete entregable</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2.3</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Adquisición de materiales, equipos y servicios</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Paquete entregable</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2.4</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Recepción, control documental y cierre de adquisiciones</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Paquete entregable</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3.0</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Software</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Cuenta de control</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3.1</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Diseño funcional y técnico</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Paquete entregable</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3.2</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Módulos de operación implementados</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Paquete entregable</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3.3</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Módulos de gestión implementados</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Paquete entregable</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3.4</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Datos migrados y depurados</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Paquete entregable</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3.5</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Documentación técnica</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Paquete entregable</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3.6</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Pruebas, capacitación, manuales y acta de aceptación</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Paquete entregable</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4.0</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Redes</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Cuenta de control</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4.1</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Contratación de experto en redes</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Paquete entregable</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4.2</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Contratación de servicios de conectividad</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Paquete entregable</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4.3</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Contratación de personal operativo</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Paquete entregable</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4.4</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Preparación del terreno</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Paquete entregable</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4.5</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Configuración e instalación de switches, router y dispositivos de red</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Paquete entregable</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4.6</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Colocación de puntos de acceso</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Paquete entregable</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4.7</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Implementación de cableado estructurado</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Paquete entregable</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4.8</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Configuración de VPN sucursal-cloud</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Paquete entregable</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4.9</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Seguridad de red: firewalls, VLAN cajas/admin/invitados y acceso seguro para soporte</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Paquete entregable</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4.10</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Pruebas y documentación: latencia, velocidad, failover y as-built</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Paquete entregable</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4.11</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Manual operativo y capacitación de redes</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Paquete entregable</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5.0</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Infraestructura</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Cuenta de control</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5.1</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Contratación de experto en infraestructura</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Paquete entregable</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5.2</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Contratación de personal para preparación del terreno</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Paquete entregable</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5.3</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Preparación del terreno</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Paquete entregable</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5.4</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Instalación de racks y gabinetes</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Paquete entregable</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5.5</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Instalación de UPS y protección eléctrica</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Paquete entregable</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5.6</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Etiquetado y ordenamiento</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Paquete entregable</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5.7</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Instalación de equipamiento de tienda, POS, lectores, impresoras, balanzas y equipos de almacén/oficina</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Paquete entregable</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5.8</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Respaldo local y continuidad: equipo edge/local y repositorio de respaldo</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Paquete entregable</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5.9</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Seguridad física de TI: señalética, controles de acceso y herramientas varias</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Paquete entregable</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5.10</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jc w:val="center"/>
            </w:pPr>
            <w:r>
              <w:rPr>
                <w:rFonts w:ascii="Calibri" w:hAnsi="Calibri" w:eastAsia="Calibri"/>
                <w:b/>
                <w:i w:val="0"/>
                <w:color w:val="1F4E79"/>
                <w:sz w:val="24"/>
              </w:rPr>
              <w:t>Plan de mantenimiento, mesa de ayuda y escalamiento</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Paquete entregable</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5.11</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Manual de operación y capacitación de infraestructura</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Paquete entregable</w:t>
            </w:r>
          </w:p>
        </w:tc>
      </w:tr>
    </w:tbl>
    <w:p>
      <w:pPr>
        <w:pStyle w:val="Heading1"/>
        <w:spacing w:before="0" w:after="120" w:line="259" w:lineRule="auto"/>
      </w:pPr>
      <w:r>
        <w:rPr>
          <w:rFonts w:ascii="Arial" w:hAnsi="Arial" w:eastAsia="Calibri"/>
          <w:b/>
          <w:color w:val="1F4E79"/>
          <w:sz w:val="32"/>
        </w:rPr>
        <w:t>3.- Diccionario de datos</w:t>
      </w:r>
    </w:p>
    <w:p>
      <w:pPr>
        <w:spacing w:after="120" w:before="0" w:line="259" w:lineRule="auto"/>
        <w:jc w:val="both"/>
      </w:pPr>
      <w:r>
        <w:rPr>
          <w:rFonts w:ascii="Calibri" w:hAnsi="Calibri" w:eastAsia="Calibri"/>
          <w:sz w:val="24"/>
        </w:rPr>
        <w:t>El diccionario de datos será elaborado para asegurar que los datos que alimentan el software, la nube, los reportes, los accesos y la operación de HIPERMAXI se encuentren definidos de manera consistente. Este punto se mantiene porque es relevante para la migración, integración, seguridad, auditoría y operación posterior del sistema.</w:t>
      </w:r>
    </w:p>
    <w:p>
      <w:pPr>
        <w:spacing w:after="120" w:before="0" w:line="259" w:lineRule="auto"/>
        <w:jc w:val="both"/>
      </w:pPr>
      <w:r>
        <w:rPr>
          <w:rFonts w:ascii="Calibri" w:hAnsi="Calibri" w:eastAsia="Calibri"/>
          <w:sz w:val="24"/>
        </w:rPr>
        <w:t>El diccionario de datos no reemplaza al diccionario EDT. En este plan, el diccionario de datos documentará campos operativos y técnicos; el diccionario EDT documentará paquetes de trabajo, responsables, criterios de aceptación y evidencias. Ambos deben mantenerse alineados.</w:t>
      </w:r>
    </w:p>
    <w:tbl>
      <w:tblPr>
        <w:tblW w:type="auto" w:w="0"/>
        <w:jc w:val="center"/>
        <w:tblLayout w:type="autofit"/>
        <w:tblLook w:firstColumn="1" w:firstRow="1" w:lastColumn="0" w:lastRow="0" w:noHBand="0" w:noVBand="1" w:val="04A0"/>
      </w:tblPr>
      <w:tblGrid>
        <w:gridCol w:w="3456"/>
        <w:gridCol w:w="3456"/>
        <w:gridCol w:w="3456"/>
      </w:tblGrid>
      <w:tr>
        <w:trPr>
          <w:cantSplit/>
        </w:trPr>
        <w:tc>
          <w:tcPr>
            <w:tcW w:type="dxa" w:w="3456"/>
            <w:tcBorders>
              <w:top w:val="single" w:sz="6" w:space="0" w:color="2F75B5"/>
              <w:left w:val="single" w:sz="6" w:space="0" w:color="2F75B5"/>
              <w:bottom w:val="single" w:sz="6" w:space="0" w:color="2F75B5"/>
              <w:right w:val="single" w:sz="6" w:space="0" w:color="2F75B5"/>
            </w:tcBorders>
            <w:vAlign w:val="top"/>
            <w:shd w:fill="1F4E79"/>
            <w:tcMar>
              <w:top w:w="80" w:type="dxa"/>
              <w:start w:w="80" w:type="dxa"/>
              <w:bottom w:w="80" w:type="dxa"/>
              <w:end w:w="80" w:type="dxa"/>
            </w:tcMar>
          </w:tcPr>
          <w:p>
            <w:pPr>
              <w:spacing w:after="60" w:before="0" w:line="240" w:lineRule="auto"/>
            </w:pPr>
            <w:r>
              <w:rPr>
                <w:rFonts w:ascii="Calibri" w:hAnsi="Calibri" w:eastAsia="Calibri"/>
                <w:b/>
                <w:i w:val="0"/>
                <w:color w:val="FFFFFF"/>
                <w:sz w:val="24"/>
              </w:rPr>
              <w:t>Categoría de datos</w:t>
            </w:r>
          </w:p>
        </w:tc>
        <w:tc>
          <w:tcPr>
            <w:tcW w:type="dxa" w:w="3456"/>
            <w:tcBorders>
              <w:top w:val="single" w:sz="6" w:space="0" w:color="2F75B5"/>
              <w:left w:val="single" w:sz="6" w:space="0" w:color="2F75B5"/>
              <w:bottom w:val="single" w:sz="6" w:space="0" w:color="2F75B5"/>
              <w:right w:val="single" w:sz="6" w:space="0" w:color="2F75B5"/>
            </w:tcBorders>
            <w:vAlign w:val="top"/>
            <w:shd w:fill="1F4E79"/>
            <w:tcMar>
              <w:top w:w="80" w:type="dxa"/>
              <w:start w:w="80" w:type="dxa"/>
              <w:bottom w:w="80" w:type="dxa"/>
              <w:end w:w="80" w:type="dxa"/>
            </w:tcMar>
          </w:tcPr>
          <w:p>
            <w:pPr>
              <w:spacing w:after="60" w:before="0" w:line="240" w:lineRule="auto"/>
            </w:pPr>
            <w:r>
              <w:rPr>
                <w:rFonts w:ascii="Calibri" w:hAnsi="Calibri" w:eastAsia="Calibri"/>
                <w:b/>
                <w:i w:val="0"/>
                <w:color w:val="FFFFFF"/>
                <w:sz w:val="24"/>
              </w:rPr>
              <w:t>Campos o elementos mínimos</w:t>
            </w:r>
          </w:p>
        </w:tc>
        <w:tc>
          <w:tcPr>
            <w:tcW w:type="dxa" w:w="3456"/>
            <w:tcBorders>
              <w:top w:val="single" w:sz="6" w:space="0" w:color="2F75B5"/>
              <w:left w:val="single" w:sz="6" w:space="0" w:color="2F75B5"/>
              <w:bottom w:val="single" w:sz="6" w:space="0" w:color="2F75B5"/>
              <w:right w:val="single" w:sz="6" w:space="0" w:color="2F75B5"/>
            </w:tcBorders>
            <w:vAlign w:val="top"/>
            <w:shd w:fill="1F4E79"/>
            <w:tcMar>
              <w:top w:w="80" w:type="dxa"/>
              <w:start w:w="80" w:type="dxa"/>
              <w:bottom w:w="80" w:type="dxa"/>
              <w:end w:w="80" w:type="dxa"/>
            </w:tcMar>
          </w:tcPr>
          <w:p>
            <w:pPr>
              <w:spacing w:after="60" w:before="0" w:line="240" w:lineRule="auto"/>
            </w:pPr>
            <w:r>
              <w:rPr>
                <w:rFonts w:ascii="Calibri" w:hAnsi="Calibri" w:eastAsia="Calibri"/>
                <w:b/>
                <w:i w:val="0"/>
                <w:color w:val="FFFFFF"/>
                <w:sz w:val="24"/>
              </w:rPr>
              <w:t>Componente relacionado</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Productos</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SKU, código de barras, descripción, categoría, unidad, precio, impuesto, estado</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Software / Inventarios / Ventas</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Lotes y vencimientos</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Lote, fecha de ingreso, fecha de vencimiento, stock por sucursal, alertas</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Software / Inventarios / Logística</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Proveedores</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NIT, razón social, condiciones comerciales, contacto, estado, documentación</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Software / Compras / Adquisiciones</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Ventas y cajas</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Número de venta, caja, cajero, productos vendidos, descuentos, forma de pago, comprobante</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Software / POS / Contabilidad</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Compras</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Orden de compra, proveedor, productos, cantidades, recepción, factura, estado</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Software / Compras / Contabilidad</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Usuarios y roles</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Usuario, rol, área, sucursal, permisos, estado, bitácora, autenticación</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Cloud / Software / Seguridad</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Sucursales y áreas</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Sucursal, ubicación, área, responsable, punto de red, equipamiento asociado</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Redes / Infraestructura / Software</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Equipamiento TI</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Código activo, tipo de equipo, ubicación, estado, garantía, proveedor, responsable</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Infraestructura / Adquisiciones</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Red y conectividad</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IP, VLAN, segmento, enlace, equipo, punto de red, estado, prueba de velocidad</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Redes / Cloud</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Respaldo y continuidad</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Repositorio, frecuencia, retención, responsable, prueba de restauración, resultado</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Cloud / Infraestructura</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Reportes gerenciales</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Indicador, fuente de datos, periodicidad, área dueña, regla de cálculo</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Software / BI / Gerencia</w:t>
            </w:r>
          </w:p>
        </w:tc>
      </w:tr>
    </w:tbl>
    <w:p>
      <w:pPr>
        <w:pStyle w:val="Heading1"/>
        <w:spacing w:before="0" w:after="120" w:line="259" w:lineRule="auto"/>
      </w:pPr>
      <w:r>
        <w:rPr>
          <w:rFonts w:ascii="Arial" w:hAnsi="Arial" w:eastAsia="Calibri"/>
          <w:b/>
          <w:color w:val="1F4E79"/>
          <w:sz w:val="32"/>
        </w:rPr>
        <w:t>4.- Mantenimiento a la Línea Base del Alcance</w:t>
      </w:r>
    </w:p>
    <w:p>
      <w:pPr>
        <w:spacing w:after="120" w:before="0" w:line="259" w:lineRule="auto"/>
        <w:jc w:val="both"/>
      </w:pPr>
      <w:r>
        <w:rPr>
          <w:rFonts w:ascii="Calibri" w:hAnsi="Calibri" w:eastAsia="Calibri"/>
          <w:sz w:val="24"/>
        </w:rPr>
        <w:t>La línea base del alcance estará compuesta por el enunciado del alcance aprobado, la EDT/WBS final, el diccionario de datos, el diccionario EDT, los criterios de aceptación, exclusiones, restricciones, supuestos y actas de aprobación de entregables. Su mantenimiento será formal porque el proyecto integra componentes con alta dependencia entre sí: nube, adquisiciones, software, red e infraestructura.</w:t>
      </w:r>
    </w:p>
    <w:p>
      <w:pPr>
        <w:spacing w:after="120" w:before="0" w:line="259" w:lineRule="auto"/>
        <w:jc w:val="both"/>
      </w:pPr>
      <w:r>
        <w:rPr>
          <w:rFonts w:ascii="Calibri" w:hAnsi="Calibri" w:eastAsia="Calibri"/>
          <w:sz w:val="24"/>
        </w:rPr>
        <w:t>La línea base no podrá modificarse por solicitudes informales. Cualquier nuevo módulo, equipo, enlace, ambiente, integración, proveedor, política de seguridad, cambio de arquitectura o ampliación de alcance deberá pasar por control de cambios.</w:t>
      </w:r>
    </w:p>
    <w:tbl>
      <w:tblPr>
        <w:tblW w:type="auto" w:w="0"/>
        <w:jc w:val="center"/>
        <w:tblLayout w:type="autofit"/>
        <w:tblLook w:firstColumn="1" w:firstRow="1" w:lastColumn="0" w:lastRow="0" w:noHBand="0" w:noVBand="1" w:val="04A0"/>
      </w:tblPr>
      <w:tblGrid>
        <w:gridCol w:w="3456"/>
        <w:gridCol w:w="3456"/>
        <w:gridCol w:w="3456"/>
      </w:tblGrid>
      <w:tr>
        <w:trPr>
          <w:cantSplit/>
        </w:trPr>
        <w:tc>
          <w:tcPr>
            <w:tcW w:type="dxa" w:w="3456"/>
            <w:tcBorders>
              <w:top w:val="single" w:sz="6" w:space="0" w:color="2F75B5"/>
              <w:left w:val="single" w:sz="6" w:space="0" w:color="2F75B5"/>
              <w:bottom w:val="single" w:sz="6" w:space="0" w:color="2F75B5"/>
              <w:right w:val="single" w:sz="6" w:space="0" w:color="2F75B5"/>
            </w:tcBorders>
            <w:vAlign w:val="top"/>
            <w:shd w:fill="1F4E79"/>
            <w:tcMar>
              <w:top w:w="80" w:type="dxa"/>
              <w:start w:w="80" w:type="dxa"/>
              <w:bottom w:w="80" w:type="dxa"/>
              <w:end w:w="80" w:type="dxa"/>
            </w:tcMar>
          </w:tcPr>
          <w:p>
            <w:pPr>
              <w:spacing w:after="60" w:before="0" w:line="240" w:lineRule="auto"/>
            </w:pPr>
            <w:r>
              <w:rPr>
                <w:rFonts w:ascii="Calibri" w:hAnsi="Calibri" w:eastAsia="Calibri"/>
                <w:b/>
                <w:i w:val="0"/>
                <w:color w:val="FFFFFF"/>
                <w:sz w:val="24"/>
              </w:rPr>
              <w:t>Tipo de cambio</w:t>
            </w:r>
          </w:p>
        </w:tc>
        <w:tc>
          <w:tcPr>
            <w:tcW w:type="dxa" w:w="3456"/>
            <w:tcBorders>
              <w:top w:val="single" w:sz="6" w:space="0" w:color="2F75B5"/>
              <w:left w:val="single" w:sz="6" w:space="0" w:color="2F75B5"/>
              <w:bottom w:val="single" w:sz="6" w:space="0" w:color="2F75B5"/>
              <w:right w:val="single" w:sz="6" w:space="0" w:color="2F75B5"/>
            </w:tcBorders>
            <w:vAlign w:val="top"/>
            <w:shd w:fill="1F4E79"/>
            <w:tcMar>
              <w:top w:w="80" w:type="dxa"/>
              <w:start w:w="80" w:type="dxa"/>
              <w:bottom w:w="80" w:type="dxa"/>
              <w:end w:w="80" w:type="dxa"/>
            </w:tcMar>
          </w:tcPr>
          <w:p>
            <w:pPr>
              <w:spacing w:after="60" w:before="0" w:line="240" w:lineRule="auto"/>
            </w:pPr>
            <w:r>
              <w:rPr>
                <w:rFonts w:ascii="Calibri" w:hAnsi="Calibri" w:eastAsia="Calibri"/>
                <w:b/>
                <w:i w:val="0"/>
                <w:color w:val="FFFFFF"/>
                <w:sz w:val="24"/>
              </w:rPr>
              <w:t>Descripción aplicable al proyecto</w:t>
            </w:r>
          </w:p>
        </w:tc>
        <w:tc>
          <w:tcPr>
            <w:tcW w:type="dxa" w:w="3456"/>
            <w:tcBorders>
              <w:top w:val="single" w:sz="6" w:space="0" w:color="2F75B5"/>
              <w:left w:val="single" w:sz="6" w:space="0" w:color="2F75B5"/>
              <w:bottom w:val="single" w:sz="6" w:space="0" w:color="2F75B5"/>
              <w:right w:val="single" w:sz="6" w:space="0" w:color="2F75B5"/>
            </w:tcBorders>
            <w:vAlign w:val="top"/>
            <w:shd w:fill="1F4E79"/>
            <w:tcMar>
              <w:top w:w="80" w:type="dxa"/>
              <w:start w:w="80" w:type="dxa"/>
              <w:bottom w:w="80" w:type="dxa"/>
              <w:end w:w="80" w:type="dxa"/>
            </w:tcMar>
          </w:tcPr>
          <w:p>
            <w:pPr>
              <w:spacing w:after="60" w:before="0" w:line="240" w:lineRule="auto"/>
            </w:pPr>
            <w:r>
              <w:rPr>
                <w:rFonts w:ascii="Calibri" w:hAnsi="Calibri" w:eastAsia="Calibri"/>
                <w:b/>
                <w:i w:val="0"/>
                <w:color w:val="FFFFFF"/>
                <w:sz w:val="24"/>
              </w:rPr>
              <w:t>Aprobación requerida</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Cambio menor</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Ajuste documental o de presentación que no altera entregables, costo, cronograma ni criterios de aceptación.</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Director del proyecto</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Cambio moderado</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Modificación que afecta subentregables, responsables, secuencia de ejecución o documentación técnica.</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Director del proyecto y área involucrada</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Cambio mayor</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Cambio que afecta un paquete EDT principal: Cloud, Adquisiciones, Software, Redes o Infraestructura.</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Comité del proyecto / Gerencia de HIPERMAXI</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Cambio crítico</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Cambio que compromete continuidad operativa, seguridad, presupuesto aprobado, arquitectura cloud/red o salida a producción.</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Aprobación ejecutiva formal</w:t>
            </w:r>
          </w:p>
        </w:tc>
      </w:tr>
    </w:tbl>
    <w:p>
      <w:pPr>
        <w:pStyle w:val="Heading1"/>
        <w:spacing w:before="0" w:after="120" w:line="259" w:lineRule="auto"/>
      </w:pPr>
      <w:r>
        <w:rPr>
          <w:rFonts w:ascii="Arial" w:hAnsi="Arial" w:eastAsia="Calibri"/>
          <w:b/>
          <w:color w:val="1F4E79"/>
          <w:sz w:val="32"/>
        </w:rPr>
        <w:t>5.- Cambios al Alcance</w:t>
      </w:r>
    </w:p>
    <w:p>
      <w:pPr>
        <w:spacing w:after="120" w:before="0" w:line="259" w:lineRule="auto"/>
        <w:jc w:val="both"/>
      </w:pPr>
      <w:r>
        <w:rPr>
          <w:rFonts w:ascii="Calibri" w:hAnsi="Calibri" w:eastAsia="Calibri"/>
          <w:sz w:val="24"/>
        </w:rPr>
        <w:t>Los cambios al alcance serán gestionados mediante una matriz formal de control de cambios. La decisión no se basará solo en si el cambio parece útil, sino en su impacto real sobre entregables, dependencias, costos, tiempo, riesgos, seguridad, operación y aceptación del cliente.</w:t>
      </w:r>
    </w:p>
    <w:p>
      <w:pPr>
        <w:spacing w:after="120" w:before="0" w:line="259" w:lineRule="auto"/>
        <w:jc w:val="both"/>
      </w:pPr>
      <w:r>
        <w:rPr>
          <w:rFonts w:ascii="Calibri" w:hAnsi="Calibri" w:eastAsia="Calibri"/>
          <w:sz w:val="24"/>
        </w:rPr>
        <w:t>Ejemplos de cambios que deberán pasar por evaluación formal: agregar nuevos módulos de software, cambiar el proveedor cloud, ampliar almacenamiento, modificar la topología de red, incorporar nuevas VLAN, agregar puntos de acceso, ampliar equipamiento POS, cambiar el esquema de respaldo, incluir nuevas sucursales, modificar criterios de UAT o incorporar controles físicos no previstos.</w:t>
      </w:r>
    </w:p>
    <w:p>
      <w:pPr>
        <w:pStyle w:val="ListBullet"/>
        <w:spacing w:after="120" w:before="0" w:line="259" w:lineRule="auto"/>
      </w:pPr>
      <w:r>
        <w:rPr>
          <w:rFonts w:ascii="Calibri" w:hAnsi="Calibri" w:eastAsia="Calibri"/>
          <w:sz w:val="24"/>
        </w:rPr>
        <w:t>Registro del cambio: código, fecha, solicitante, componente afectado y descripción.</w:t>
      </w:r>
    </w:p>
    <w:p>
      <w:pPr>
        <w:pStyle w:val="ListBullet"/>
        <w:spacing w:after="120" w:before="0" w:line="259" w:lineRule="auto"/>
      </w:pPr>
      <w:r>
        <w:rPr>
          <w:rFonts w:ascii="Calibri" w:hAnsi="Calibri" w:eastAsia="Calibri"/>
          <w:sz w:val="24"/>
        </w:rPr>
        <w:t>Evaluación técnica: impacto en arquitectura, seguridad, integración, pruebas y documentación.</w:t>
      </w:r>
    </w:p>
    <w:p>
      <w:pPr>
        <w:pStyle w:val="ListBullet"/>
        <w:spacing w:after="120" w:before="0" w:line="259" w:lineRule="auto"/>
      </w:pPr>
      <w:r>
        <w:rPr>
          <w:rFonts w:ascii="Calibri" w:hAnsi="Calibri" w:eastAsia="Calibri"/>
          <w:sz w:val="24"/>
        </w:rPr>
        <w:t>Evaluación económica: impacto en adquisiciones, servicios cloud, personal, soporte y mantenimiento.</w:t>
      </w:r>
    </w:p>
    <w:p>
      <w:pPr>
        <w:pStyle w:val="ListBullet"/>
        <w:spacing w:after="120" w:before="0" w:line="259" w:lineRule="auto"/>
      </w:pPr>
      <w:r>
        <w:rPr>
          <w:rFonts w:ascii="Calibri" w:hAnsi="Calibri" w:eastAsia="Calibri"/>
          <w:sz w:val="24"/>
        </w:rPr>
        <w:t>Evaluación de cronograma: impacto sobre hitos, dependencias y salida a producción.</w:t>
      </w:r>
    </w:p>
    <w:p>
      <w:pPr>
        <w:pStyle w:val="ListBullet"/>
        <w:spacing w:after="120" w:before="0" w:line="259" w:lineRule="auto"/>
      </w:pPr>
      <w:r>
        <w:rPr>
          <w:rFonts w:ascii="Calibri" w:hAnsi="Calibri" w:eastAsia="Calibri"/>
          <w:sz w:val="24"/>
        </w:rPr>
        <w:t>Decisión formal: aprobado, rechazado, diferido o condicionado.</w:t>
      </w:r>
    </w:p>
    <w:p>
      <w:pPr>
        <w:pStyle w:val="ListBullet"/>
        <w:spacing w:after="120" w:before="0" w:line="259" w:lineRule="auto"/>
      </w:pPr>
      <w:r>
        <w:rPr>
          <w:rFonts w:ascii="Calibri" w:hAnsi="Calibri" w:eastAsia="Calibri"/>
          <w:sz w:val="24"/>
        </w:rPr>
        <w:t>Actualización documental: EDT, alcance, cronograma, costos, riesgos, pruebas, manuales y actas.</w:t>
      </w:r>
    </w:p>
    <w:p>
      <w:pPr>
        <w:pStyle w:val="Heading1"/>
        <w:spacing w:before="0" w:after="120" w:line="259" w:lineRule="auto"/>
      </w:pPr>
      <w:r>
        <w:rPr>
          <w:rFonts w:ascii="Arial" w:hAnsi="Arial" w:eastAsia="Calibri"/>
          <w:b/>
          <w:color w:val="1F4E79"/>
          <w:sz w:val="32"/>
        </w:rPr>
        <w:t>6.- Aceptación de Entregables</w:t>
      </w:r>
    </w:p>
    <w:p>
      <w:pPr>
        <w:spacing w:after="120" w:before="0" w:line="259" w:lineRule="auto"/>
        <w:jc w:val="both"/>
      </w:pPr>
      <w:r>
        <w:rPr>
          <w:rFonts w:ascii="Calibri" w:hAnsi="Calibri" w:eastAsia="Calibri"/>
          <w:sz w:val="24"/>
        </w:rPr>
        <w:t>La aceptación de entregables se realizará mediante revisión documental, validación técnica, pruebas operativas y acta de aprobación. Cada componente tendrá criterios específicos para evitar aprobaciones ambiguas. La aceptación debe responder a una pregunta clara: ¿qué recibe HIPERMAXI y cómo se comprueba que funciona o que está listo para operar?</w:t>
      </w:r>
    </w:p>
    <w:tbl>
      <w:tblPr>
        <w:tblW w:type="auto" w:w="0"/>
        <w:jc w:val="center"/>
        <w:tblLayout w:type="autofit"/>
        <w:tblLook w:firstColumn="1" w:firstRow="1" w:lastColumn="0" w:lastRow="0" w:noHBand="0" w:noVBand="1" w:val="04A0"/>
      </w:tblPr>
      <w:tblGrid>
        <w:gridCol w:w="3456"/>
        <w:gridCol w:w="3456"/>
        <w:gridCol w:w="3456"/>
      </w:tblGrid>
      <w:tr>
        <w:trPr>
          <w:cantSplit/>
        </w:trPr>
        <w:tc>
          <w:tcPr>
            <w:tcW w:type="dxa" w:w="3456"/>
            <w:tcBorders>
              <w:top w:val="single" w:sz="6" w:space="0" w:color="2F75B5"/>
              <w:left w:val="single" w:sz="6" w:space="0" w:color="2F75B5"/>
              <w:bottom w:val="single" w:sz="6" w:space="0" w:color="2F75B5"/>
              <w:right w:val="single" w:sz="6" w:space="0" w:color="2F75B5"/>
            </w:tcBorders>
            <w:vAlign w:val="top"/>
            <w:shd w:fill="1F4E79"/>
            <w:tcMar>
              <w:top w:w="80" w:type="dxa"/>
              <w:start w:w="80" w:type="dxa"/>
              <w:bottom w:w="80" w:type="dxa"/>
              <w:end w:w="80" w:type="dxa"/>
            </w:tcMar>
          </w:tcPr>
          <w:p>
            <w:pPr>
              <w:spacing w:after="60" w:before="0" w:line="240" w:lineRule="auto"/>
            </w:pPr>
            <w:r>
              <w:rPr>
                <w:rFonts w:ascii="Calibri" w:hAnsi="Calibri" w:eastAsia="Calibri"/>
                <w:b/>
                <w:i w:val="0"/>
                <w:color w:val="FFFFFF"/>
                <w:sz w:val="24"/>
              </w:rPr>
              <w:t>Componente</w:t>
            </w:r>
          </w:p>
        </w:tc>
        <w:tc>
          <w:tcPr>
            <w:tcW w:type="dxa" w:w="3456"/>
            <w:tcBorders>
              <w:top w:val="single" w:sz="6" w:space="0" w:color="2F75B5"/>
              <w:left w:val="single" w:sz="6" w:space="0" w:color="2F75B5"/>
              <w:bottom w:val="single" w:sz="6" w:space="0" w:color="2F75B5"/>
              <w:right w:val="single" w:sz="6" w:space="0" w:color="2F75B5"/>
            </w:tcBorders>
            <w:vAlign w:val="top"/>
            <w:shd w:fill="1F4E79"/>
            <w:tcMar>
              <w:top w:w="80" w:type="dxa"/>
              <w:start w:w="80" w:type="dxa"/>
              <w:bottom w:w="80" w:type="dxa"/>
              <w:end w:w="80" w:type="dxa"/>
            </w:tcMar>
          </w:tcPr>
          <w:p>
            <w:pPr>
              <w:spacing w:after="60" w:before="0" w:line="240" w:lineRule="auto"/>
            </w:pPr>
            <w:r>
              <w:rPr>
                <w:rFonts w:ascii="Calibri" w:hAnsi="Calibri" w:eastAsia="Calibri"/>
                <w:b/>
                <w:i w:val="0"/>
                <w:color w:val="FFFFFF"/>
                <w:sz w:val="24"/>
              </w:rPr>
              <w:t>Qué debe estar completo</w:t>
            </w:r>
          </w:p>
        </w:tc>
        <w:tc>
          <w:tcPr>
            <w:tcW w:type="dxa" w:w="3456"/>
            <w:tcBorders>
              <w:top w:val="single" w:sz="6" w:space="0" w:color="2F75B5"/>
              <w:left w:val="single" w:sz="6" w:space="0" w:color="2F75B5"/>
              <w:bottom w:val="single" w:sz="6" w:space="0" w:color="2F75B5"/>
              <w:right w:val="single" w:sz="6" w:space="0" w:color="2F75B5"/>
            </w:tcBorders>
            <w:vAlign w:val="top"/>
            <w:shd w:fill="1F4E79"/>
            <w:tcMar>
              <w:top w:w="80" w:type="dxa"/>
              <w:start w:w="80" w:type="dxa"/>
              <w:bottom w:w="80" w:type="dxa"/>
              <w:end w:w="80" w:type="dxa"/>
            </w:tcMar>
          </w:tcPr>
          <w:p>
            <w:pPr>
              <w:spacing w:after="60" w:before="0" w:line="240" w:lineRule="auto"/>
            </w:pPr>
            <w:r>
              <w:rPr>
                <w:rFonts w:ascii="Calibri" w:hAnsi="Calibri" w:eastAsia="Calibri"/>
                <w:b/>
                <w:i w:val="0"/>
                <w:color w:val="FFFFFF"/>
                <w:sz w:val="24"/>
              </w:rPr>
              <w:t>Evidencia de aceptación</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Cloud</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Contrato/orden de servicio, arquitectura cloud, ambientes configurados, respaldos definidos, roles y accesos, monitoreo activo, línea base de costos.</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Acta de aceptación cloud, evidencia de ambientes, prueba de respaldo/restauración, captura de monitoreo, manual y capacitación.</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Adquisiciones</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Cotizaciones comparables, matriz de evaluación, proveedor seleccionado, materiales/equipos/servicios adquiridos y recibidos.</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Orden de compra, acta de recepción, comprobantes, checklist de conformidad y registro de proveedor aprobado.</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Software</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Diseño funcional/técnico aprobado, módulos implementados, datos migrados, pruebas internas y UAT aprobadas, manuales por rol.</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Acta UAT por área, matriz de pruebas, manuales, documentación técnica, acta de aceptación funcional y evidencia de capacitación.</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Redes</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Conectividad operativa, dispositivos configurados, AP instalados, cableado estructurado, VPN, firewall, VLAN y soporte seguro.</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Pruebas de latencia/velocidad/failover, documentación as-built, configuración respaldada, manual operativo y acta de aceptación de red.</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Infraestructura</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Racks, gabinetes, UPS, etiquetado, equipamiento de tienda, respaldo local, seguridad física, mesa de ayuda y mantenimiento.</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Checklist de instalación, acta de entrega de equipos, prueba eléctrica/UPS, inventario, manual de operación, plan de mantenimiento y acta de aceptación.</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Cierre global</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Todos los entregables aceptados, observaciones cerradas y documentación consolidada.</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Informe final de alcance, matriz de aceptación, acta de cierre y lecciones aprendidas.</w:t>
            </w:r>
          </w:p>
        </w:tc>
      </w:tr>
    </w:tbl>
    <w:tbl>
      <w:tblPr>
        <w:tblW w:type="auto" w:w="0"/>
        <w:jc w:val="center"/>
        <w:tblLayout w:type="autofit"/>
        <w:tblLook w:firstColumn="1" w:firstRow="1" w:lastColumn="0" w:lastRow="0" w:noHBand="0" w:noVBand="1" w:val="04A0"/>
      </w:tblPr>
      <w:tblGrid>
        <w:gridCol w:w="5184"/>
        <w:gridCol w:w="5184"/>
      </w:tblGrid>
      <w:tr>
        <w:trPr>
          <w:cantSplit/>
        </w:trPr>
        <w:tc>
          <w:tcPr>
            <w:tcW w:type="dxa" w:w="5184"/>
            <w:tcBorders>
              <w:top w:val="single" w:sz="6" w:space="0" w:color="2F75B5"/>
              <w:left w:val="single" w:sz="6" w:space="0" w:color="2F75B5"/>
              <w:bottom w:val="single" w:sz="6" w:space="0" w:color="2F75B5"/>
              <w:right w:val="single" w:sz="6" w:space="0" w:color="2F75B5"/>
            </w:tcBorders>
            <w:vAlign w:val="top"/>
            <w:shd w:fill="1F4E79"/>
            <w:tcMar>
              <w:top w:w="80" w:type="dxa"/>
              <w:start w:w="80" w:type="dxa"/>
              <w:bottom w:w="80" w:type="dxa"/>
              <w:end w:w="80" w:type="dxa"/>
            </w:tcMar>
          </w:tcPr>
          <w:p>
            <w:pPr>
              <w:spacing w:after="60" w:before="0" w:line="240" w:lineRule="auto"/>
            </w:pPr>
            <w:r>
              <w:rPr>
                <w:rFonts w:ascii="Calibri" w:hAnsi="Calibri" w:eastAsia="Calibri"/>
                <w:b/>
                <w:i w:val="0"/>
                <w:color w:val="FFFFFF"/>
                <w:sz w:val="24"/>
              </w:rPr>
              <w:t>Métrica</w:t>
            </w:r>
          </w:p>
        </w:tc>
        <w:tc>
          <w:tcPr>
            <w:tcW w:type="dxa" w:w="5184"/>
            <w:tcBorders>
              <w:top w:val="single" w:sz="6" w:space="0" w:color="2F75B5"/>
              <w:left w:val="single" w:sz="6" w:space="0" w:color="2F75B5"/>
              <w:bottom w:val="single" w:sz="6" w:space="0" w:color="2F75B5"/>
              <w:right w:val="single" w:sz="6" w:space="0" w:color="2F75B5"/>
            </w:tcBorders>
            <w:vAlign w:val="top"/>
            <w:shd w:fill="1F4E79"/>
            <w:tcMar>
              <w:top w:w="80" w:type="dxa"/>
              <w:start w:w="80" w:type="dxa"/>
              <w:bottom w:w="80" w:type="dxa"/>
              <w:end w:w="80" w:type="dxa"/>
            </w:tcMar>
          </w:tcPr>
          <w:p>
            <w:pPr>
              <w:spacing w:after="60" w:before="0" w:line="240" w:lineRule="auto"/>
            </w:pPr>
            <w:r>
              <w:rPr>
                <w:rFonts w:ascii="Calibri" w:hAnsi="Calibri" w:eastAsia="Calibri"/>
                <w:b/>
                <w:i w:val="0"/>
                <w:color w:val="FFFFFF"/>
                <w:sz w:val="24"/>
              </w:rPr>
              <w:t>Descripción</w:t>
            </w:r>
          </w:p>
        </w:tc>
      </w:tr>
      <w:tr>
        <w:trPr>
          <w:cantSplit/>
        </w:trPr>
        <w:tc>
          <w:tcPr>
            <w:tcW w:type="dxa" w:w="5184"/>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Porcentaje de avance del entregable</w:t>
            </w:r>
          </w:p>
        </w:tc>
        <w:tc>
          <w:tcPr>
            <w:tcW w:type="dxa" w:w="5184"/>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Avance real del paquete EDT frente al alcance aprobado.</w:t>
            </w:r>
          </w:p>
        </w:tc>
      </w:tr>
      <w:tr>
        <w:trPr>
          <w:cantSplit/>
        </w:trPr>
        <w:tc>
          <w:tcPr>
            <w:tcW w:type="dxa" w:w="5184"/>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Cumplimiento de requisitos</w:t>
            </w:r>
          </w:p>
        </w:tc>
        <w:tc>
          <w:tcPr>
            <w:tcW w:type="dxa" w:w="5184"/>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Verifica si el entregable cumple requisitos funcionales, técnicos, operativos y de seguridad.</w:t>
            </w:r>
          </w:p>
        </w:tc>
      </w:tr>
      <w:tr>
        <w:trPr>
          <w:cantSplit/>
        </w:trPr>
        <w:tc>
          <w:tcPr>
            <w:tcW w:type="dxa" w:w="5184"/>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Cumplimiento de criterios de aceptación</w:t>
            </w:r>
          </w:p>
        </w:tc>
        <w:tc>
          <w:tcPr>
            <w:tcW w:type="dxa" w:w="5184"/>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Confirma que el componente puede ser aprobado formalmente por HIPERMAXI.</w:t>
            </w:r>
          </w:p>
        </w:tc>
      </w:tr>
      <w:tr>
        <w:trPr>
          <w:cantSplit/>
        </w:trPr>
        <w:tc>
          <w:tcPr>
            <w:tcW w:type="dxa" w:w="5184"/>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Número de observaciones abiertas</w:t>
            </w:r>
          </w:p>
        </w:tc>
        <w:tc>
          <w:tcPr>
            <w:tcW w:type="dxa" w:w="5184"/>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Registra brechas pendientes antes de aceptación.</w:t>
            </w:r>
          </w:p>
        </w:tc>
      </w:tr>
      <w:tr>
        <w:trPr>
          <w:cantSplit/>
        </w:trPr>
        <w:tc>
          <w:tcPr>
            <w:tcW w:type="dxa" w:w="5184"/>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Tiempo de entrega</w:t>
            </w:r>
          </w:p>
        </w:tc>
        <w:tc>
          <w:tcPr>
            <w:tcW w:type="dxa" w:w="5184"/>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Compara fecha real contra fecha planificada.</w:t>
            </w:r>
          </w:p>
        </w:tc>
      </w:tr>
      <w:tr>
        <w:trPr>
          <w:cantSplit/>
        </w:trPr>
        <w:tc>
          <w:tcPr>
            <w:tcW w:type="dxa" w:w="5184"/>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Resultado de pruebas</w:t>
            </w:r>
          </w:p>
        </w:tc>
        <w:tc>
          <w:tcPr>
            <w:tcW w:type="dxa" w:w="5184"/>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Mide si pruebas funcionales, técnicas, seguridad, rendimiento, respaldo o conectividad fueron satisfactorias.</w:t>
            </w:r>
          </w:p>
        </w:tc>
      </w:tr>
      <w:tr>
        <w:trPr>
          <w:cantSplit/>
        </w:trPr>
        <w:tc>
          <w:tcPr>
            <w:tcW w:type="dxa" w:w="5184"/>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Nivel de capacitación completada</w:t>
            </w:r>
          </w:p>
        </w:tc>
        <w:tc>
          <w:tcPr>
            <w:tcW w:type="dxa" w:w="5184"/>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Verifica asistencia, materiales entregados y comprensión del usuario o equipo operativo.</w:t>
            </w:r>
          </w:p>
        </w:tc>
      </w:tr>
      <w:tr>
        <w:trPr>
          <w:cantSplit/>
        </w:trPr>
        <w:tc>
          <w:tcPr>
            <w:tcW w:type="dxa" w:w="5184"/>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Documentación entregada</w:t>
            </w:r>
          </w:p>
        </w:tc>
        <w:tc>
          <w:tcPr>
            <w:tcW w:type="dxa" w:w="5184"/>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Confirma manuales, as-built, documentación técnica, inventarios, configuraciones y actas.</w:t>
            </w:r>
          </w:p>
        </w:tc>
      </w:tr>
    </w:tbl>
    <w:p>
      <w:pPr>
        <w:pStyle w:val="Heading1"/>
        <w:spacing w:before="0" w:after="120" w:line="259" w:lineRule="auto"/>
      </w:pPr>
      <w:r>
        <w:rPr>
          <w:rFonts w:ascii="Arial" w:hAnsi="Arial" w:eastAsia="Calibri"/>
          <w:b/>
          <w:color w:val="1F4E79"/>
          <w:sz w:val="32"/>
        </w:rPr>
        <w:t>7.- Alcance y requerimientos de integración</w:t>
      </w:r>
    </w:p>
    <w:p>
      <w:pPr>
        <w:spacing w:after="120" w:before="0" w:line="259" w:lineRule="auto"/>
        <w:jc w:val="both"/>
      </w:pPr>
      <w:r>
        <w:rPr>
          <w:rFonts w:ascii="Calibri" w:hAnsi="Calibri" w:eastAsia="Calibri"/>
          <w:sz w:val="24"/>
        </w:rPr>
        <w:t>El alcance de integración define cómo los componentes de la estructura de entregables deberán conectarse para que la solución funcione como un proyecto integral y no como entregas aisladas. En HIPERMAXI, la integración es crítica porque el software depende de infraestructura instalada, la red depende de conectividad segura, la nube depende de respaldo y seguridad, y las adquisiciones habilitan la ejecución física y tecnológica.</w:t>
      </w:r>
    </w:p>
    <w:tbl>
      <w:tblPr>
        <w:tblW w:type="auto" w:w="0"/>
        <w:jc w:val="center"/>
        <w:tblLayout w:type="autofit"/>
        <w:tblLook w:firstColumn="1" w:firstRow="1" w:lastColumn="0" w:lastRow="0" w:noHBand="0" w:noVBand="1" w:val="04A0"/>
      </w:tblPr>
      <w:tblGrid>
        <w:gridCol w:w="3456"/>
        <w:gridCol w:w="3456"/>
        <w:gridCol w:w="3456"/>
      </w:tblGrid>
      <w:tr>
        <w:trPr>
          <w:cantSplit/>
        </w:trPr>
        <w:tc>
          <w:tcPr>
            <w:tcW w:type="dxa" w:w="3456"/>
            <w:tcBorders>
              <w:top w:val="single" w:sz="6" w:space="0" w:color="2F75B5"/>
              <w:left w:val="single" w:sz="6" w:space="0" w:color="2F75B5"/>
              <w:bottom w:val="single" w:sz="6" w:space="0" w:color="2F75B5"/>
              <w:right w:val="single" w:sz="6" w:space="0" w:color="2F75B5"/>
            </w:tcBorders>
            <w:vAlign w:val="top"/>
            <w:shd w:fill="1F4E79"/>
            <w:tcMar>
              <w:top w:w="80" w:type="dxa"/>
              <w:start w:w="80" w:type="dxa"/>
              <w:bottom w:w="80" w:type="dxa"/>
              <w:end w:w="80" w:type="dxa"/>
            </w:tcMar>
          </w:tcPr>
          <w:p>
            <w:pPr>
              <w:spacing w:after="60" w:before="0" w:line="240" w:lineRule="auto"/>
            </w:pPr>
            <w:r>
              <w:rPr>
                <w:rFonts w:ascii="Calibri" w:hAnsi="Calibri" w:eastAsia="Calibri"/>
                <w:b/>
                <w:i w:val="0"/>
                <w:color w:val="FFFFFF"/>
                <w:sz w:val="24"/>
              </w:rPr>
              <w:t>Integración</w:t>
            </w:r>
          </w:p>
        </w:tc>
        <w:tc>
          <w:tcPr>
            <w:tcW w:type="dxa" w:w="3456"/>
            <w:tcBorders>
              <w:top w:val="single" w:sz="6" w:space="0" w:color="2F75B5"/>
              <w:left w:val="single" w:sz="6" w:space="0" w:color="2F75B5"/>
              <w:bottom w:val="single" w:sz="6" w:space="0" w:color="2F75B5"/>
              <w:right w:val="single" w:sz="6" w:space="0" w:color="2F75B5"/>
            </w:tcBorders>
            <w:vAlign w:val="top"/>
            <w:shd w:fill="1F4E79"/>
            <w:tcMar>
              <w:top w:w="80" w:type="dxa"/>
              <w:start w:w="80" w:type="dxa"/>
              <w:bottom w:w="80" w:type="dxa"/>
              <w:end w:w="80" w:type="dxa"/>
            </w:tcMar>
          </w:tcPr>
          <w:p>
            <w:pPr>
              <w:spacing w:after="60" w:before="0" w:line="240" w:lineRule="auto"/>
            </w:pPr>
            <w:r>
              <w:rPr>
                <w:rFonts w:ascii="Calibri" w:hAnsi="Calibri" w:eastAsia="Calibri"/>
                <w:b/>
                <w:i w:val="0"/>
                <w:color w:val="FFFFFF"/>
                <w:sz w:val="24"/>
              </w:rPr>
              <w:t>Alcance de integración</w:t>
            </w:r>
          </w:p>
        </w:tc>
        <w:tc>
          <w:tcPr>
            <w:tcW w:type="dxa" w:w="3456"/>
            <w:tcBorders>
              <w:top w:val="single" w:sz="6" w:space="0" w:color="2F75B5"/>
              <w:left w:val="single" w:sz="6" w:space="0" w:color="2F75B5"/>
              <w:bottom w:val="single" w:sz="6" w:space="0" w:color="2F75B5"/>
              <w:right w:val="single" w:sz="6" w:space="0" w:color="2F75B5"/>
            </w:tcBorders>
            <w:vAlign w:val="top"/>
            <w:shd w:fill="1F4E79"/>
            <w:tcMar>
              <w:top w:w="80" w:type="dxa"/>
              <w:start w:w="80" w:type="dxa"/>
              <w:bottom w:w="80" w:type="dxa"/>
              <w:end w:w="80" w:type="dxa"/>
            </w:tcMar>
          </w:tcPr>
          <w:p>
            <w:pPr>
              <w:spacing w:after="60" w:before="0" w:line="240" w:lineRule="auto"/>
            </w:pPr>
            <w:r>
              <w:rPr>
                <w:rFonts w:ascii="Calibri" w:hAnsi="Calibri" w:eastAsia="Calibri"/>
                <w:b/>
                <w:i w:val="0"/>
                <w:color w:val="FFFFFF"/>
                <w:sz w:val="24"/>
              </w:rPr>
              <w:t>Criterio mínimo de aceptación</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Cloud - Software</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El software utilizará ambientes cloud, base de datos administrada, almacenamiento de documentos y respaldos.</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Ambientes disponibles, conexión segura, roles definidos y pruebas de acceso.</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Cloud - Redes</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La red deberá conectarse de forma segura con los servicios cloud mediante VPN sucursal-cloud.</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VPN operativa, firewall configurado, latencia aceptable y failover probado.</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Cloud - Infraestructura</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El equipo edge/local y repositorio de respaldo deberán integrarse con el plan cloud de continuidad.</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Prueba de respaldo/restauración y documentación de continuidad.</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Adquisiciones - Redes</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La compra de switches, routers, AP, cableado y servicios de conectividad habilita la red.</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Actas de recepción y checklist de instalación.</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Adquisiciones - Infraestructura</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La compra de racks, UPS, POS, lectores, impresoras, balanzas y herramientas habilita la operación física.</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Inventario de activos, actas de recepción y etiquetado.</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Adquisiciones - Software</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Licencias, servicios, equipos y proveedores deben corresponder a los módulos y usuarios definidos.</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Matriz de trazabilidad entre requerimientos, compras y módulos.</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Software - Redes</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Los módulos POS, inventario, compras, contabilidad, logística y BI requieren conectividad estable.</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Pruebas de operación en red y registro de incidencias.</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Software - Infraestructura</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Terminales POS, lectores, impresoras, balanzas y equipos de oficina deben operar con el sistema.</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Pruebas funcionales por dispositivo y acta de aceptación por área.</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Redes - Infraestructura</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Cableado, puntos de red, racks, gabinetes, UPS y señalética deben estar instalados y documentados.</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Documentación as-built, etiquetas, pruebas y planos actualizados.</w:t>
            </w:r>
          </w:p>
        </w:tc>
      </w:tr>
      <w:tr>
        <w:trPr>
          <w:cantSplit/>
        </w:trPr>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Seguridad transversal</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Roles, accesos, firewalls, VLAN, controles físicos, logs y monitoreo deben proteger la operación.</w:t>
            </w:r>
          </w:p>
        </w:tc>
        <w:tc>
          <w:tcPr>
            <w:tcW w:type="dxa" w:w="3456"/>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Matriz de accesos, pruebas de seguridad, logs y acta de validación.</w:t>
            </w:r>
          </w:p>
        </w:tc>
      </w:tr>
    </w:tbl>
    <w:p>
      <w:pPr>
        <w:pStyle w:val="Heading1"/>
        <w:spacing w:before="0" w:after="120" w:line="259" w:lineRule="auto"/>
      </w:pPr>
      <w:r>
        <w:rPr>
          <w:rFonts w:ascii="Arial" w:hAnsi="Arial" w:eastAsia="Calibri"/>
          <w:b/>
          <w:color w:val="1F4E79"/>
          <w:sz w:val="32"/>
        </w:rPr>
        <w:t>Anexo A.- Resumen ejecutivo por componentes</w:t>
      </w:r>
    </w:p>
    <w:tbl>
      <w:tblPr>
        <w:tblW w:type="auto" w:w="0"/>
        <w:jc w:val="center"/>
        <w:tblLayout w:type="autofit"/>
        <w:tblLook w:firstColumn="1" w:firstRow="1" w:lastColumn="0" w:lastRow="0" w:noHBand="0" w:noVBand="1" w:val="04A0"/>
      </w:tblPr>
      <w:tblGrid>
        <w:gridCol w:w="5184"/>
        <w:gridCol w:w="5184"/>
      </w:tblGrid>
      <w:tr>
        <w:trPr>
          <w:cantSplit/>
        </w:trPr>
        <w:tc>
          <w:tcPr>
            <w:tcW w:type="dxa" w:w="5184"/>
            <w:tcBorders>
              <w:top w:val="single" w:sz="6" w:space="0" w:color="2F75B5"/>
              <w:left w:val="single" w:sz="6" w:space="0" w:color="2F75B5"/>
              <w:bottom w:val="single" w:sz="6" w:space="0" w:color="2F75B5"/>
              <w:right w:val="single" w:sz="6" w:space="0" w:color="2F75B5"/>
            </w:tcBorders>
            <w:vAlign w:val="top"/>
            <w:shd w:fill="1F4E79"/>
            <w:tcMar>
              <w:top w:w="80" w:type="dxa"/>
              <w:start w:w="80" w:type="dxa"/>
              <w:bottom w:w="80" w:type="dxa"/>
              <w:end w:w="80" w:type="dxa"/>
            </w:tcMar>
          </w:tcPr>
          <w:p>
            <w:pPr>
              <w:spacing w:after="60" w:before="0" w:line="240" w:lineRule="auto"/>
            </w:pPr>
            <w:r>
              <w:rPr>
                <w:rFonts w:ascii="Calibri" w:hAnsi="Calibri" w:eastAsia="Calibri"/>
                <w:b/>
                <w:i w:val="0"/>
                <w:color w:val="FFFFFF"/>
                <w:sz w:val="24"/>
              </w:rPr>
              <w:t>Componente</w:t>
            </w:r>
          </w:p>
        </w:tc>
        <w:tc>
          <w:tcPr>
            <w:tcW w:type="dxa" w:w="5184"/>
            <w:tcBorders>
              <w:top w:val="single" w:sz="6" w:space="0" w:color="2F75B5"/>
              <w:left w:val="single" w:sz="6" w:space="0" w:color="2F75B5"/>
              <w:bottom w:val="single" w:sz="6" w:space="0" w:color="2F75B5"/>
              <w:right w:val="single" w:sz="6" w:space="0" w:color="2F75B5"/>
            </w:tcBorders>
            <w:vAlign w:val="top"/>
            <w:shd w:fill="1F4E79"/>
            <w:tcMar>
              <w:top w:w="80" w:type="dxa"/>
              <w:start w:w="80" w:type="dxa"/>
              <w:bottom w:w="80" w:type="dxa"/>
              <w:end w:w="80" w:type="dxa"/>
            </w:tcMar>
          </w:tcPr>
          <w:p>
            <w:pPr>
              <w:spacing w:after="60" w:before="0" w:line="240" w:lineRule="auto"/>
            </w:pPr>
            <w:r>
              <w:rPr>
                <w:rFonts w:ascii="Calibri" w:hAnsi="Calibri" w:eastAsia="Calibri"/>
                <w:b/>
                <w:i w:val="0"/>
                <w:color w:val="FFFFFF"/>
                <w:sz w:val="24"/>
              </w:rPr>
              <w:t>Resultado vendible para el cliente</w:t>
            </w:r>
          </w:p>
        </w:tc>
      </w:tr>
      <w:tr>
        <w:trPr>
          <w:cantSplit/>
        </w:trPr>
        <w:tc>
          <w:tcPr>
            <w:tcW w:type="dxa" w:w="5184"/>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Cloud</w:t>
            </w:r>
          </w:p>
        </w:tc>
        <w:tc>
          <w:tcPr>
            <w:tcW w:type="dxa" w:w="5184"/>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Deja a HIPERMAXI con ambientes cloud, respaldo, continuidad, servicios administrados, seguridad, monitoreo y control de costos listos para operar.</w:t>
            </w:r>
          </w:p>
        </w:tc>
      </w:tr>
      <w:tr>
        <w:trPr>
          <w:cantSplit/>
        </w:trPr>
        <w:tc>
          <w:tcPr>
            <w:tcW w:type="dxa" w:w="5184"/>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Adquisiciones</w:t>
            </w:r>
          </w:p>
        </w:tc>
        <w:tc>
          <w:tcPr>
            <w:tcW w:type="dxa" w:w="5184"/>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Asegura que los proveedores y materiales sean seleccionados con criterios técnicos y económicos, evitando compras improvisadas.</w:t>
            </w:r>
          </w:p>
        </w:tc>
      </w:tr>
      <w:tr>
        <w:trPr>
          <w:cantSplit/>
        </w:trPr>
        <w:tc>
          <w:tcPr>
            <w:tcW w:type="dxa" w:w="5184"/>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Software</w:t>
            </w:r>
          </w:p>
        </w:tc>
        <w:tc>
          <w:tcPr>
            <w:tcW w:type="dxa" w:w="5184"/>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Entrega los módulos operativos y de gestión, datos depurados, documentación técnica, manuales, capacitación y aceptación por usuarios.</w:t>
            </w:r>
          </w:p>
        </w:tc>
      </w:tr>
      <w:tr>
        <w:trPr>
          <w:cantSplit/>
        </w:trPr>
        <w:tc>
          <w:tcPr>
            <w:tcW w:type="dxa" w:w="5184"/>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Redes</w:t>
            </w:r>
          </w:p>
        </w:tc>
        <w:tc>
          <w:tcPr>
            <w:tcW w:type="dxa" w:w="5184"/>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Entrega conectividad estable y segura entre sucursal y cloud, con dispositivos configurados, VPN, VLAN, firewall y documentación as-built.</w:t>
            </w:r>
          </w:p>
        </w:tc>
      </w:tr>
      <w:tr>
        <w:trPr>
          <w:cantSplit/>
        </w:trPr>
        <w:tc>
          <w:tcPr>
            <w:tcW w:type="dxa" w:w="5184"/>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Infraestructura</w:t>
            </w:r>
          </w:p>
        </w:tc>
        <w:tc>
          <w:tcPr>
            <w:tcW w:type="dxa" w:w="5184"/>
            <w:tcBorders>
              <w:top w:val="single" w:sz="6" w:space="0" w:color="2F75B5"/>
              <w:left w:val="single" w:sz="6" w:space="0" w:color="2F75B5"/>
              <w:bottom w:val="single" w:sz="6" w:space="0" w:color="2F75B5"/>
              <w:right w:val="single" w:sz="6" w:space="0" w:color="2F75B5"/>
            </w:tcBorders>
            <w:vAlign w:val="top"/>
            <w:tcMar>
              <w:top w:w="80" w:type="dxa"/>
              <w:start w:w="80" w:type="dxa"/>
              <w:bottom w:w="80" w:type="dxa"/>
              <w:end w:w="80" w:type="dxa"/>
            </w:tcMar>
          </w:tcPr>
          <w:p>
            <w:pPr>
              <w:spacing w:after="60" w:before="0" w:line="240" w:lineRule="auto"/>
            </w:pPr>
            <w:r>
              <w:rPr>
                <w:rFonts w:ascii="Calibri" w:hAnsi="Calibri" w:eastAsia="Calibri"/>
                <w:b w:val="0"/>
                <w:i w:val="0"/>
                <w:sz w:val="24"/>
              </w:rPr>
              <w:t>Entrega la base física de TI: racks, UPS, equipamiento POS/oficina/almacén, respaldo local, seguridad física, mantenimiento y mesa de ayuda.</w:t>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440" w:right="1440" w:bottom="1440" w:left="1440" w:header="36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666666"/>
        <w:sz w:val="16"/>
      </w:rPr>
      <w:t>Proyecto SIGSUP - HIPERMAXI</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color w:val="0B5A9C"/>
        <w:sz w:val="18"/>
      </w:rPr>
      <w:t>Plan para la Gestión del Alcance</w:t>
    </w:r>
  </w:p>
  <w:p>
    <w:pPr>
      <w:jc w:val="center"/>
      <w:pBdr>
        <w:bottom w:val="single" w:sz="6" w:space="1" w:color="999999"/>
      </w:pBdr>
    </w:pPr>
    <w:r>
      <w:rPr>
        <w:rFonts w:ascii="Arial" w:hAnsi="Arial"/>
        <w:b/>
        <w:color w:val="2A7FD1"/>
        <w:sz w:val="16"/>
      </w:rPr>
      <w:t xml:space="preserve">Identificador del proyecto: </w:t>
    </w:r>
    <w:r>
      <w:rPr>
        <w:rFonts w:ascii="Arial" w:hAnsi="Arial"/>
        <w:b/>
        <w:color w:val="C9C9C9"/>
        <w:sz w:val="16"/>
      </w:rPr>
      <w:t>SIGSUP</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b w:val="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b w:val="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0B5A9C"/>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0B5A9C"/>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0B5A9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Arial" w:hAnsi="Arial" w:eastAsia="Arial"/>
      <w:b/>
      <w:color w:val="0B5A9C"/>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libri" w:hAnsi="Calibri"/>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spacing w:after="40"/>
      <w:ind w:left="0"/>
    </w:pPr>
    <w:rPr>
      <w:rFonts w:ascii="Arial" w:hAnsi="Arial" w:eastAsia="Arial"/>
      <w:sz w:val="24"/>
    </w:rPr>
  </w:style>
  <w:style w:type="paragraph" w:customStyle="1" w:styleId="TOC2">
    <w:name w:val="TOC 2"/>
    <w:pPr>
      <w:spacing w:after="40"/>
      <w:ind w:left="360"/>
    </w:pPr>
    <w:rPr>
      <w:rFonts w:ascii="Arial" w:hAnsi="Arial" w:eastAsia="Arial"/>
      <w:sz w:val="24"/>
    </w:rPr>
  </w:style>
  <w:style w:type="paragraph" w:customStyle="1" w:styleId="TOC3">
    <w:name w:val="TOC 3"/>
    <w:pPr>
      <w:spacing w:after="40"/>
      <w:ind w:left="720"/>
    </w:pPr>
    <w:rPr>
      <w:rFonts w:ascii="Arial" w:hAnsi="Arial" w:eastAsia="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