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u w:val="single"/>
        </w:rPr>
      </w:pPr>
      <w:r w:rsidDel="00000000" w:rsidR="00000000" w:rsidRPr="00000000">
        <w:rPr>
          <w:u w:val="single"/>
          <w:rtl w:val="0"/>
        </w:rPr>
        <w:t xml:space="preserve">CASOS DE USO ___________________________________________________________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Administradores, Técnicos, Cobradores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Formulario que permite el acceso a la aplicación de los actores mediante el ingreso de un nombre de usuario y contraseña</w:t>
            </w:r>
          </w:p>
        </w:tc>
      </w:tr>
    </w:tbl>
    <w:p w:rsidR="00000000" w:rsidDel="00000000" w:rsidP="00000000" w:rsidRDefault="00000000" w:rsidRPr="00000000">
      <w:pPr>
        <w:pBdr/>
        <w:contextualSpacing w:val="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Logout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 Técnicos, Cobradores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Botón que permita el deslogueo del usuario logueado actualmente en el sistema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ABM 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dar de Alta, Modificar o Eliminar Administradores, en caso de Alta o Modificación se debe pedir su Nombre, Clave, Cédula, Fecha de ingreso y Sueldo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ABM Cobradores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dar de Alta, Modificar o Eliminar Cobradores, en caso de Alta o Modificación se debe pedir su Nombre, Clave, Cédula, Fecha de ingreso, Sueldo y tipo de Transporte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ABM Técnicos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dar de Alta, Modificar o Eliminar Técnicos, en caso de Alta o Modificación se debe pedir su Nombre, Clave, Cédula, Fecha de ingreso, Sueldo, y si se especializa en Cámara o Alarmas, o en Ambas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AB Dispositivos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el registro o eliminación en/de Stock de un dispositivo, registrando su Número de inventario e indicando si se trata de una Cámara o una Alarma.</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Si el dispositivo se utilizó en un servicio no debe poder eliminarse.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Actualización de precios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manejar los precios que el sistema debe manejar para el calculo de importes para recibos, se deben ingresar los datos de Precio base alarmas, Precio base camaras, Adicional por alarma, Adicional por camara, Tasa de monitoreo alarmas, Tasa de monitoreo camaras. Estos datos seran alojados en un .txt oculto al usuario en el servidor.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Registro de Servicio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el registro de un Servicio contratado, Debe pedirse fecha de registro, si incluye monitoreo, la propiedad en la que se instala,  en caso de que sea servicio de videovigilancia registrar si incluye terminal de grabación y en caso de que sea servicio de alarma registra el código de anulación, a su vez se debe proporcionar los datos del cliente que lo va a contratar (cedula en caso de que ya este registrado - cedula, nombre, barrio, direccion de cobro y telefono en caso de que no) así como también la propiedad (id en caso de que esta registrada de antemano - id, tipo, direccion en caso de que no) en la que va a ser instalado.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Desactivación de servicio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la desactivación del servicio indicado por Id, liberando los dispositivos involucrados en el mismo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Modificación de datos de cliente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modificar los datos del cliente proporcionando dirección, teléfono, nombre, barrio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Modificación de datos de propiedad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modificar los datos de la propiedad de un cliente, proporcionando tipo de propiedad y dirección.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Registrar Dispositivo En Servicio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Técnicos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 este formulario el técnico ingresa los datos del dispositivo a instalar en el servicio, debe proporcionar una Descripción de la ubicación del dispositivo, el tecnico que lo instala y en caso de que sea una cámara si se instala en el interior o en el exterior de la propiedad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Liberar Dispositivo En Servicio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Técnicos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la desinstalación de un dispositivo de un servicio proporcionando el numero de servicio y el numero del dispositivo.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Generación de recibos de cobro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Administradores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la generación de todos los recibos del mes para todos los clientes, calculando los montos.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Los recibos deben ser a mes vencido.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Consulta De Recibo A Cobrar Por Zona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Cobradores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lista todos los recibos a cobrar por zona, esta última seleccionada por el cobrador logueado, deben listarse todos los recibos correspondientes a la zona elejida desplegando todos sus datos. se debe brindar la posibilidad de cobrar un recibo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Caso de uso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Cobro De Recibo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Cobradores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Formulario que permite cobrar un recibo.</w:t>
            </w:r>
          </w:p>
        </w:tc>
      </w:tr>
    </w:tbl>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