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Diccionario de Datos — Cuentas por Pagar (modelo implementado)</w:t>
      </w:r>
    </w:p>
    <w:p>
      <w:pPr/>
      <w:r>
        <w:t xml:space="preserve">Oct 15, 2026</w:t>
      </w:r>
      <w:r>
        <w:t xml:space="preserve"> · </w:t>
      </w:r>
      <w:r>
        <w:t xml:space="preserve">@Emmanuel</w:t>
      </w:r>
    </w:p>
    <w:p>
      <w:pPr>
        <w:pStyle w:val="Heading2"/>
      </w:pPr>
      <w:r>
        <w:t xml:space="preserve">Convenciones</w:t>
      </w:r>
    </w:p>
    <w:p>
      <w:pPr/>
      <w:r>
        <w:t xml:space="preserve">El diccionario describe las 18 tablas de la base CuentasPorPagarDB tal como están implementadas en los scripts </w:t>
      </w:r>
      <w:r>
        <w:rPr>
          <w:rStyle w:val="CodeChar"/>
        </w:rPr>
        <w:t xml:space="preserve">sql/oltp/00_base.sql</w:t>
      </w:r>
      <w:r>
        <w:t xml:space="preserve"> y </w:t>
      </w:r>
      <w:r>
        <w:rPr>
          <w:rStyle w:val="CodeChar"/>
        </w:rPr>
        <w:t xml:space="preserve">sql/oltp/01_correcciones.sql</w:t>
      </w:r>
      <w:r>
        <w:t xml:space="preserve"> de la rama development, en SQL Server y con una sola moneda. El núcleo sigue el esquema del profesor: Proveedor → Cuentas por pagar → Movimientos, con tipo de movimiento y tipo de pago, y cada tipo de pago ligado a un banco. Los estados de cuentas, movimientos, lotes, notificaciones y sincronizaciones se guardan en el catálogo compartido CP08_estados en lugar de texto libre. Las restricciones UNIQUE y CHECK se documentan aquí porque el diagrama solo marca PK y FK.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60"/>
        <w:gridCol w:w="7200"/>
      </w:tblGrid>
      <w:tr>
        <w:trPr>
          <w:tblHeader/>
        </w:trPr>
        <w:tc>
          <w:tcPr>
            <w:tcW w:w="216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7200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Atributo</w:t>
            </w:r>
          </w:p>
        </w:tc>
        <w:tc>
          <w:tcPr>
            <w:tcW w:w="7200" w:type="dxa"/>
          </w:tcPr>
          <w:p>
            <w:pPr/>
            <w:r>
              <w:t xml:space="preserve">Nombre de la columna en la tabla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Tipo</w:t>
            </w:r>
          </w:p>
        </w:tc>
        <w:tc>
          <w:tcPr>
            <w:tcW w:w="7200" w:type="dxa"/>
          </w:tcPr>
          <w:p>
            <w:pPr/>
            <w:r>
              <w:t xml:space="preserve">Tipo de dato en SQL Server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Nulo</w:t>
            </w:r>
          </w:p>
        </w:tc>
        <w:tc>
          <w:tcPr>
            <w:tcW w:w="7200" w:type="dxa"/>
          </w:tcPr>
          <w:p>
            <w:pPr/>
            <w:r>
              <w:t xml:space="preserve">Sí = el valor es opcional; No = obligatorio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Restricción</w:t>
            </w:r>
          </w:p>
        </w:tc>
        <w:tc>
          <w:tcPr>
            <w:tcW w:w="7200" w:type="dxa"/>
          </w:tcPr>
          <w:p>
            <w:pPr/>
            <w:r>
              <w:t xml:space="preserve">Llaves y reglas que aplica la base de datos (ver abreviaturas)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Descripción</w:t>
            </w:r>
          </w:p>
        </w:tc>
        <w:tc>
          <w:tcPr>
            <w:tcW w:w="7200" w:type="dxa"/>
          </w:tcPr>
          <w:p>
            <w:pPr/>
            <w:r>
              <w:t xml:space="preserve">Qué guarda el atributo</w:t>
            </w:r>
          </w:p>
        </w:tc>
      </w:tr>
      <w:tr>
        <w:tc>
          <w:tcPr>
            <w:tcW w:w="2160" w:type="dxa"/>
          </w:tcPr>
          <w:p>
            <w:pPr/>
            <w:r>
              <w:t xml:space="preserve">Req.</w:t>
            </w:r>
          </w:p>
        </w:tc>
        <w:tc>
          <w:tcPr>
            <w:tcW w:w="7200" w:type="dxa"/>
          </w:tcPr>
          <w:p>
            <w:pPr/>
            <w:r>
              <w:t xml:space="preserve">Requerimiento que lo justifica (RF-01 a RF-09, RNF-01 a RNF-05) o regla de diseño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51"/>
        <w:gridCol w:w="6908"/>
      </w:tblGrid>
      <w:tr>
        <w:trPr>
          <w:tblHeader/>
        </w:trPr>
        <w:tc>
          <w:tcPr>
            <w:tcW w:w="2451" w:type="dxa"/>
            <w:shd w:val="clear" w:color="auto" w:fill="F2F2F2"/>
          </w:tcPr>
          <w:p>
            <w:pPr/>
            <w:r>
              <w:t xml:space="preserve">Abreviatura</w:t>
            </w:r>
          </w:p>
        </w:tc>
        <w:tc>
          <w:tcPr>
            <w:tcW w:w="6908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2451" w:type="dxa"/>
          </w:tcPr>
          <w:p>
            <w:pPr/>
            <w:r>
              <w:t xml:space="preserve">PK</w:t>
            </w:r>
          </w:p>
        </w:tc>
        <w:tc>
          <w:tcPr>
            <w:tcW w:w="6908" w:type="dxa"/>
          </w:tcPr>
          <w:p>
            <w:pPr/>
            <w:r>
              <w:t xml:space="preserve">Llave primaria; identifica cada fila</w:t>
            </w:r>
          </w:p>
        </w:tc>
      </w:tr>
      <w:tr>
        <w:tc>
          <w:tcPr>
            <w:tcW w:w="2451" w:type="dxa"/>
          </w:tcPr>
          <w:p>
            <w:pPr/>
            <w:r>
              <w:t xml:space="preserve">FK → CPxx</w:t>
            </w:r>
          </w:p>
        </w:tc>
        <w:tc>
          <w:tcPr>
            <w:tcW w:w="6908" w:type="dxa"/>
          </w:tcPr>
          <w:p>
            <w:pPr/>
            <w:r>
              <w:t xml:space="preserve">Llave foránea hacia la tabla indicada</w:t>
            </w:r>
          </w:p>
        </w:tc>
      </w:tr>
      <w:tr>
        <w:tc>
          <w:tcPr>
            <w:tcW w:w="2451" w:type="dxa"/>
          </w:tcPr>
          <w:p>
            <w:pPr/>
            <w:r>
              <w:t xml:space="preserve">UQ</w:t>
            </w:r>
          </w:p>
        </w:tc>
        <w:tc>
          <w:tcPr>
            <w:tcW w:w="6908" w:type="dxa"/>
          </w:tcPr>
          <w:p>
            <w:pPr/>
            <w:r>
              <w:t xml:space="preserve">Único: el valor no se repite en la tabla</w:t>
            </w:r>
          </w:p>
        </w:tc>
      </w:tr>
      <w:tr>
        <w:tc>
          <w:tcPr>
            <w:tcW w:w="2451" w:type="dxa"/>
          </w:tcPr>
          <w:p>
            <w:pPr/>
            <w:r>
              <w:t xml:space="preserve">UQ compuesto</w:t>
            </w:r>
          </w:p>
        </w:tc>
        <w:tc>
          <w:tcPr>
            <w:tcW w:w="6908" w:type="dxa"/>
          </w:tcPr>
          <w:p>
            <w:pPr/>
            <w:r>
              <w:t xml:space="preserve">La combinación de las columnas indicadas no se repite</w:t>
            </w:r>
          </w:p>
        </w:tc>
      </w:tr>
      <w:tr>
        <w:tc>
          <w:tcPr>
            <w:tcW w:w="2451" w:type="dxa"/>
          </w:tcPr>
          <w:p>
            <w:pPr/>
            <w:r>
              <w:t xml:space="preserve">CK</w:t>
            </w:r>
          </w:p>
        </w:tc>
        <w:tc>
          <w:tcPr>
            <w:tcW w:w="6908" w:type="dxa"/>
          </w:tcPr>
          <w:p>
            <w:pPr/>
            <w:r>
              <w:t xml:space="preserve">CHECK: limita los valores permitidos</w:t>
            </w:r>
          </w:p>
        </w:tc>
      </w:tr>
      <w:tr>
        <w:tc>
          <w:tcPr>
            <w:tcW w:w="2451" w:type="dxa"/>
          </w:tcPr>
          <w:p>
            <w:pPr/>
            <w:r>
              <w:t xml:space="preserve">DF</w:t>
            </w:r>
          </w:p>
        </w:tc>
        <w:tc>
          <w:tcPr>
            <w:tcW w:w="6908" w:type="dxa"/>
          </w:tcPr>
          <w:p>
            <w:pPr/>
            <w:r>
              <w:t xml:space="preserve">DEFAULT: valor que se asigna si no se envía uno</w:t>
            </w:r>
          </w:p>
        </w:tc>
      </w:tr>
      <w:tr>
        <w:tc>
          <w:tcPr>
            <w:tcW w:w="2451" w:type="dxa"/>
          </w:tcPr>
          <w:p>
            <w:pPr/>
            <w:r>
              <w:t xml:space="preserve">Diseño</w:t>
            </w:r>
          </w:p>
        </w:tc>
        <w:tc>
          <w:tcPr>
            <w:tcW w:w="6908" w:type="dxa"/>
          </w:tcPr>
          <w:p>
            <w:pPr/>
            <w:r>
              <w:t xml:space="preserve">Atributo de control: baja lógica con </w:t>
            </w:r>
            <w:r>
              <w:rPr>
                <w:rStyle w:val="CodeChar"/>
              </w:rPr>
              <w:t xml:space="preserve">estado</w:t>
            </w:r>
            <w:r>
              <w:t xml:space="preserve"> o fecha de registro para trazabilidad</w:t>
            </w:r>
          </w:p>
        </w:tc>
      </w:tr>
    </w:tbl>
    <w:p>
      <w:pPr>
        <w:pStyle w:val="Heading2"/>
      </w:pPr>
      <w:r>
        <w:t xml:space="preserve">Tamaño de los tipos numéricos, de fecha y binarios</w:t>
      </w:r>
    </w:p>
    <w:p>
      <w:pPr/>
      <w:r>
        <w:t xml:space="preserve">En SQL Server los tipos numéricos y de fecha no llevan una cantidad de caracteres: su tamaño y su rango los fija el propio tipo. Por eso </w:t>
      </w:r>
      <w:r>
        <w:rPr>
          <w:rStyle w:val="CodeChar"/>
        </w:rPr>
        <w:t xml:space="preserve">numero_linea INT</w:t>
      </w:r>
      <w:r>
        <w:t xml:space="preserve"> no necesita un número entre paréntesis: un INT siempre ocupa 4 bytes y admite valores hasta 2 147 483 647. Solo los tipos de texto y binarios (</w:t>
      </w:r>
      <w:r>
        <w:rPr>
          <w:rStyle w:val="CodeChar"/>
        </w:rPr>
        <w:t xml:space="preserve">VARCHAR(n)</w:t>
      </w:r>
      <w:r>
        <w:t xml:space="preserve">, </w:t>
      </w:r>
      <w:r>
        <w:rPr>
          <w:rStyle w:val="CodeChar"/>
        </w:rPr>
        <w:t xml:space="preserve">VARBINARY(n)</w:t>
      </w:r>
      <w:r>
        <w:t xml:space="preserve">) declaran su largo, y en DECIMAL(p,s) se declara la precisión (dígitos totales) y la escala (decimales). Los rangos y bytes de esta tabla vienen de la documentación oficial de Microsoft (ver Fuentes).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662"/>
        <w:gridCol w:w="1312"/>
        <w:gridCol w:w="1985"/>
        <w:gridCol w:w="2529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662" w:type="dxa"/>
            <w:shd w:val="clear" w:color="auto" w:fill="F2F2F2"/>
          </w:tcPr>
          <w:p>
            <w:pPr/>
            <w:r>
              <w:t xml:space="preserve">Rango o precisión</w:t>
            </w:r>
          </w:p>
        </w:tc>
        <w:tc>
          <w:tcPr>
            <w:tcW w:w="1312" w:type="dxa"/>
            <w:shd w:val="clear" w:color="auto" w:fill="F2F2F2"/>
          </w:tcPr>
          <w:p>
            <w:pPr/>
            <w:r>
              <w:t xml:space="preserve">Bytes</w:t>
            </w:r>
          </w:p>
        </w:tc>
        <w:tc>
          <w:tcPr>
            <w:tcW w:w="1985" w:type="dxa"/>
            <w:shd w:val="clear" w:color="auto" w:fill="F2F2F2"/>
          </w:tcPr>
          <w:p>
            <w:pPr/>
            <w:r>
              <w:t xml:space="preserve">Atributos que lo usan</w:t>
            </w:r>
          </w:p>
        </w:tc>
        <w:tc>
          <w:tcPr>
            <w:tcW w:w="2529" w:type="dxa"/>
            <w:shd w:val="clear" w:color="auto" w:fill="F2F2F2"/>
          </w:tcPr>
          <w:p>
            <w:pPr/>
            <w:r>
              <w:t xml:space="preserve">Por qué se eligió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662" w:type="dxa"/>
          </w:tcPr>
          <w:p>
            <w:pPr/>
            <w:r>
              <w:t xml:space="preserve">−2 147 483 648 a 2 147 483 647</w:t>
            </w:r>
          </w:p>
        </w:tc>
        <w:tc>
          <w:tcPr>
            <w:tcW w:w="1312" w:type="dxa"/>
          </w:tcPr>
          <w:p>
            <w:pPr/>
            <w:r>
              <w:t xml:space="preserve">4</w:t>
            </w:r>
          </w:p>
        </w:tc>
        <w:tc>
          <w:tcPr>
            <w:tcW w:w="1985" w:type="dxa"/>
          </w:tcPr>
          <w:p>
            <w:pPr/>
            <w:r>
              <w:t xml:space="preserve">Llaves primarias y foráneas, numero_linea, numero_movimiento, dias_credito, cantidad_pagos, intentos_fallidos, id_registro (CP14)</w:t>
            </w:r>
          </w:p>
        </w:tc>
        <w:tc>
          <w:tcPr>
            <w:tcW w:w="2529" w:type="dxa"/>
          </w:tcPr>
          <w:p>
            <w:pPr/>
            <w:r>
              <w:t xml:space="preserve">Es el entero principal de SQL Server; ninguna tabla operativa llegará a 2 100 millones de filas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BIGINT</w:t>
            </w:r>
          </w:p>
        </w:tc>
        <w:tc>
          <w:tcPr>
            <w:tcW w:w="1662" w:type="dxa"/>
          </w:tcPr>
          <w:p>
            <w:pPr/>
            <w:r>
              <w:t xml:space="preserve">−2^63 a 2^63−1</w:t>
            </w:r>
          </w:p>
        </w:tc>
        <w:tc>
          <w:tcPr>
            <w:tcW w:w="1312" w:type="dxa"/>
          </w:tcPr>
          <w:p>
            <w:pPr/>
            <w:r>
              <w:t xml:space="preserve">8</w:t>
            </w:r>
          </w:p>
        </w:tc>
        <w:tc>
          <w:tcPr>
            <w:tcW w:w="1985" w:type="dxa"/>
          </w:tcPr>
          <w:p>
            <w:pPr/>
            <w:r>
              <w:t xml:space="preserve">id_auditoria</w:t>
            </w:r>
          </w:p>
        </w:tc>
        <w:tc>
          <w:tcPr>
            <w:tcW w:w="2529" w:type="dxa"/>
          </w:tcPr>
          <w:p>
            <w:pPr/>
            <w:r>
              <w:t xml:space="preserve">La auditoría guarda una fila por cada cambio de cualquier tabla y puede superar el límite de INT con los años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SMALLINT</w:t>
            </w:r>
          </w:p>
        </w:tc>
        <w:tc>
          <w:tcPr>
            <w:tcW w:w="1662" w:type="dxa"/>
          </w:tcPr>
          <w:p>
            <w:pPr/>
            <w:r>
              <w:t xml:space="preserve">−32 768 a 32 767</w:t>
            </w:r>
          </w:p>
        </w:tc>
        <w:tc>
          <w:tcPr>
            <w:tcW w:w="1312" w:type="dxa"/>
          </w:tcPr>
          <w:p>
            <w:pPr/>
            <w:r>
              <w:t xml:space="preserve">2</w:t>
            </w:r>
          </w:p>
        </w:tc>
        <w:tc>
          <w:tcPr>
            <w:tcW w:w="1985" w:type="dxa"/>
          </w:tcPr>
          <w:p>
            <w:pPr/>
            <w:r>
              <w:t xml:space="preserve">dias_intervalo (CP13)</w:t>
            </w:r>
          </w:p>
        </w:tc>
        <w:tc>
          <w:tcPr>
            <w:tcW w:w="2529" w:type="dxa"/>
          </w:tcPr>
          <w:p>
            <w:pPr/>
            <w:r>
              <w:t xml:space="preserve">Un intervalo en días nunca supera unos cientos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TINYINT</w:t>
            </w:r>
          </w:p>
        </w:tc>
        <w:tc>
          <w:tcPr>
            <w:tcW w:w="1662" w:type="dxa"/>
          </w:tcPr>
          <w:p>
            <w:pPr/>
            <w:r>
              <w:t xml:space="preserve">0 a 255</w:t>
            </w:r>
          </w:p>
        </w:tc>
        <w:tc>
          <w:tcPr>
            <w:tcW w:w="1312" w:type="dxa"/>
          </w:tcPr>
          <w:p>
            <w:pPr/>
            <w:r>
              <w:t xml:space="preserve">1</w:t>
            </w:r>
          </w:p>
        </w:tc>
        <w:tc>
          <w:tcPr>
            <w:tcW w:w="1985" w:type="dxa"/>
          </w:tcPr>
          <w:p>
            <w:pPr/>
            <w:r>
              <w:t xml:space="preserve">dia_ejecucion (1–31), nivel_acceso (1–5), calificacion (1–5), meses_intervalo (1–12)</w:t>
            </w:r>
          </w:p>
        </w:tc>
        <w:tc>
          <w:tcPr>
            <w:tcW w:w="2529" w:type="dxa"/>
          </w:tcPr>
          <w:p>
            <w:pPr/>
            <w:r>
              <w:t xml:space="preserve">Valores pequeños y acotados; Microsoft recomienda usar el tipo más pequeño que contenga todos los valores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DECIMAL(18,2)</w:t>
            </w:r>
          </w:p>
        </w:tc>
        <w:tc>
          <w:tcPr>
            <w:tcW w:w="1662" w:type="dxa"/>
          </w:tcPr>
          <w:p>
            <w:pPr/>
            <w:r>
              <w:t xml:space="preserve">18 dígitos, 2 decimales: hasta 9 999 999 999 999 999,99</w:t>
            </w:r>
          </w:p>
        </w:tc>
        <w:tc>
          <w:tcPr>
            <w:tcW w:w="1312" w:type="dxa"/>
          </w:tcPr>
          <w:p>
            <w:pPr/>
            <w:r>
              <w:t xml:space="preserve">9</w:t>
            </w:r>
          </w:p>
        </w:tc>
        <w:tc>
          <w:tcPr>
            <w:tcW w:w="1985" w:type="dxa"/>
          </w:tcPr>
          <w:p>
            <w:pPr/>
            <w:r>
              <w:t xml:space="preserve">Montos: subtotal, monto_impuesto, monto_total, saldo_pendiente, monto, total_linea</w:t>
            </w:r>
          </w:p>
        </w:tc>
        <w:tc>
          <w:tcPr>
            <w:tcW w:w="2529" w:type="dxa"/>
          </w:tcPr>
          <w:p>
            <w:pPr/>
            <w:r>
              <w:t xml:space="preserve">Exacto (sin errores de redondeo como FLOAT); 2 decimales para céntimos; 18 es la precisión predeterminada y la máxima que cabe en 9 bytes (10–19 dígitos)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DECIMAL(18,4)</w:t>
            </w:r>
          </w:p>
        </w:tc>
        <w:tc>
          <w:tcPr>
            <w:tcW w:w="1662" w:type="dxa"/>
          </w:tcPr>
          <w:p>
            <w:pPr/>
            <w:r>
              <w:t xml:space="preserve">18 dígitos, 4 decimales</w:t>
            </w:r>
          </w:p>
        </w:tc>
        <w:tc>
          <w:tcPr>
            <w:tcW w:w="1312" w:type="dxa"/>
          </w:tcPr>
          <w:p>
            <w:pPr/>
            <w:r>
              <w:t xml:space="preserve">9</w:t>
            </w:r>
          </w:p>
        </w:tc>
        <w:tc>
          <w:tcPr>
            <w:tcW w:w="1985" w:type="dxa"/>
          </w:tcPr>
          <w:p>
            <w:pPr/>
            <w:r>
              <w:t xml:space="preserve">cantidad, precio_unitario</w:t>
            </w:r>
          </w:p>
        </w:tc>
        <w:tc>
          <w:tcPr>
            <w:tcW w:w="2529" w:type="dxa"/>
          </w:tcPr>
          <w:p>
            <w:pPr/>
            <w:r>
              <w:t xml:space="preserve">Las cantidades y precios unitarios pueden tener fracciones menores a un céntimo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DECIMAL(5,2)</w:t>
            </w:r>
          </w:p>
        </w:tc>
        <w:tc>
          <w:tcPr>
            <w:tcW w:w="1662" w:type="dxa"/>
          </w:tcPr>
          <w:p>
            <w:pPr/>
            <w:r>
              <w:t xml:space="preserve">5 dígitos, 2 decimales: hasta 999,99</w:t>
            </w:r>
          </w:p>
        </w:tc>
        <w:tc>
          <w:tcPr>
            <w:tcW w:w="1312" w:type="dxa"/>
          </w:tcPr>
          <w:p>
            <w:pPr/>
            <w:r>
              <w:t xml:space="preserve">5</w:t>
            </w:r>
          </w:p>
        </w:tc>
        <w:tc>
          <w:tcPr>
            <w:tcW w:w="1985" w:type="dxa"/>
          </w:tcPr>
          <w:p>
            <w:pPr/>
            <w:r>
              <w:t xml:space="preserve">pct_descuento_pronto_pago, pct_impuesto</w:t>
            </w:r>
          </w:p>
        </w:tc>
        <w:tc>
          <w:tcPr>
            <w:tcW w:w="2529" w:type="dxa"/>
          </w:tcPr>
          <w:p>
            <w:pPr/>
            <w:r>
              <w:t xml:space="preserve">Porcentajes de 0,00 a 100,00; el CHECK limita el valor a 100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DATE</w:t>
            </w:r>
          </w:p>
        </w:tc>
        <w:tc>
          <w:tcPr>
            <w:tcW w:w="1662" w:type="dxa"/>
          </w:tcPr>
          <w:p>
            <w:pPr/>
            <w:r>
              <w:t xml:space="preserve">0001-01-01 a 9999-12-31</w:t>
            </w:r>
          </w:p>
        </w:tc>
        <w:tc>
          <w:tcPr>
            <w:tcW w:w="1312" w:type="dxa"/>
          </w:tcPr>
          <w:p>
            <w:pPr/>
            <w:r>
              <w:t xml:space="preserve">3</w:t>
            </w:r>
          </w:p>
        </w:tc>
        <w:tc>
          <w:tcPr>
            <w:tcW w:w="1985" w:type="dxa"/>
          </w:tcPr>
          <w:p>
            <w:pPr/>
            <w:r>
              <w:t xml:space="preserve">Fechas sin hora: emisión, vencimiento, límite de descuento, movimiento, programación, evaluación</w:t>
            </w:r>
          </w:p>
        </w:tc>
        <w:tc>
          <w:tcPr>
            <w:tcW w:w="2529" w:type="dxa"/>
          </w:tcPr>
          <w:p>
            <w:pPr/>
            <w:r>
              <w:t xml:space="preserve">Solo importa el día; ocupa menos que una fecha con hora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DATETIME2</w:t>
            </w:r>
          </w:p>
        </w:tc>
        <w:tc>
          <w:tcPr>
            <w:tcW w:w="1662" w:type="dxa"/>
          </w:tcPr>
          <w:p>
            <w:pPr/>
            <w:r>
              <w:t xml:space="preserve">Fecha y hora con precisión de 100 nanosegundos</w:t>
            </w:r>
          </w:p>
        </w:tc>
        <w:tc>
          <w:tcPr>
            <w:tcW w:w="1312" w:type="dxa"/>
          </w:tcPr>
          <w:p>
            <w:pPr/>
            <w:r>
              <w:t xml:space="preserve">8 (precisión 7)</w:t>
            </w:r>
          </w:p>
        </w:tc>
        <w:tc>
          <w:tcPr>
            <w:tcW w:w="1985" w:type="dxa"/>
          </w:tcPr>
          <w:p>
            <w:pPr/>
            <w:r>
              <w:t xml:space="preserve">fecha_registro, fecha_aprobacion, fecha_conciliacion, fecha_envio, fecha_hora, fecha_sincronizacion, ultimo_acceso, fecha_creacion</w:t>
            </w:r>
          </w:p>
        </w:tc>
        <w:tc>
          <w:tcPr>
            <w:tcW w:w="2529" w:type="dxa"/>
          </w:tcPr>
          <w:p>
            <w:pPr/>
            <w:r>
              <w:t xml:space="preserve">Registra el momento exacto de cada operación; los valores por defecto usan SYSDATETIME()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BIT</w:t>
            </w:r>
          </w:p>
        </w:tc>
        <w:tc>
          <w:tcPr>
            <w:tcW w:w="1662" w:type="dxa"/>
          </w:tcPr>
          <w:p>
            <w:pPr/>
            <w:r>
              <w:t xml:space="preserve">1, 0 o NULL</w:t>
            </w:r>
          </w:p>
        </w:tc>
        <w:tc>
          <w:tcPr>
            <w:tcW w:w="1312" w:type="dxa"/>
          </w:tcPr>
          <w:p>
            <w:pPr/>
            <w:r>
              <w:t xml:space="preserve">Hasta 8 columnas BIT comparten 1 byte</w:t>
            </w:r>
          </w:p>
        </w:tc>
        <w:tc>
          <w:tcPr>
            <w:tcW w:w="1985" w:type="dxa"/>
          </w:tcPr>
          <w:p>
            <w:pPr/>
            <w:r>
              <w:t xml:space="preserve">estado, activo, conciliado, enviar_comprobante, requiere_banco, puede_aprobar_pagos</w:t>
            </w:r>
          </w:p>
        </w:tc>
        <w:tc>
          <w:tcPr>
            <w:tcW w:w="2529" w:type="dxa"/>
          </w:tcPr>
          <w:p>
            <w:pPr/>
            <w:r>
              <w:t xml:space="preserve">Valores de sí o 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VARBINARY(64)</w:t>
            </w:r>
          </w:p>
        </w:tc>
        <w:tc>
          <w:tcPr>
            <w:tcW w:w="1662" w:type="dxa"/>
          </w:tcPr>
          <w:p>
            <w:pPr/>
            <w:r>
              <w:t xml:space="preserve">1 a 8000 bytes</w:t>
            </w:r>
          </w:p>
        </w:tc>
        <w:tc>
          <w:tcPr>
            <w:tcW w:w="1312" w:type="dxa"/>
          </w:tcPr>
          <w:p>
            <w:pPr/>
            <w:r>
              <w:t xml:space="preserve">Largo real + 2</w:t>
            </w:r>
          </w:p>
        </w:tc>
        <w:tc>
          <w:tcPr>
            <w:tcW w:w="1985" w:type="dxa"/>
          </w:tcPr>
          <w:p>
            <w:pPr/>
            <w:r>
              <w:t xml:space="preserve">hash_contrasena, salt</w:t>
            </w:r>
          </w:p>
        </w:tc>
        <w:tc>
          <w:tcPr>
            <w:tcW w:w="2529" w:type="dxa"/>
          </w:tcPr>
          <w:p>
            <w:pPr/>
            <w:r>
              <w:t xml:space="preserve">HASHBYTES con SHA2_512 devuelve exactamente 64 bytes; el salt usa el mismo tamaño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NVARCHAR(MAX)</w:t>
            </w:r>
          </w:p>
        </w:tc>
        <w:tc>
          <w:tcPr>
            <w:tcW w:w="1662" w:type="dxa"/>
          </w:tcPr>
          <w:p>
            <w:pPr/>
            <w:r>
              <w:t xml:space="preserve">Hasta 2^31−1 bytes (2 GB)</w:t>
            </w:r>
          </w:p>
        </w:tc>
        <w:tc>
          <w:tcPr>
            <w:tcW w:w="1312" w:type="dxa"/>
          </w:tcPr>
          <w:p>
            <w:pPr/>
            <w:r>
              <w:t xml:space="preserve">Largo real × 2 + 2</w:t>
            </w:r>
          </w:p>
        </w:tc>
        <w:tc>
          <w:tcPr>
            <w:tcW w:w="1985" w:type="dxa"/>
          </w:tcPr>
          <w:p>
            <w:pPr/>
            <w:r>
              <w:t xml:space="preserve">valor_anterior, valor_nuevo</w:t>
            </w:r>
          </w:p>
        </w:tc>
        <w:tc>
          <w:tcPr>
            <w:tcW w:w="2529" w:type="dxa"/>
          </w:tcPr>
          <w:p>
            <w:pPr/>
            <w:r>
              <w:t xml:space="preserve">El JSON con los datos de un registro puede superar los 4 000 caracteres de NVARCHAR(n)</w:t>
            </w:r>
          </w:p>
        </w:tc>
      </w:tr>
    </w:tbl>
    <w:p>
      <w:pPr/>
      <w:r>
        <w:t xml:space="preserve">Alternativa para comentar con el profesor: siguiendo la misma recomendación de Microsoft, numero_linea, numero_movimiento y dias_credito (que tiene un CHECK de 0 a 365) podrían ser SMALLINT, e intentos_fallidos podría ser TINYINT. El script los mantiene como INT; el ahorro sería de 2 o 3 bytes por fila.</w:t>
      </w:r>
    </w:p>
    <w:p>
      <w:pPr>
        <w:pStyle w:val="Heading2"/>
      </w:pPr>
      <w:r>
        <w:t xml:space="preserve">Tamaño de los campos de texto</w:t>
      </w:r>
    </w:p>
    <w:p>
      <w:pPr/>
      <w:r>
        <w:t xml:space="preserve">En </w:t>
      </w:r>
      <w:r>
        <w:rPr>
          <w:rStyle w:val="CodeChar"/>
        </w:rPr>
        <w:t xml:space="preserve">VARCHAR(n)</w:t>
      </w:r>
      <w:r>
        <w:t xml:space="preserve"> el número </w:t>
      </w:r>
      <w:r>
        <w:rPr>
          <w:rStyle w:val="CodeChar"/>
        </w:rPr>
        <w:t xml:space="preserve">n</w:t>
      </w:r>
      <w:r>
        <w:t xml:space="preserve"> es el máximo de bytes; con texto en español sin caracteres especiales equivale a la cantidad de caracteres, y solo se ocupa el largo real más 2 bytes. Donde existe un estándar internacional, el tamaño sale de él; en el resto es una decisión de diseño basada en el dato más largo esperado más un margen. Por esta investigación, los correos pasaron de VARCHAR(120) a VARCHAR(254).</w:t>
      </w:r>
    </w:p>
    <w:p>
      <w:pPr>
        <w:pStyle w:val="Heading3"/>
      </w:pPr>
      <w:r>
        <w:t xml:space="preserve">Campos definidos por un estándar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1"/>
        <w:gridCol w:w="1852"/>
        <w:gridCol w:w="4777"/>
      </w:tblGrid>
      <w:tr>
        <w:trPr>
          <w:tblHeader/>
        </w:trPr>
        <w:tc>
          <w:tcPr>
            <w:tcW w:w="2731" w:type="dxa"/>
            <w:shd w:val="clear" w:color="auto" w:fill="F2F2F2"/>
          </w:tcPr>
          <w:p>
            <w:pPr/>
            <w:r>
              <w:t xml:space="preserve">Atributo (tabla)</w:t>
            </w:r>
          </w:p>
        </w:tc>
        <w:tc>
          <w:tcPr>
            <w:tcW w:w="1852" w:type="dxa"/>
            <w:shd w:val="clear" w:color="auto" w:fill="F2F2F2"/>
          </w:tcPr>
          <w:p>
            <w:pPr/>
            <w:r>
              <w:t xml:space="preserve">Tamaño</w:t>
            </w:r>
          </w:p>
        </w:tc>
        <w:tc>
          <w:tcPr>
            <w:tcW w:w="4777" w:type="dxa"/>
            <w:shd w:val="clear" w:color="auto" w:fill="F2F2F2"/>
          </w:tcPr>
          <w:p>
            <w:pPr/>
            <w:r>
              <w:t xml:space="preserve">Justificación</w:t>
            </w:r>
          </w:p>
        </w:tc>
      </w:tr>
      <w:tr>
        <w:tc>
          <w:tcPr>
            <w:tcW w:w="2731" w:type="dxa"/>
          </w:tcPr>
          <w:p>
            <w:pPr/>
            <w:r>
              <w:t xml:space="preserve">correo (CP01, CP12), correo_destino (CP18)</w:t>
            </w:r>
          </w:p>
        </w:tc>
        <w:tc>
          <w:tcPr>
            <w:tcW w:w="1852" w:type="dxa"/>
          </w:tcPr>
          <w:p>
            <w:pPr/>
            <w:r>
              <w:t xml:space="preserve">VARCHAR(254)</w:t>
            </w:r>
          </w:p>
        </w:tc>
        <w:tc>
          <w:tcPr>
            <w:tcW w:w="4777" w:type="dxa"/>
          </w:tcPr>
          <w:p>
            <w:pPr/>
            <w:r>
              <w:t xml:space="preserve">El RFC 5321 permite 64 caracteres antes de la @, 255 en el dominio y 256 en la ruta completa; como la ruta incluye los símbolos &lt; y &gt;, una dirección válida mide como máximo 254 caracteres (fe de erratas 1690, verificada)</w:t>
            </w:r>
          </w:p>
        </w:tc>
      </w:tr>
      <w:tr>
        <w:tc>
          <w:tcPr>
            <w:tcW w:w="2731" w:type="dxa"/>
          </w:tcPr>
          <w:p>
            <w:pPr/>
            <w:r>
              <w:t xml:space="preserve">telefono (CP01)</w:t>
            </w:r>
          </w:p>
        </w:tc>
        <w:tc>
          <w:tcPr>
            <w:tcW w:w="1852" w:type="dxa"/>
          </w:tcPr>
          <w:p>
            <w:pPr/>
            <w:r>
              <w:t xml:space="preserve">VARCHAR(30)</w:t>
            </w:r>
          </w:p>
        </w:tc>
        <w:tc>
          <w:tcPr>
            <w:tcW w:w="4777" w:type="dxa"/>
          </w:tcPr>
          <w:p>
            <w:pPr/>
            <w:r>
              <w:t xml:space="preserve">La norma ITU-T E.164 limita un número internacional a 15 dígitos; se agregan el signo +, espacios o guiones y una posible extensión. Es texto y no número porque lleva + y ceros iniciales que no se suman</w:t>
            </w:r>
          </w:p>
        </w:tc>
      </w:tr>
      <w:tr>
        <w:tc>
          <w:tcPr>
            <w:tcW w:w="2731" w:type="dxa"/>
          </w:tcPr>
          <w:p>
            <w:pPr/>
            <w:r>
              <w:t xml:space="preserve">cuenta_bancaria (CP01), numero_cuenta (CP15)</w:t>
            </w:r>
          </w:p>
        </w:tc>
        <w:tc>
          <w:tcPr>
            <w:tcW w:w="1852" w:type="dxa"/>
          </w:tcPr>
          <w:p>
            <w:pPr/>
            <w:r>
              <w:t xml:space="preserve">VARCHAR(34)</w:t>
            </w:r>
          </w:p>
        </w:tc>
        <w:tc>
          <w:tcPr>
            <w:tcW w:w="4777" w:type="dxa"/>
          </w:tcPr>
          <w:p>
            <w:pPr/>
            <w:r>
              <w:t xml:space="preserve">El IBAN (norma ISO 13616) tiene como máximo 34 caracteres alfanuméricos; el de Costa Rica tiene 22</w:t>
            </w:r>
          </w:p>
        </w:tc>
      </w:tr>
      <w:tr>
        <w:tc>
          <w:tcPr>
            <w:tcW w:w="2731" w:type="dxa"/>
          </w:tcPr>
          <w:p>
            <w:pPr/>
            <w:r>
              <w:t xml:space="preserve">numero_factura (CP04)</w:t>
            </w:r>
          </w:p>
        </w:tc>
        <w:tc>
          <w:tcPr>
            <w:tcW w:w="1852" w:type="dxa"/>
          </w:tcPr>
          <w:p>
            <w:pPr/>
            <w:r>
              <w:t xml:space="preserve">VARCHAR(50)</w:t>
            </w:r>
          </w:p>
        </w:tc>
        <w:tc>
          <w:tcPr>
            <w:tcW w:w="4777" w:type="dxa"/>
          </w:tcPr>
          <w:p>
            <w:pPr/>
            <w:r>
              <w:t xml:space="preserve">La clave numérica del comprobante electrónico de Costa Rica (versión 4.4) tiene 50 dígitos y su número consecutivo 20, así que caben ambos; para proveedores extranjeros alcanza para sus propios formatos</w:t>
            </w:r>
          </w:p>
        </w:tc>
      </w:tr>
      <w:tr>
        <w:tc>
          <w:tcPr>
            <w:tcW w:w="2731" w:type="dxa"/>
          </w:tcPr>
          <w:p>
            <w:pPr/>
            <w:r>
              <w:t xml:space="preserve">identificacion_tributaria (CP01)</w:t>
            </w:r>
          </w:p>
        </w:tc>
        <w:tc>
          <w:tcPr>
            <w:tcW w:w="1852" w:type="dxa"/>
          </w:tcPr>
          <w:p>
            <w:pPr/>
            <w:r>
              <w:t xml:space="preserve">VARCHAR(30)</w:t>
            </w:r>
          </w:p>
        </w:tc>
        <w:tc>
          <w:tcPr>
            <w:tcW w:w="4777" w:type="dxa"/>
          </w:tcPr>
          <w:p>
            <w:pPr/>
            <w:r>
              <w:t xml:space="preserve">La cédula jurídica costarricense tiene 10 caracteres (12 con guiones) y pasará a un consecutivo alfanumérico, por eso es texto y no número; el margen cubre identificaciones fiscales de otros países</w:t>
            </w:r>
          </w:p>
        </w:tc>
      </w:tr>
      <w:tr>
        <w:tc>
          <w:tcPr>
            <w:tcW w:w="2731" w:type="dxa"/>
          </w:tcPr>
          <w:p>
            <w:pPr/>
            <w:r>
              <w:t xml:space="preserve">direccion_ip (CP09)</w:t>
            </w:r>
          </w:p>
        </w:tc>
        <w:tc>
          <w:tcPr>
            <w:tcW w:w="1852" w:type="dxa"/>
          </w:tcPr>
          <w:p>
            <w:pPr/>
            <w:r>
              <w:t xml:space="preserve">VARCHAR(45)</w:t>
            </w:r>
          </w:p>
        </w:tc>
        <w:tc>
          <w:tcPr>
            <w:tcW w:w="4777" w:type="dxa"/>
          </w:tcPr>
          <w:p>
            <w:pPr/>
            <w:r>
              <w:t xml:space="preserve">La forma de texto más larga de una dirección IPv6 tiene 45 caracteres (la constante INET6_ADDRSTRLEN es 46 contando el carácter nulo final); una IPv4 usa como máximo 15</w:t>
            </w:r>
          </w:p>
        </w:tc>
      </w:tr>
      <w:tr>
        <w:tc>
          <w:tcPr>
            <w:tcW w:w="2731" w:type="dxa"/>
          </w:tcPr>
          <w:p>
            <w:pPr/>
            <w:r>
              <w:t xml:space="preserve">tabla_afectada (CP09), tabla_origen (CP14)</w:t>
            </w:r>
          </w:p>
        </w:tc>
        <w:tc>
          <w:tcPr>
            <w:tcW w:w="1852" w:type="dxa"/>
          </w:tcPr>
          <w:p>
            <w:pPr/>
            <w:r>
              <w:t xml:space="preserve">VARCHAR(60)</w:t>
            </w:r>
          </w:p>
        </w:tc>
        <w:tc>
          <w:tcPr>
            <w:tcW w:w="4777" w:type="dxa"/>
          </w:tcPr>
          <w:p>
            <w:pPr/>
            <w:r>
              <w:t xml:space="preserve">SQL Server permite nombres de objeto de hasta 128 caracteres (tipo sysname); el nombre más largo del modelo, CP05_cuentas_por_pagar_detalle, tiene 30</w:t>
            </w:r>
          </w:p>
        </w:tc>
      </w:tr>
    </w:tbl>
    <w:p>
      <w:pPr>
        <w:pStyle w:val="Heading3"/>
      </w:pPr>
      <w:r>
        <w:t xml:space="preserve">Campos definidos por el dato más largo esperado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88"/>
        <w:gridCol w:w="1852"/>
        <w:gridCol w:w="4920"/>
      </w:tblGrid>
      <w:tr>
        <w:trPr>
          <w:tblHeader/>
        </w:trPr>
        <w:tc>
          <w:tcPr>
            <w:tcW w:w="2588" w:type="dxa"/>
            <w:shd w:val="clear" w:color="auto" w:fill="F2F2F2"/>
          </w:tcPr>
          <w:p>
            <w:pPr/>
            <w:r>
              <w:t xml:space="preserve">Atributo (tabla)</w:t>
            </w:r>
          </w:p>
        </w:tc>
        <w:tc>
          <w:tcPr>
            <w:tcW w:w="1852" w:type="dxa"/>
            <w:shd w:val="clear" w:color="auto" w:fill="F2F2F2"/>
          </w:tcPr>
          <w:p>
            <w:pPr/>
            <w:r>
              <w:t xml:space="preserve">Tamaño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Justificación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razon_social, nombre_comercial (CP01)</w:t>
            </w:r>
          </w:p>
        </w:tc>
        <w:tc>
          <w:tcPr>
            <w:tcW w:w="1852" w:type="dxa"/>
          </w:tcPr>
          <w:p>
            <w:pPr/>
            <w:r>
              <w:t xml:space="preserve">VARCHAR(150)</w:t>
            </w:r>
          </w:p>
        </w:tc>
        <w:tc>
          <w:tcPr>
            <w:tcW w:w="4920" w:type="dxa"/>
          </w:tcPr>
          <w:p>
            <w:pPr/>
            <w:r>
              <w:t xml:space="preserve">Nombres legales largos con su forma societaria, por ejemplo «Corporación Industrial y Comercial del Pacífico Sociedad Anónima» (63 caracteres), más margen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contacto_nombre (CP01), nombre_completo (CP12)</w:t>
            </w:r>
          </w:p>
        </w:tc>
        <w:tc>
          <w:tcPr>
            <w:tcW w:w="1852" w:type="dxa"/>
          </w:tcPr>
          <w:p>
            <w:pPr/>
            <w:r>
              <w:t xml:space="preserve">VARCHAR(120)</w:t>
            </w:r>
          </w:p>
        </w:tc>
        <w:tc>
          <w:tcPr>
            <w:tcW w:w="4920" w:type="dxa"/>
          </w:tcPr>
          <w:p>
            <w:pPr/>
            <w:r>
              <w:t xml:space="preserve">Nombre y dos apellidos, incluso compuestos, caben con holgura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pais (CP01)</w:t>
            </w:r>
          </w:p>
        </w:tc>
        <w:tc>
          <w:tcPr>
            <w:tcW w:w="1852" w:type="dxa"/>
          </w:tcPr>
          <w:p>
            <w:pPr/>
            <w:r>
              <w:t xml:space="preserve">VARCHAR(60)</w:t>
            </w:r>
          </w:p>
        </w:tc>
        <w:tc>
          <w:tcPr>
            <w:tcW w:w="4920" w:type="dxa"/>
          </w:tcPr>
          <w:p>
            <w:pPr/>
            <w:r>
              <w:t xml:space="preserve">El nombre oficial más largo de uso común, «Reino Unido de Gran Bretaña e Irlanda del Norte», tiene 47 caracteres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direccion (CP01)</w:t>
            </w:r>
          </w:p>
        </w:tc>
        <w:tc>
          <w:tcPr>
            <w:tcW w:w="1852" w:type="dxa"/>
          </w:tcPr>
          <w:p>
            <w:pPr/>
            <w:r>
              <w:t xml:space="preserve">VARCHAR(250)</w:t>
            </w:r>
          </w:p>
        </w:tc>
        <w:tc>
          <w:tcPr>
            <w:tcW w:w="4920" w:type="dxa"/>
          </w:tcPr>
          <w:p>
            <w:pPr/>
            <w:r>
              <w:t xml:space="preserve">Direcciones costarricenses por señas y direcciones extranjeras con varias líneas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banco (CP01), nombre_banco (CP15)</w:t>
            </w:r>
          </w:p>
        </w:tc>
        <w:tc>
          <w:tcPr>
            <w:tcW w:w="1852" w:type="dxa"/>
          </w:tcPr>
          <w:p>
            <w:pPr/>
            <w:r>
              <w:t xml:space="preserve">VARCHAR(80)</w:t>
            </w:r>
          </w:p>
        </w:tc>
        <w:tc>
          <w:tcPr>
            <w:tcW w:w="4920" w:type="dxa"/>
          </w:tcPr>
          <w:p>
            <w:pPr/>
            <w:r>
              <w:t xml:space="preserve">Nombres de bancos como «Banco Nacional de Costa Rica» (28) con margen para entidades extranjeras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descripcion (CP05)</w:t>
            </w:r>
          </w:p>
        </w:tc>
        <w:tc>
          <w:tcPr>
            <w:tcW w:w="1852" w:type="dxa"/>
          </w:tcPr>
          <w:p>
            <w:pPr/>
            <w:r>
              <w:t xml:space="preserve">VARCHAR(250)</w:t>
            </w:r>
          </w:p>
        </w:tc>
        <w:tc>
          <w:tcPr>
            <w:tcW w:w="4920" w:type="dxa"/>
          </w:tcPr>
          <w:p>
            <w:pPr/>
            <w:r>
              <w:t xml:space="preserve">Descripción de la línea de factura tal como la envía el proveedor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descripcion (CP07, CP10, CP08), asunto (CP18)</w:t>
            </w:r>
          </w:p>
        </w:tc>
        <w:tc>
          <w:tcPr>
            <w:tcW w:w="1852" w:type="dxa"/>
          </w:tcPr>
          <w:p>
            <w:pPr/>
            <w:r>
              <w:t xml:space="preserve">VARCHAR(150)</w:t>
            </w:r>
          </w:p>
        </w:tc>
        <w:tc>
          <w:tcPr>
            <w:tcW w:w="4920" w:type="dxa"/>
          </w:tcPr>
          <w:p>
            <w:pPr/>
            <w:r>
              <w:t xml:space="preserve">Textos cortos de una línea, como «Abono factura 001-00012 transferencia BCR»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descripcion (CP11)</w:t>
            </w:r>
          </w:p>
        </w:tc>
        <w:tc>
          <w:tcPr>
            <w:tcW w:w="1852" w:type="dxa"/>
          </w:tcPr>
          <w:p>
            <w:pPr/>
            <w:r>
              <w:t xml:space="preserve">VARCHAR(200)</w:t>
            </w:r>
          </w:p>
        </w:tc>
        <w:tc>
          <w:tcPr>
            <w:tcW w:w="4920" w:type="dxa"/>
          </w:tcPr>
          <w:p>
            <w:pPr/>
            <w:r>
              <w:t xml:space="preserve">Una o dos oraciones con las funciones del rol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comentario (CP19), mensaje_error (CP14)</w:t>
            </w:r>
          </w:p>
        </w:tc>
        <w:tc>
          <w:tcPr>
            <w:tcW w:w="1852" w:type="dxa"/>
          </w:tcPr>
          <w:p>
            <w:pPr/>
            <w:r>
              <w:t xml:space="preserve">VARCHAR(250)</w:t>
            </w:r>
          </w:p>
        </w:tc>
        <w:tc>
          <w:tcPr>
            <w:tcW w:w="4920" w:type="dxa"/>
          </w:tcPr>
          <w:p>
            <w:pPr/>
            <w:r>
              <w:t xml:space="preserve">Observaciones o mensajes de error de una o dos oraciones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referencia (CP07)</w:t>
            </w:r>
          </w:p>
        </w:tc>
        <w:tc>
          <w:tcPr>
            <w:tcW w:w="1852" w:type="dxa"/>
          </w:tcPr>
          <w:p>
            <w:pPr/>
            <w:r>
              <w:t xml:space="preserve">VARCHAR(50)</w:t>
            </w:r>
          </w:p>
        </w:tc>
        <w:tc>
          <w:tcPr>
            <w:tcW w:w="4920" w:type="dxa"/>
          </w:tcPr>
          <w:p>
            <w:pPr/>
            <w:r>
              <w:t xml:space="preserve">Comprobante de transferencia o número de cheque que entrega el banco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codigo_erp (CP01, CP04, CP07), id_registro (CP09)</w:t>
            </w:r>
          </w:p>
        </w:tc>
        <w:tc>
          <w:tcPr>
            <w:tcW w:w="1852" w:type="dxa"/>
          </w:tcPr>
          <w:p>
            <w:pPr/>
            <w:r>
              <w:t xml:space="preserve">VARCHAR(50)</w:t>
            </w:r>
          </w:p>
        </w:tc>
        <w:tc>
          <w:tcPr>
            <w:tcW w:w="4920" w:type="dxa"/>
          </w:tcPr>
          <w:p>
            <w:pPr/>
            <w:r>
              <w:t xml:space="preserve">Códigos de otros sistemas o llaves guardadas como texto; su formato no lo controla este sistema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nombre_usuario (CP12), nombre_rol (CP11), nombre (CP02, CP03, CP06, CP08)</w:t>
            </w:r>
          </w:p>
        </w:tc>
        <w:tc>
          <w:tcPr>
            <w:tcW w:w="1852" w:type="dxa"/>
          </w:tcPr>
          <w:p>
            <w:pPr/>
            <w:r>
              <w:t xml:space="preserve">VARCHAR(50)</w:t>
            </w:r>
          </w:p>
        </w:tc>
        <w:tc>
          <w:tcPr>
            <w:tcW w:w="4920" w:type="dxa"/>
          </w:tcPr>
          <w:p>
            <w:pPr/>
            <w:r>
              <w:t xml:space="preserve">El valor inicial más largo es «Descuento por pronto pago» (25 caracteres)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nombre (CP13)</w:t>
            </w:r>
          </w:p>
        </w:tc>
        <w:tc>
          <w:tcPr>
            <w:tcW w:w="1852" w:type="dxa"/>
          </w:tcPr>
          <w:p>
            <w:pPr/>
            <w:r>
              <w:t xml:space="preserve">VARCHAR(30)</w:t>
            </w:r>
          </w:p>
        </w:tc>
        <w:tc>
          <w:tcPr>
            <w:tcW w:w="4920" w:type="dxa"/>
          </w:tcPr>
          <w:p>
            <w:pPr/>
            <w:r>
              <w:t xml:space="preserve">El nombre de frecuencia más largo es «Trimestral» o «Semestral» (10)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ambito (CP08)</w:t>
            </w:r>
          </w:p>
        </w:tc>
        <w:tc>
          <w:tcPr>
            <w:tcW w:w="1852" w:type="dxa"/>
          </w:tcPr>
          <w:p>
            <w:pPr/>
            <w:r>
              <w:t xml:space="preserve">VARCHAR(30)</w:t>
            </w:r>
          </w:p>
        </w:tc>
        <w:tc>
          <w:tcPr>
            <w:tcW w:w="4920" w:type="dxa"/>
          </w:tcPr>
          <w:p>
            <w:pPr/>
            <w:r>
              <w:t xml:space="preserve">El ámbito más largo es «EFECTO_MOVIMIENTO» (17 caracteres)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codigo (CP08), accion (CP09), tipo_operacion (CP14)</w:t>
            </w:r>
          </w:p>
        </w:tc>
        <w:tc>
          <w:tcPr>
            <w:tcW w:w="1852" w:type="dxa"/>
          </w:tcPr>
          <w:p>
            <w:pPr/>
            <w:r>
              <w:t xml:space="preserve">VARCHAR(20)</w:t>
            </w:r>
          </w:p>
        </w:tc>
        <w:tc>
          <w:tcPr>
            <w:tcW w:w="4920" w:type="dxa"/>
          </w:tcPr>
          <w:p>
            <w:pPr/>
            <w:r>
              <w:t xml:space="preserve">El valor permitido más largo es «LOGIN_FALLIDO» (13 caracteres)</w:t>
            </w:r>
          </w:p>
        </w:tc>
      </w:tr>
    </w:tbl>
    <w:p>
      <w:pPr>
        <w:pStyle w:val="Heading2"/>
      </w:pPr>
      <w:r>
        <w:t xml:space="preserve">Módulo Catálogos</w:t>
      </w:r>
    </w:p>
    <w:p>
      <w:pPr>
        <w:pStyle w:val="Heading3"/>
      </w:pPr>
      <w:r>
        <w:t xml:space="preserve">CP08_estados</w:t>
      </w:r>
    </w:p>
    <w:p>
      <w:pPr/>
      <w:r>
        <w:t xml:space="preserve">Catálogo compartido de estados (RF-02, RF-08, RF-03). Cada estado pertenece a un ámbito, así una sola tabla sirve a cuentas, movimientos, lotes, notificaciones y sincronizaciones; las tablas que lo usan validan con un CHECK (función </w:t>
      </w:r>
      <w:r>
        <w:rPr>
          <w:rStyle w:val="CodeChar"/>
        </w:rPr>
        <w:t xml:space="preserve">fn_estado_es_de_ambito</w:t>
      </w:r>
      <w:r>
        <w:t xml:space="preserve">) que el estado sea de su ámbito.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4"/>
        <w:gridCol w:w="1560"/>
        <w:gridCol w:w="720"/>
        <w:gridCol w:w="2175"/>
        <w:gridCol w:w="2519"/>
        <w:gridCol w:w="961"/>
      </w:tblGrid>
      <w:tr>
        <w:trPr>
          <w:tblHeader/>
        </w:trPr>
        <w:tc>
          <w:tcPr>
            <w:tcW w:w="1424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2175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2519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424" w:type="dxa"/>
          </w:tcPr>
          <w:p>
            <w:pPr/>
            <w:r>
              <w:t xml:space="preserve">id_estado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175" w:type="dxa"/>
          </w:tcPr>
          <w:p>
            <w:pPr/>
            <w:r>
              <w:t xml:space="preserve">PK</w:t>
            </w:r>
          </w:p>
        </w:tc>
        <w:tc>
          <w:tcPr>
            <w:tcW w:w="2519" w:type="dxa"/>
          </w:tcPr>
          <w:p>
            <w:pPr/>
            <w:r>
              <w:t xml:space="preserve">Identificador del estado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424" w:type="dxa"/>
          </w:tcPr>
          <w:p>
            <w:pPr/>
            <w:r>
              <w:t xml:space="preserve">ambito</w:t>
            </w:r>
          </w:p>
        </w:tc>
        <w:tc>
          <w:tcPr>
            <w:tcW w:w="1560" w:type="dxa"/>
          </w:tcPr>
          <w:p>
            <w:pPr/>
            <w:r>
              <w:t xml:space="preserve">VARCHAR(30)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175" w:type="dxa"/>
          </w:tcPr>
          <w:p>
            <w:pPr/>
            <w:r>
              <w:t xml:space="preserve">UQ compuesto (ambito, codigo); CK: CUENTA_PAGAR, MOVIMIENTO, LOTE, NOTIFICACION, SINCRONIZACION, EFECTO_MOVIMIENTO</w:t>
            </w:r>
          </w:p>
        </w:tc>
        <w:tc>
          <w:tcPr>
            <w:tcW w:w="2519" w:type="dxa"/>
          </w:tcPr>
          <w:p>
            <w:pPr/>
            <w:r>
              <w:t xml:space="preserve">Entidad a la que pertenece el estado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424" w:type="dxa"/>
          </w:tcPr>
          <w:p>
            <w:pPr/>
            <w:r>
              <w:t xml:space="preserve">codigo</w:t>
            </w:r>
          </w:p>
        </w:tc>
        <w:tc>
          <w:tcPr>
            <w:tcW w:w="1560" w:type="dxa"/>
          </w:tcPr>
          <w:p>
            <w:pPr/>
            <w:r>
              <w:t xml:space="preserve">VARCHAR(20)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175" w:type="dxa"/>
          </w:tcPr>
          <w:p>
            <w:pPr/>
            <w:r>
              <w:t xml:space="preserve">UQ compuesto</w:t>
            </w:r>
          </w:p>
        </w:tc>
        <w:tc>
          <w:tcPr>
            <w:tcW w:w="2519" w:type="dxa"/>
          </w:tcPr>
          <w:p>
            <w:pPr/>
            <w:r>
              <w:t xml:space="preserve">Código que usan los procedimientos, por ejemplo PENDIENTE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424" w:type="dxa"/>
          </w:tcPr>
          <w:p>
            <w:pPr/>
            <w:r>
              <w:t xml:space="preserve">nombre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175" w:type="dxa"/>
          </w:tcPr>
          <w:p>
            <w:pPr/>
          </w:p>
        </w:tc>
        <w:tc>
          <w:tcPr>
            <w:tcW w:w="2519" w:type="dxa"/>
          </w:tcPr>
          <w:p>
            <w:pPr/>
            <w:r>
              <w:t xml:space="preserve">Nombre para mostrar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424" w:type="dxa"/>
          </w:tcPr>
          <w:p>
            <w:pPr/>
            <w:r>
              <w:t xml:space="preserve">descripcion</w:t>
            </w:r>
          </w:p>
        </w:tc>
        <w:tc>
          <w:tcPr>
            <w:tcW w:w="1560" w:type="dxa"/>
          </w:tcPr>
          <w:p>
            <w:pPr/>
            <w:r>
              <w:t xml:space="preserve">VARCHAR(150)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2175" w:type="dxa"/>
          </w:tcPr>
          <w:p>
            <w:pPr/>
          </w:p>
        </w:tc>
        <w:tc>
          <w:tcPr>
            <w:tcW w:w="2519" w:type="dxa"/>
          </w:tcPr>
          <w:p>
            <w:pPr/>
            <w:r>
              <w:t xml:space="preserve">Explicación del estado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424" w:type="dxa"/>
          </w:tcPr>
          <w:p>
            <w:pPr/>
            <w:r>
              <w:t xml:space="preserve">activo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175" w:type="dxa"/>
          </w:tcPr>
          <w:p>
            <w:pPr/>
            <w:r>
              <w:t xml:space="preserve">DF 1</w:t>
            </w:r>
          </w:p>
        </w:tc>
        <w:tc>
          <w:tcPr>
            <w:tcW w:w="2519" w:type="dxa"/>
          </w:tcPr>
          <w:p>
            <w:pPr/>
            <w:r>
              <w:t xml:space="preserve">1 = disponible, 0 = en desuso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02"/>
        <w:gridCol w:w="5957"/>
      </w:tblGrid>
      <w:tr>
        <w:trPr>
          <w:tblHeader/>
        </w:trPr>
        <w:tc>
          <w:tcPr>
            <w:tcW w:w="3402" w:type="dxa"/>
            <w:shd w:val="clear" w:color="auto" w:fill="F2F2F2"/>
          </w:tcPr>
          <w:p>
            <w:pPr/>
            <w:r>
              <w:t xml:space="preserve">Ámbito</w:t>
            </w:r>
          </w:p>
        </w:tc>
        <w:tc>
          <w:tcPr>
            <w:tcW w:w="5957" w:type="dxa"/>
            <w:shd w:val="clear" w:color="auto" w:fill="F2F2F2"/>
          </w:tcPr>
          <w:p>
            <w:pPr/>
            <w:r>
              <w:t xml:space="preserve">Códigos iniciales</w:t>
            </w:r>
          </w:p>
        </w:tc>
      </w:tr>
      <w:tr>
        <w:tc>
          <w:tcPr>
            <w:tcW w:w="3402" w:type="dxa"/>
          </w:tcPr>
          <w:p>
            <w:pPr/>
            <w:r>
              <w:t xml:space="preserve">CUENTA_PAGAR</w:t>
            </w:r>
          </w:p>
        </w:tc>
        <w:tc>
          <w:tcPr>
            <w:tcW w:w="5957" w:type="dxa"/>
          </w:tcPr>
          <w:p>
            <w:pPr/>
            <w:r>
              <w:t xml:space="preserve">PENDIENTE, PARCIAL, VENCIDA, PAGADA, ANULADA</w:t>
            </w:r>
          </w:p>
        </w:tc>
      </w:tr>
      <w:tr>
        <w:tc>
          <w:tcPr>
            <w:tcW w:w="3402" w:type="dxa"/>
          </w:tcPr>
          <w:p>
            <w:pPr/>
            <w:r>
              <w:t xml:space="preserve">MOVIMIENTO</w:t>
            </w:r>
          </w:p>
        </w:tc>
        <w:tc>
          <w:tcPr>
            <w:tcW w:w="5957" w:type="dxa"/>
          </w:tcPr>
          <w:p>
            <w:pPr/>
            <w:r>
              <w:t xml:space="preserve">REGISTRADO, APROBADO, ANULADO</w:t>
            </w:r>
          </w:p>
        </w:tc>
      </w:tr>
      <w:tr>
        <w:tc>
          <w:tcPr>
            <w:tcW w:w="3402" w:type="dxa"/>
          </w:tcPr>
          <w:p>
            <w:pPr/>
            <w:r>
              <w:t xml:space="preserve">LOTE</w:t>
            </w:r>
          </w:p>
        </w:tc>
        <w:tc>
          <w:tcPr>
            <w:tcW w:w="5957" w:type="dxa"/>
          </w:tcPr>
          <w:p>
            <w:pPr/>
            <w:r>
              <w:t xml:space="preserve">GENERADO, ENVIADO, PROCESADO, RECHAZADO</w:t>
            </w:r>
          </w:p>
        </w:tc>
      </w:tr>
      <w:tr>
        <w:tc>
          <w:tcPr>
            <w:tcW w:w="3402" w:type="dxa"/>
          </w:tcPr>
          <w:p>
            <w:pPr/>
            <w:r>
              <w:t xml:space="preserve">NOTIFICACION</w:t>
            </w:r>
          </w:p>
        </w:tc>
        <w:tc>
          <w:tcPr>
            <w:tcW w:w="5957" w:type="dxa"/>
          </w:tcPr>
          <w:p>
            <w:pPr/>
            <w:r>
              <w:t xml:space="preserve">PENDIENTE, ENVIADA, FALLIDA</w:t>
            </w:r>
          </w:p>
        </w:tc>
      </w:tr>
      <w:tr>
        <w:tc>
          <w:tcPr>
            <w:tcW w:w="3402" w:type="dxa"/>
          </w:tcPr>
          <w:p>
            <w:pPr/>
            <w:r>
              <w:t xml:space="preserve">SINCRONIZACION</w:t>
            </w:r>
          </w:p>
        </w:tc>
        <w:tc>
          <w:tcPr>
            <w:tcW w:w="5957" w:type="dxa"/>
          </w:tcPr>
          <w:p>
            <w:pPr/>
            <w:r>
              <w:t xml:space="preserve">PENDIENTE, EXITOSA, ERROR</w:t>
            </w:r>
          </w:p>
        </w:tc>
      </w:tr>
      <w:tr>
        <w:tc>
          <w:tcPr>
            <w:tcW w:w="3402" w:type="dxa"/>
          </w:tcPr>
          <w:p>
            <w:pPr/>
            <w:r>
              <w:t xml:space="preserve">EFECTO_MOVIMIENTO</w:t>
            </w:r>
          </w:p>
        </w:tc>
        <w:tc>
          <w:tcPr>
            <w:tcW w:w="5957" w:type="dxa"/>
          </w:tcPr>
          <w:p>
            <w:pPr/>
            <w:r>
              <w:t xml:space="preserve">DISMINUYE, AUMENTA</w:t>
            </w:r>
          </w:p>
        </w:tc>
      </w:tr>
    </w:tbl>
    <w:p>
      <w:pPr>
        <w:pStyle w:val="Heading3"/>
      </w:pPr>
      <w:r>
        <w:t xml:space="preserve">CP06_metodos_pago</w:t>
      </w:r>
    </w:p>
    <w:p>
      <w:pPr/>
      <w:r>
        <w:t xml:space="preserve">Formas de pago genéricas e indicador de si necesitan un banco (RF-02). Valores iniciales: Transferencia, Cheque y Tarjeta corporativa (requieren banco) y Efectivo (no lo requiere).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437"/>
        <w:gridCol w:w="3122"/>
        <w:gridCol w:w="961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437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3122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id_metodo_pago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PK</w:t>
            </w:r>
          </w:p>
        </w:tc>
        <w:tc>
          <w:tcPr>
            <w:tcW w:w="3122" w:type="dxa"/>
          </w:tcPr>
          <w:p>
            <w:pPr/>
            <w:r>
              <w:t xml:space="preserve">Identificador del método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UQ</w:t>
            </w:r>
          </w:p>
        </w:tc>
        <w:tc>
          <w:tcPr>
            <w:tcW w:w="3122" w:type="dxa"/>
          </w:tcPr>
          <w:p>
            <w:pPr/>
            <w:r>
              <w:t xml:space="preserve">Nombre del método de pago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requiere_banco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DF 1</w:t>
            </w:r>
          </w:p>
        </w:tc>
        <w:tc>
          <w:tcPr>
            <w:tcW w:w="3122" w:type="dxa"/>
          </w:tcPr>
          <w:p>
            <w:pPr/>
            <w:r>
              <w:t xml:space="preserve">1 = el tipo de pago debe indicar un banco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DF 1</w:t>
            </w:r>
          </w:p>
        </w:tc>
        <w:tc>
          <w:tcPr>
            <w:tcW w:w="3122" w:type="dxa"/>
          </w:tcPr>
          <w:p>
            <w:pPr/>
            <w:r>
              <w:t xml:space="preserve">1 = activo, 0 = inactivo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CP13_frecuencias</w:t>
      </w:r>
    </w:p>
    <w:p>
      <w:pPr/>
      <w:r>
        <w:t xml:space="preserve">Catálogo de frecuencias para los pagos programados (RF-08). Cada frecuencia se mide en días o en meses, nunca en ambos. Valores iniciales: Semanal (7 días), Quincenal (15 días), Mensual (1 mes), Bimestral (2), Trimestral (3), Semestral (6) y Anual (12).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932"/>
        <w:gridCol w:w="2627"/>
        <w:gridCol w:w="961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932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2627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id_frecuencia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932" w:type="dxa"/>
          </w:tcPr>
          <w:p>
            <w:pPr/>
            <w:r>
              <w:t xml:space="preserve">PK</w:t>
            </w:r>
          </w:p>
        </w:tc>
        <w:tc>
          <w:tcPr>
            <w:tcW w:w="2627" w:type="dxa"/>
          </w:tcPr>
          <w:p>
            <w:pPr/>
            <w:r>
              <w:t xml:space="preserve">Identificador de la frecuencia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</w:t>
            </w:r>
          </w:p>
        </w:tc>
        <w:tc>
          <w:tcPr>
            <w:tcW w:w="1560" w:type="dxa"/>
          </w:tcPr>
          <w:p>
            <w:pPr/>
            <w:r>
              <w:t xml:space="preserve">VARCHAR(30)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932" w:type="dxa"/>
          </w:tcPr>
          <w:p>
            <w:pPr/>
            <w:r>
              <w:t xml:space="preserve">UQ</w:t>
            </w:r>
          </w:p>
        </w:tc>
        <w:tc>
          <w:tcPr>
            <w:tcW w:w="2627" w:type="dxa"/>
          </w:tcPr>
          <w:p>
            <w:pPr/>
            <w:r>
              <w:t xml:space="preserve">Nombre de la frecuencia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dias_intervalo</w:t>
            </w:r>
          </w:p>
        </w:tc>
        <w:tc>
          <w:tcPr>
            <w:tcW w:w="1560" w:type="dxa"/>
          </w:tcPr>
          <w:p>
            <w:pPr/>
            <w:r>
              <w:t xml:space="preserve">SMALLINT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932" w:type="dxa"/>
          </w:tcPr>
          <w:p>
            <w:pPr/>
            <w:r>
              <w:t xml:space="preserve">DF 0; CK: días &gt; 0 y meses = 0, o días = 0 y meses &gt; 0</w:t>
            </w:r>
          </w:p>
        </w:tc>
        <w:tc>
          <w:tcPr>
            <w:tcW w:w="2627" w:type="dxa"/>
          </w:tcPr>
          <w:p>
            <w:pPr/>
            <w:r>
              <w:t xml:space="preserve">Días entre ejecuciones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meses_intervalo</w:t>
            </w:r>
          </w:p>
        </w:tc>
        <w:tc>
          <w:tcPr>
            <w:tcW w:w="1560" w:type="dxa"/>
          </w:tcPr>
          <w:p>
            <w:pPr/>
            <w:r>
              <w:t xml:space="preserve">TINYINT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932" w:type="dxa"/>
          </w:tcPr>
          <w:p>
            <w:pPr/>
            <w:r>
              <w:t xml:space="preserve">DF 0; mismo CK</w:t>
            </w:r>
          </w:p>
        </w:tc>
        <w:tc>
          <w:tcPr>
            <w:tcW w:w="2627" w:type="dxa"/>
          </w:tcPr>
          <w:p>
            <w:pPr/>
            <w:r>
              <w:t xml:space="preserve">Meses entre ejecuciones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932" w:type="dxa"/>
          </w:tcPr>
          <w:p>
            <w:pPr/>
            <w:r>
              <w:t xml:space="preserve">DF 1</w:t>
            </w:r>
          </w:p>
        </w:tc>
        <w:tc>
          <w:tcPr>
            <w:tcW w:w="2627" w:type="dxa"/>
          </w:tcPr>
          <w:p>
            <w:pPr/>
            <w:r>
              <w:t xml:space="preserve">1 = activa, 0 = inactiva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CP02_tipos_movimiento</w:t>
      </w:r>
    </w:p>
    <w:p>
      <w:pPr/>
      <w:r>
        <w:t xml:space="preserve">Tipos de movimiento y su efecto sobre el saldo (RF-02). El efecto es un estado del ámbito EFECTO_MOVIMIENTO. Valores iniciales: Pago, Descuento por pronto pago y Nota de crédito (disminuyen el saldo) y Nota de débito (lo aumenta).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662"/>
        <w:gridCol w:w="2897"/>
        <w:gridCol w:w="961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662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2897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id_tipo_movimiento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662" w:type="dxa"/>
          </w:tcPr>
          <w:p>
            <w:pPr/>
            <w:r>
              <w:t xml:space="preserve">PK</w:t>
            </w:r>
          </w:p>
        </w:tc>
        <w:tc>
          <w:tcPr>
            <w:tcW w:w="2897" w:type="dxa"/>
          </w:tcPr>
          <w:p>
            <w:pPr/>
            <w:r>
              <w:t xml:space="preserve">Identificador del tipo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id_efecto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662" w:type="dxa"/>
          </w:tcPr>
          <w:p>
            <w:pPr/>
            <w:r>
              <w:t xml:space="preserve">FK → CP08; CK: ámbito EFECTO_MOVIMIENTO</w:t>
            </w:r>
          </w:p>
        </w:tc>
        <w:tc>
          <w:tcPr>
            <w:tcW w:w="2897" w:type="dxa"/>
          </w:tcPr>
          <w:p>
            <w:pPr/>
            <w:r>
              <w:t xml:space="preserve">Si el movimiento aumenta o disminuye el saldo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662" w:type="dxa"/>
          </w:tcPr>
          <w:p>
            <w:pPr/>
            <w:r>
              <w:t xml:space="preserve">UQ</w:t>
            </w:r>
          </w:p>
        </w:tc>
        <w:tc>
          <w:tcPr>
            <w:tcW w:w="2897" w:type="dxa"/>
          </w:tcPr>
          <w:p>
            <w:pPr/>
            <w:r>
              <w:t xml:space="preserve">Nombre del tipo de movimiento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662" w:type="dxa"/>
          </w:tcPr>
          <w:p>
            <w:pPr/>
            <w:r>
              <w:t xml:space="preserve">DF 1</w:t>
            </w:r>
          </w:p>
        </w:tc>
        <w:tc>
          <w:tcPr>
            <w:tcW w:w="2897" w:type="dxa"/>
          </w:tcPr>
          <w:p>
            <w:pPr/>
            <w:r>
              <w:t xml:space="preserve">1 = activo, 0 = inactivo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CP03_tipos_pago</w:t>
      </w:r>
    </w:p>
    <w:p>
      <w:pPr/>
      <w:r>
        <w:t xml:space="preserve">Formas de pago concretas que usa la empresa: un método de pago en un banco, por ejemplo «Transferencia BCR» (RF-02). Como en el esquema del profesor, el banco se relaciona con el tipo de pago; el efectivo no lleva banco.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2584"/>
        <w:gridCol w:w="1975"/>
        <w:gridCol w:w="961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2584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975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id_tipo_pago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584" w:type="dxa"/>
          </w:tcPr>
          <w:p>
            <w:pPr/>
            <w:r>
              <w:t xml:space="preserve">PK</w:t>
            </w:r>
          </w:p>
        </w:tc>
        <w:tc>
          <w:tcPr>
            <w:tcW w:w="1975" w:type="dxa"/>
          </w:tcPr>
          <w:p>
            <w:pPr/>
            <w:r>
              <w:t xml:space="preserve">Identificador del tipo de pago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id_metodo_pago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584" w:type="dxa"/>
          </w:tcPr>
          <w:p>
            <w:pPr/>
            <w:r>
              <w:t xml:space="preserve">FK → CP06</w:t>
            </w:r>
          </w:p>
        </w:tc>
        <w:tc>
          <w:tcPr>
            <w:tcW w:w="1975" w:type="dxa"/>
          </w:tcPr>
          <w:p>
            <w:pPr/>
            <w:r>
              <w:t xml:space="preserve">Método de pago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id_banco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2584" w:type="dxa"/>
          </w:tcPr>
          <w:p>
            <w:pPr/>
            <w:r>
              <w:t xml:space="preserve">FK → CP15; CK: obligatorio si el método requiere banco</w:t>
            </w:r>
          </w:p>
        </w:tc>
        <w:tc>
          <w:tcPr>
            <w:tcW w:w="1975" w:type="dxa"/>
          </w:tcPr>
          <w:p>
            <w:pPr/>
            <w:r>
              <w:t xml:space="preserve">Banco desde donde se paga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584" w:type="dxa"/>
          </w:tcPr>
          <w:p>
            <w:pPr/>
            <w:r>
              <w:t xml:space="preserve">Índice único (id_banco, nombre) cuando hay banco; único por nombre cuando no hay</w:t>
            </w:r>
          </w:p>
        </w:tc>
        <w:tc>
          <w:tcPr>
            <w:tcW w:w="1975" w:type="dxa"/>
          </w:tcPr>
          <w:p>
            <w:pPr/>
            <w:r>
              <w:t xml:space="preserve">Nombre para mostrar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584" w:type="dxa"/>
          </w:tcPr>
          <w:p>
            <w:pPr/>
            <w:r>
              <w:t xml:space="preserve">DF 1</w:t>
            </w:r>
          </w:p>
        </w:tc>
        <w:tc>
          <w:tcPr>
            <w:tcW w:w="1975" w:type="dxa"/>
          </w:tcPr>
          <w:p>
            <w:pPr/>
            <w:r>
              <w:t xml:space="preserve">1 = activo, 0 = inactivo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CP15_bancos</w:t>
      </w:r>
    </w:p>
    <w:p>
      <w:pPr/>
      <w:r>
        <w:t xml:space="preserve">Bancos y cuentas de la empresa desde donde se paga (RF-02, RF-08). No son las cuentas de los proveedores, que se guardan en CP01.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437"/>
        <w:gridCol w:w="3122"/>
        <w:gridCol w:w="961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437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3122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id_banco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PK</w:t>
            </w:r>
          </w:p>
        </w:tc>
        <w:tc>
          <w:tcPr>
            <w:tcW w:w="3122" w:type="dxa"/>
          </w:tcPr>
          <w:p>
            <w:pPr/>
            <w:r>
              <w:t xml:space="preserve">Identificador del banco y cuenta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nombre_banco</w:t>
            </w:r>
          </w:p>
        </w:tc>
        <w:tc>
          <w:tcPr>
            <w:tcW w:w="1560" w:type="dxa"/>
          </w:tcPr>
          <w:p>
            <w:pPr/>
            <w:r>
              <w:t xml:space="preserve">VARCHAR(80)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</w:p>
        </w:tc>
        <w:tc>
          <w:tcPr>
            <w:tcW w:w="3122" w:type="dxa"/>
          </w:tcPr>
          <w:p>
            <w:pPr/>
            <w:r>
              <w:t xml:space="preserve">Nombre del banco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numero_cuenta</w:t>
            </w:r>
          </w:p>
        </w:tc>
        <w:tc>
          <w:tcPr>
            <w:tcW w:w="1560" w:type="dxa"/>
          </w:tcPr>
          <w:p>
            <w:pPr/>
            <w:r>
              <w:t xml:space="preserve">VARCHAR(34)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UQ</w:t>
            </w:r>
          </w:p>
        </w:tc>
        <w:tc>
          <w:tcPr>
            <w:tcW w:w="3122" w:type="dxa"/>
          </w:tcPr>
          <w:p>
            <w:pPr/>
            <w:r>
              <w:t xml:space="preserve">Número de cuenta o IBAN de la empresa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DF 1</w:t>
            </w:r>
          </w:p>
        </w:tc>
        <w:tc>
          <w:tcPr>
            <w:tcW w:w="3122" w:type="dxa"/>
          </w:tcPr>
          <w:p>
            <w:pPr/>
            <w:r>
              <w:t xml:space="preserve">1 = activa, 0 = cerrada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2"/>
      </w:pPr>
      <w:r>
        <w:t xml:space="preserve">Módulo Proveedores</w:t>
      </w:r>
    </w:p>
    <w:p>
      <w:pPr>
        <w:pStyle w:val="Heading3"/>
      </w:pPr>
      <w:r>
        <w:t xml:space="preserve">CP01_proveedores</w:t>
      </w:r>
    </w:p>
    <w:p>
      <w:pPr/>
      <w:r>
        <w:t xml:space="preserve">Catálogo de proveedores con sus datos fiscales, de contacto y términos de crédito (RF-07). Es la tabla padre de las cuentas por pagar, programaciones, notificaciones y evaluaciones.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560"/>
        <w:gridCol w:w="2999"/>
        <w:gridCol w:w="961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2999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id_proveedor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2999" w:type="dxa"/>
          </w:tcPr>
          <w:p>
            <w:pPr/>
            <w:r>
              <w:t xml:space="preserve">Identificador del proveedor</w:t>
            </w:r>
          </w:p>
        </w:tc>
        <w:tc>
          <w:tcPr>
            <w:tcW w:w="961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identificacion_tributaria</w:t>
            </w:r>
          </w:p>
        </w:tc>
        <w:tc>
          <w:tcPr>
            <w:tcW w:w="1560" w:type="dxa"/>
          </w:tcPr>
          <w:p>
            <w:pPr/>
            <w:r>
              <w:t xml:space="preserve">VARCHAR(30)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</w:t>
            </w:r>
          </w:p>
        </w:tc>
        <w:tc>
          <w:tcPr>
            <w:tcW w:w="2999" w:type="dxa"/>
          </w:tcPr>
          <w:p>
            <w:pPr/>
            <w:r>
              <w:t xml:space="preserve">Número fiscal del proveedor</w:t>
            </w:r>
          </w:p>
        </w:tc>
        <w:tc>
          <w:tcPr>
            <w:tcW w:w="961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razon_social</w:t>
            </w:r>
          </w:p>
        </w:tc>
        <w:tc>
          <w:tcPr>
            <w:tcW w:w="1560" w:type="dxa"/>
          </w:tcPr>
          <w:p>
            <w:pPr/>
            <w:r>
              <w:t xml:space="preserve">VARCHAR(150)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2999" w:type="dxa"/>
          </w:tcPr>
          <w:p>
            <w:pPr/>
            <w:r>
              <w:t xml:space="preserve">Nombre legal de la empresa</w:t>
            </w:r>
          </w:p>
        </w:tc>
        <w:tc>
          <w:tcPr>
            <w:tcW w:w="961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nombre_comercial</w:t>
            </w:r>
          </w:p>
        </w:tc>
        <w:tc>
          <w:tcPr>
            <w:tcW w:w="1560" w:type="dxa"/>
          </w:tcPr>
          <w:p>
            <w:pPr/>
            <w:r>
              <w:t xml:space="preserve">VARCHAR(150)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2999" w:type="dxa"/>
          </w:tcPr>
          <w:p>
            <w:pPr/>
            <w:r>
              <w:t xml:space="preserve">Nombre con el que se conoce al proveedor</w:t>
            </w:r>
          </w:p>
        </w:tc>
        <w:tc>
          <w:tcPr>
            <w:tcW w:w="961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pais</w:t>
            </w:r>
          </w:p>
        </w:tc>
        <w:tc>
          <w:tcPr>
            <w:tcW w:w="1560" w:type="dxa"/>
          </w:tcPr>
          <w:p>
            <w:pPr/>
            <w:r>
              <w:t xml:space="preserve">VARCHAR(60)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2999" w:type="dxa"/>
          </w:tcPr>
          <w:p>
            <w:pPr/>
            <w:r>
              <w:t xml:space="preserve">País del proveedor; la empresa es multinacional</w:t>
            </w:r>
          </w:p>
        </w:tc>
        <w:tc>
          <w:tcPr>
            <w:tcW w:w="961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direccion</w:t>
            </w:r>
          </w:p>
        </w:tc>
        <w:tc>
          <w:tcPr>
            <w:tcW w:w="1560" w:type="dxa"/>
          </w:tcPr>
          <w:p>
            <w:pPr/>
            <w:r>
              <w:t xml:space="preserve">VARCHAR(250)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2999" w:type="dxa"/>
          </w:tcPr>
          <w:p>
            <w:pPr/>
            <w:r>
              <w:t xml:space="preserve">Dirección física</w:t>
            </w:r>
          </w:p>
        </w:tc>
        <w:tc>
          <w:tcPr>
            <w:tcW w:w="961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telefono</w:t>
            </w:r>
          </w:p>
        </w:tc>
        <w:tc>
          <w:tcPr>
            <w:tcW w:w="1560" w:type="dxa"/>
          </w:tcPr>
          <w:p>
            <w:pPr/>
            <w:r>
              <w:t xml:space="preserve">VARCHAR(30)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2999" w:type="dxa"/>
          </w:tcPr>
          <w:p>
            <w:pPr/>
            <w:r>
              <w:t xml:space="preserve">Teléfono de contacto</w:t>
            </w:r>
          </w:p>
        </w:tc>
        <w:tc>
          <w:tcPr>
            <w:tcW w:w="961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correo</w:t>
            </w:r>
          </w:p>
        </w:tc>
        <w:tc>
          <w:tcPr>
            <w:tcW w:w="1560" w:type="dxa"/>
          </w:tcPr>
          <w:p>
            <w:pPr/>
            <w:r>
              <w:t xml:space="preserve">VARCHAR(254)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formato de correo (texto@texto.texto)</w:t>
            </w:r>
          </w:p>
        </w:tc>
        <w:tc>
          <w:tcPr>
            <w:tcW w:w="2999" w:type="dxa"/>
          </w:tcPr>
          <w:p>
            <w:pPr/>
            <w:r>
              <w:t xml:space="preserve">Correo donde se envían comprobantes y avisos</w:t>
            </w:r>
          </w:p>
        </w:tc>
        <w:tc>
          <w:tcPr>
            <w:tcW w:w="961" w:type="dxa"/>
          </w:tcPr>
          <w:p>
            <w:pPr/>
            <w:r>
              <w:t xml:space="preserve">RF-07, 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contacto_nombre</w:t>
            </w:r>
          </w:p>
        </w:tc>
        <w:tc>
          <w:tcPr>
            <w:tcW w:w="1560" w:type="dxa"/>
          </w:tcPr>
          <w:p>
            <w:pPr/>
            <w:r>
              <w:t xml:space="preserve">VARCHAR(120)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2999" w:type="dxa"/>
          </w:tcPr>
          <w:p>
            <w:pPr/>
            <w:r>
              <w:t xml:space="preserve">Persona de contacto en el proveedor</w:t>
            </w:r>
          </w:p>
        </w:tc>
        <w:tc>
          <w:tcPr>
            <w:tcW w:w="961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dias_credito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30; CK entre 0 y 365</w:t>
            </w:r>
          </w:p>
        </w:tc>
        <w:tc>
          <w:tcPr>
            <w:tcW w:w="2999" w:type="dxa"/>
          </w:tcPr>
          <w:p>
            <w:pPr/>
            <w:r>
              <w:t xml:space="preserve">Plazo de pago acordado por defecto, en días</w:t>
            </w:r>
          </w:p>
        </w:tc>
        <w:tc>
          <w:tcPr>
            <w:tcW w:w="961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banco</w:t>
            </w:r>
          </w:p>
        </w:tc>
        <w:tc>
          <w:tcPr>
            <w:tcW w:w="1560" w:type="dxa"/>
          </w:tcPr>
          <w:p>
            <w:pPr/>
            <w:r>
              <w:t xml:space="preserve">VARCHAR(80)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2999" w:type="dxa"/>
          </w:tcPr>
          <w:p>
            <w:pPr/>
            <w:r>
              <w:t xml:space="preserve">Banco donde el proveedor recibe pagos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cuenta_bancaria</w:t>
            </w:r>
          </w:p>
        </w:tc>
        <w:tc>
          <w:tcPr>
            <w:tcW w:w="1560" w:type="dxa"/>
          </w:tcPr>
          <w:p>
            <w:pPr/>
            <w:r>
              <w:t xml:space="preserve">VARCHAR(34)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2999" w:type="dxa"/>
          </w:tcPr>
          <w:p>
            <w:pPr/>
            <w:r>
              <w:t xml:space="preserve">Cuenta o IBAN donde se le transfiere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1</w:t>
            </w:r>
          </w:p>
        </w:tc>
        <w:tc>
          <w:tcPr>
            <w:tcW w:w="2999" w:type="dxa"/>
          </w:tcPr>
          <w:p>
            <w:pPr/>
            <w:r>
              <w:t xml:space="preserve">1 = activo, 0 = dado de baja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fecha_registro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fecha actual</w:t>
            </w:r>
          </w:p>
        </w:tc>
        <w:tc>
          <w:tcPr>
            <w:tcW w:w="2999" w:type="dxa"/>
          </w:tcPr>
          <w:p>
            <w:pPr/>
            <w:r>
              <w:t xml:space="preserve">Fecha en que se registró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codigo_erp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2999" w:type="dxa"/>
          </w:tcPr>
          <w:p>
            <w:pPr/>
            <w:r>
              <w:t xml:space="preserve">Código del proveedor en el ERP de la empresa</w:t>
            </w:r>
          </w:p>
        </w:tc>
        <w:tc>
          <w:tcPr>
            <w:tcW w:w="961" w:type="dxa"/>
          </w:tcPr>
          <w:p>
            <w:pPr/>
            <w:r>
              <w:t xml:space="preserve">RF-03</w:t>
            </w:r>
          </w:p>
        </w:tc>
      </w:tr>
    </w:tbl>
    <w:p>
      <w:pPr>
        <w:pStyle w:val="Heading3"/>
      </w:pPr>
      <w:r>
        <w:t xml:space="preserve">CP19_evaluaciones_proveedor</w:t>
      </w:r>
    </w:p>
    <w:p>
      <w:pPr/>
      <w:r>
        <w:t xml:space="preserve">Calificaciones periódicas de cada proveedor para evaluar la relación comercial (RF-07). Se registran con el procedimiento </w:t>
      </w:r>
      <w:r>
        <w:rPr>
          <w:rStyle w:val="CodeChar"/>
        </w:rPr>
        <w:t xml:space="preserve">sp_proveedor_evaluar</w:t>
      </w:r>
      <w:r>
        <w:t xml:space="preserve"> y se complementan con el historial de pagos (</w:t>
      </w:r>
      <w:r>
        <w:rPr>
          <w:rStyle w:val="CodeChar"/>
        </w:rPr>
        <w:t xml:space="preserve">fn_historial_pagos_proveedor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1560"/>
        <w:gridCol w:w="720"/>
        <w:gridCol w:w="1437"/>
        <w:gridCol w:w="3193"/>
        <w:gridCol w:w="868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437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3193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868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id_evaluacion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PK</w:t>
            </w:r>
          </w:p>
        </w:tc>
        <w:tc>
          <w:tcPr>
            <w:tcW w:w="3193" w:type="dxa"/>
          </w:tcPr>
          <w:p>
            <w:pPr/>
            <w:r>
              <w:t xml:space="preserve">Identificador de la evaluación</w:t>
            </w:r>
          </w:p>
        </w:tc>
        <w:tc>
          <w:tcPr>
            <w:tcW w:w="868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id_proveedor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FK → CP01</w:t>
            </w:r>
          </w:p>
        </w:tc>
        <w:tc>
          <w:tcPr>
            <w:tcW w:w="3193" w:type="dxa"/>
          </w:tcPr>
          <w:p>
            <w:pPr/>
            <w:r>
              <w:t xml:space="preserve">Proveedor evaluado</w:t>
            </w:r>
          </w:p>
        </w:tc>
        <w:tc>
          <w:tcPr>
            <w:tcW w:w="868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fecha_evaluacion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DF fecha actual</w:t>
            </w:r>
          </w:p>
        </w:tc>
        <w:tc>
          <w:tcPr>
            <w:tcW w:w="3193" w:type="dxa"/>
          </w:tcPr>
          <w:p>
            <w:pPr/>
            <w:r>
              <w:t xml:space="preserve">Fecha de la evaluación</w:t>
            </w:r>
          </w:p>
        </w:tc>
        <w:tc>
          <w:tcPr>
            <w:tcW w:w="868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calificacion</w:t>
            </w:r>
          </w:p>
        </w:tc>
        <w:tc>
          <w:tcPr>
            <w:tcW w:w="1560" w:type="dxa"/>
          </w:tcPr>
          <w:p>
            <w:pPr/>
            <w:r>
              <w:t xml:space="preserve">TINYINT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CK entre 1 y 5</w:t>
            </w:r>
          </w:p>
        </w:tc>
        <w:tc>
          <w:tcPr>
            <w:tcW w:w="3193" w:type="dxa"/>
          </w:tcPr>
          <w:p>
            <w:pPr/>
            <w:r>
              <w:t xml:space="preserve">Nota del proveedor; 5 es la mejor</w:t>
            </w:r>
          </w:p>
        </w:tc>
        <w:tc>
          <w:tcPr>
            <w:tcW w:w="868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comentario</w:t>
            </w:r>
          </w:p>
        </w:tc>
        <w:tc>
          <w:tcPr>
            <w:tcW w:w="1560" w:type="dxa"/>
          </w:tcPr>
          <w:p>
            <w:pPr/>
            <w:r>
              <w:t xml:space="preserve">VARCHAR(250)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437" w:type="dxa"/>
          </w:tcPr>
          <w:p>
            <w:pPr/>
          </w:p>
        </w:tc>
        <w:tc>
          <w:tcPr>
            <w:tcW w:w="3193" w:type="dxa"/>
          </w:tcPr>
          <w:p>
            <w:pPr/>
            <w:r>
              <w:t xml:space="preserve">Observaciones, por ejemplo entregas tardías</w:t>
            </w:r>
          </w:p>
        </w:tc>
        <w:tc>
          <w:tcPr>
            <w:tcW w:w="868" w:type="dxa"/>
          </w:tcPr>
          <w:p>
            <w:pPr/>
            <w:r>
              <w:t xml:space="preserve">RF-07</w:t>
            </w:r>
          </w:p>
        </w:tc>
      </w:tr>
    </w:tbl>
    <w:p>
      <w:pPr>
        <w:pStyle w:val="Heading2"/>
      </w:pPr>
      <w:r>
        <w:t xml:space="preserve">Módulo Cuentas por Pagar</w:t>
      </w:r>
    </w:p>
    <w:p>
      <w:pPr>
        <w:pStyle w:val="Heading3"/>
      </w:pPr>
      <w:r>
        <w:t xml:space="preserve">CP04_cuentas_por_pagar</w:t>
      </w:r>
    </w:p>
    <w:p>
      <w:pPr/>
      <w:r>
        <w:t xml:space="preserve">Cada factura recibida de un proveedor es una cuenta por pagar, con sus datos de documento, vencimiento, descuento y saldo (RF-01, RF-02). Se relaciona directo con el proveedor, como en el esquema del profesor; se registra con </w:t>
      </w:r>
      <w:r>
        <w:rPr>
          <w:rStyle w:val="CodeChar"/>
        </w:rPr>
        <w:t xml:space="preserve">sp_cuenta_pagar_registrar</w:t>
      </w:r>
      <w:r>
        <w:t xml:space="preserve"> y el saldo lo actualizan los procedimientos de movimientos.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813"/>
        <w:gridCol w:w="2746"/>
        <w:gridCol w:w="961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813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2746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id_cuenta_pagar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PK</w:t>
            </w:r>
          </w:p>
        </w:tc>
        <w:tc>
          <w:tcPr>
            <w:tcW w:w="2746" w:type="dxa"/>
          </w:tcPr>
          <w:p>
            <w:pPr/>
            <w:r>
              <w:t xml:space="preserve">Identificador de la cuenta por pagar</w:t>
            </w:r>
          </w:p>
        </w:tc>
        <w:tc>
          <w:tcPr>
            <w:tcW w:w="961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id_proveedor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FK → CP01; UQ compuesto (id_proveedor, numero_factura)</w:t>
            </w:r>
          </w:p>
        </w:tc>
        <w:tc>
          <w:tcPr>
            <w:tcW w:w="2746" w:type="dxa"/>
          </w:tcPr>
          <w:p>
            <w:pPr/>
            <w:r>
              <w:t xml:space="preserve">Proveedor al que se le debe</w:t>
            </w:r>
          </w:p>
        </w:tc>
        <w:tc>
          <w:tcPr>
            <w:tcW w:w="961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numero_factura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UQ compuesto</w:t>
            </w:r>
          </w:p>
        </w:tc>
        <w:tc>
          <w:tcPr>
            <w:tcW w:w="2746" w:type="dxa"/>
          </w:tcPr>
          <w:p>
            <w:pPr/>
            <w:r>
              <w:t xml:space="preserve">Número impreso en la factura del proveedor</w:t>
            </w:r>
          </w:p>
        </w:tc>
        <w:tc>
          <w:tcPr>
            <w:tcW w:w="961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fecha_emision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</w:p>
        </w:tc>
        <w:tc>
          <w:tcPr>
            <w:tcW w:w="2746" w:type="dxa"/>
          </w:tcPr>
          <w:p>
            <w:pPr/>
            <w:r>
              <w:t xml:space="preserve">Fecha en que el proveedor emitió la factura</w:t>
            </w:r>
          </w:p>
        </w:tc>
        <w:tc>
          <w:tcPr>
            <w:tcW w:w="961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fecha_vencimiento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CK ≥ fecha_emision</w:t>
            </w:r>
          </w:p>
        </w:tc>
        <w:tc>
          <w:tcPr>
            <w:tcW w:w="2746" w:type="dxa"/>
          </w:tcPr>
          <w:p>
            <w:pPr/>
            <w:r>
              <w:t xml:space="preserve">Fecha límite de pago</w:t>
            </w:r>
          </w:p>
        </w:tc>
        <w:tc>
          <w:tcPr>
            <w:tcW w:w="961" w:type="dxa"/>
          </w:tcPr>
          <w:p>
            <w:pPr/>
            <w:r>
              <w:t xml:space="preserve">RF-01, 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dias_credito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CK ≥ 0</w:t>
            </w:r>
          </w:p>
        </w:tc>
        <w:tc>
          <w:tcPr>
            <w:tcW w:w="2746" w:type="dxa"/>
          </w:tcPr>
          <w:p>
            <w:pPr/>
            <w:r>
              <w:t xml:space="preserve">Plazo acordado para esta factura</w:t>
            </w:r>
          </w:p>
        </w:tc>
        <w:tc>
          <w:tcPr>
            <w:tcW w:w="961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pct_descuento_pronto_pago</w:t>
            </w:r>
          </w:p>
        </w:tc>
        <w:tc>
          <w:tcPr>
            <w:tcW w:w="1560" w:type="dxa"/>
          </w:tcPr>
          <w:p>
            <w:pPr/>
            <w:r>
              <w:t xml:space="preserve">DECIMAL(5,2)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DF 0; CK entre 0 y 100</w:t>
            </w:r>
          </w:p>
        </w:tc>
        <w:tc>
          <w:tcPr>
            <w:tcW w:w="2746" w:type="dxa"/>
          </w:tcPr>
          <w:p>
            <w:pPr/>
            <w:r>
              <w:t xml:space="preserve">Descuento si se paga antes de la fecha límite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fecha_limite_descuento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813" w:type="dxa"/>
          </w:tcPr>
          <w:p>
            <w:pPr/>
            <w:r>
              <w:t xml:space="preserve">CK: nula si no hay descuento; si lo hay, entre la emisión y el vencimiento</w:t>
            </w:r>
          </w:p>
        </w:tc>
        <w:tc>
          <w:tcPr>
            <w:tcW w:w="2746" w:type="dxa"/>
          </w:tcPr>
          <w:p>
            <w:pPr/>
            <w:r>
              <w:t xml:space="preserve">Último día para obtener el descuento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subtotal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CK ≥ 0</w:t>
            </w:r>
          </w:p>
        </w:tc>
        <w:tc>
          <w:tcPr>
            <w:tcW w:w="2746" w:type="dxa"/>
          </w:tcPr>
          <w:p>
            <w:pPr/>
            <w:r>
              <w:t xml:space="preserve">Suma de las líneas sin impuestos</w:t>
            </w:r>
          </w:p>
        </w:tc>
        <w:tc>
          <w:tcPr>
            <w:tcW w:w="961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monto_impuesto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CK ≥ 0</w:t>
            </w:r>
          </w:p>
        </w:tc>
        <w:tc>
          <w:tcPr>
            <w:tcW w:w="2746" w:type="dxa"/>
          </w:tcPr>
          <w:p>
            <w:pPr/>
            <w:r>
              <w:t xml:space="preserve">Total de impuestos</w:t>
            </w:r>
          </w:p>
        </w:tc>
        <w:tc>
          <w:tcPr>
            <w:tcW w:w="961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monto_total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CK = subtotal + monto_impuesto</w:t>
            </w:r>
          </w:p>
        </w:tc>
        <w:tc>
          <w:tcPr>
            <w:tcW w:w="2746" w:type="dxa"/>
          </w:tcPr>
          <w:p>
            <w:pPr/>
            <w:r>
              <w:t xml:space="preserve">Total de la factura</w:t>
            </w:r>
          </w:p>
        </w:tc>
        <w:tc>
          <w:tcPr>
            <w:tcW w:w="961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saldo_pendiente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CK ≥ 0</w:t>
            </w:r>
          </w:p>
        </w:tc>
        <w:tc>
          <w:tcPr>
            <w:tcW w:w="2746" w:type="dxa"/>
          </w:tcPr>
          <w:p>
            <w:pPr/>
            <w:r>
              <w:t xml:space="preserve">Lo que falta por pagar después de los movimientos</w:t>
            </w:r>
          </w:p>
        </w:tc>
        <w:tc>
          <w:tcPr>
            <w:tcW w:w="961" w:type="dxa"/>
          </w:tcPr>
          <w:p>
            <w:pPr/>
            <w:r>
              <w:t xml:space="preserve">RF-02, 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id_estado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FK → CP08; CK: ámbito CUENTA_PAGAR</w:t>
            </w:r>
          </w:p>
        </w:tc>
        <w:tc>
          <w:tcPr>
            <w:tcW w:w="2746" w:type="dxa"/>
          </w:tcPr>
          <w:p>
            <w:pPr/>
            <w:r>
              <w:t xml:space="preserve">Pendiente, parcial, vencida, pagada o anulada</w:t>
            </w:r>
          </w:p>
        </w:tc>
        <w:tc>
          <w:tcPr>
            <w:tcW w:w="961" w:type="dxa"/>
          </w:tcPr>
          <w:p>
            <w:pPr/>
            <w:r>
              <w:t xml:space="preserve">RF-01, 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fecha_registro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13" w:type="dxa"/>
          </w:tcPr>
          <w:p>
            <w:pPr/>
            <w:r>
              <w:t xml:space="preserve">DF fecha actual</w:t>
            </w:r>
          </w:p>
        </w:tc>
        <w:tc>
          <w:tcPr>
            <w:tcW w:w="2746" w:type="dxa"/>
          </w:tcPr>
          <w:p>
            <w:pPr/>
            <w:r>
              <w:t xml:space="preserve">Fecha en que se registró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codigo_erp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813" w:type="dxa"/>
          </w:tcPr>
          <w:p>
            <w:pPr/>
          </w:p>
        </w:tc>
        <w:tc>
          <w:tcPr>
            <w:tcW w:w="2746" w:type="dxa"/>
          </w:tcPr>
          <w:p>
            <w:pPr/>
            <w:r>
              <w:t xml:space="preserve">Código de la cuenta en el ERP</w:t>
            </w:r>
          </w:p>
        </w:tc>
        <w:tc>
          <w:tcPr>
            <w:tcW w:w="961" w:type="dxa"/>
          </w:tcPr>
          <w:p>
            <w:pPr/>
            <w:r>
              <w:t xml:space="preserve">RF-03</w:t>
            </w:r>
          </w:p>
        </w:tc>
      </w:tr>
    </w:tbl>
    <w:p>
      <w:pPr>
        <w:pStyle w:val="Heading3"/>
      </w:pPr>
      <w:r>
        <w:t xml:space="preserve">CP05_cuentas_por_pagar_detalle</w:t>
      </w:r>
    </w:p>
    <w:p>
      <w:pPr/>
      <w:r>
        <w:t xml:space="preserve">Líneas de la factura de cada cuenta por pagar, con su descripción e impuestos (RF-01). Si se elimina la cuenta, sus líneas se eliminan con ella (ON DELETE CASCADE).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2314"/>
        <w:gridCol w:w="2338"/>
        <w:gridCol w:w="868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2314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2338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868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id_detalle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314" w:type="dxa"/>
          </w:tcPr>
          <w:p>
            <w:pPr/>
            <w:r>
              <w:t xml:space="preserve">PK</w:t>
            </w:r>
          </w:p>
        </w:tc>
        <w:tc>
          <w:tcPr>
            <w:tcW w:w="2338" w:type="dxa"/>
          </w:tcPr>
          <w:p>
            <w:pPr/>
            <w:r>
              <w:t xml:space="preserve">Identificador de la línea</w:t>
            </w:r>
          </w:p>
        </w:tc>
        <w:tc>
          <w:tcPr>
            <w:tcW w:w="868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id_cuenta_pagar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314" w:type="dxa"/>
          </w:tcPr>
          <w:p>
            <w:pPr/>
            <w:r>
              <w:t xml:space="preserve">FK → CP04 (ON DELETE CASCADE); UQ compuesto (id_cuenta_pagar, numero_linea)</w:t>
            </w:r>
          </w:p>
        </w:tc>
        <w:tc>
          <w:tcPr>
            <w:tcW w:w="2338" w:type="dxa"/>
          </w:tcPr>
          <w:p>
            <w:pPr/>
            <w:r>
              <w:t xml:space="preserve">Cuenta por pagar a la que pertenece</w:t>
            </w:r>
          </w:p>
        </w:tc>
        <w:tc>
          <w:tcPr>
            <w:tcW w:w="868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numero_linea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314" w:type="dxa"/>
          </w:tcPr>
          <w:p>
            <w:pPr/>
            <w:r>
              <w:t xml:space="preserve">UQ compuesto; CK &gt; 0</w:t>
            </w:r>
          </w:p>
        </w:tc>
        <w:tc>
          <w:tcPr>
            <w:tcW w:w="2338" w:type="dxa"/>
          </w:tcPr>
          <w:p>
            <w:pPr/>
            <w:r>
              <w:t xml:space="preserve">Orden de la línea dentro de la factura</w:t>
            </w:r>
          </w:p>
        </w:tc>
        <w:tc>
          <w:tcPr>
            <w:tcW w:w="868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descripcion</w:t>
            </w:r>
          </w:p>
        </w:tc>
        <w:tc>
          <w:tcPr>
            <w:tcW w:w="1560" w:type="dxa"/>
          </w:tcPr>
          <w:p>
            <w:pPr/>
            <w:r>
              <w:t xml:space="preserve">VARCHAR(250)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314" w:type="dxa"/>
          </w:tcPr>
          <w:p>
            <w:pPr/>
          </w:p>
        </w:tc>
        <w:tc>
          <w:tcPr>
            <w:tcW w:w="2338" w:type="dxa"/>
          </w:tcPr>
          <w:p>
            <w:pPr/>
            <w:r>
              <w:t xml:space="preserve">Bien o servicio facturado</w:t>
            </w:r>
          </w:p>
        </w:tc>
        <w:tc>
          <w:tcPr>
            <w:tcW w:w="868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cantidad</w:t>
            </w:r>
          </w:p>
        </w:tc>
        <w:tc>
          <w:tcPr>
            <w:tcW w:w="1560" w:type="dxa"/>
          </w:tcPr>
          <w:p>
            <w:pPr/>
            <w:r>
              <w:t xml:space="preserve">DECIMAL(18,4)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314" w:type="dxa"/>
          </w:tcPr>
          <w:p>
            <w:pPr/>
            <w:r>
              <w:t xml:space="preserve">CK &gt; 0</w:t>
            </w:r>
          </w:p>
        </w:tc>
        <w:tc>
          <w:tcPr>
            <w:tcW w:w="2338" w:type="dxa"/>
          </w:tcPr>
          <w:p>
            <w:pPr/>
            <w:r>
              <w:t xml:space="preserve">Unidades facturadas</w:t>
            </w:r>
          </w:p>
        </w:tc>
        <w:tc>
          <w:tcPr>
            <w:tcW w:w="868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precio_unitario</w:t>
            </w:r>
          </w:p>
        </w:tc>
        <w:tc>
          <w:tcPr>
            <w:tcW w:w="1560" w:type="dxa"/>
          </w:tcPr>
          <w:p>
            <w:pPr/>
            <w:r>
              <w:t xml:space="preserve">DECIMAL(18,4)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314" w:type="dxa"/>
          </w:tcPr>
          <w:p>
            <w:pPr/>
            <w:r>
              <w:t xml:space="preserve">CK ≥ 0</w:t>
            </w:r>
          </w:p>
        </w:tc>
        <w:tc>
          <w:tcPr>
            <w:tcW w:w="2338" w:type="dxa"/>
          </w:tcPr>
          <w:p>
            <w:pPr/>
            <w:r>
              <w:t xml:space="preserve">Precio por unidad</w:t>
            </w:r>
          </w:p>
        </w:tc>
        <w:tc>
          <w:tcPr>
            <w:tcW w:w="868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pct_impuesto</w:t>
            </w:r>
          </w:p>
        </w:tc>
        <w:tc>
          <w:tcPr>
            <w:tcW w:w="1560" w:type="dxa"/>
          </w:tcPr>
          <w:p>
            <w:pPr/>
            <w:r>
              <w:t xml:space="preserve">DECIMAL(5,2)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314" w:type="dxa"/>
          </w:tcPr>
          <w:p>
            <w:pPr/>
            <w:r>
              <w:t xml:space="preserve">DF 0; CK entre 0 y 100</w:t>
            </w:r>
          </w:p>
        </w:tc>
        <w:tc>
          <w:tcPr>
            <w:tcW w:w="2338" w:type="dxa"/>
          </w:tcPr>
          <w:p>
            <w:pPr/>
            <w:r>
              <w:t xml:space="preserve">Porcentaje de impuesto aplicado</w:t>
            </w:r>
          </w:p>
        </w:tc>
        <w:tc>
          <w:tcPr>
            <w:tcW w:w="868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monto_impuesto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314" w:type="dxa"/>
          </w:tcPr>
          <w:p>
            <w:pPr/>
            <w:r>
              <w:t xml:space="preserve">CK ≥ 0</w:t>
            </w:r>
          </w:p>
        </w:tc>
        <w:tc>
          <w:tcPr>
            <w:tcW w:w="2338" w:type="dxa"/>
          </w:tcPr>
          <w:p>
            <w:pPr/>
            <w:r>
              <w:t xml:space="preserve">Impuesto de la línea</w:t>
            </w:r>
          </w:p>
        </w:tc>
        <w:tc>
          <w:tcPr>
            <w:tcW w:w="868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total_linea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314" w:type="dxa"/>
          </w:tcPr>
          <w:p>
            <w:pPr/>
            <w:r>
              <w:t xml:space="preserve">CK = cantidad × precio (redondeado a 2 decimales) + monto_impuesto</w:t>
            </w:r>
          </w:p>
        </w:tc>
        <w:tc>
          <w:tcPr>
            <w:tcW w:w="2338" w:type="dxa"/>
          </w:tcPr>
          <w:p>
            <w:pPr/>
            <w:r>
              <w:t xml:space="preserve">Total de la línea</w:t>
            </w:r>
          </w:p>
        </w:tc>
        <w:tc>
          <w:tcPr>
            <w:tcW w:w="868" w:type="dxa"/>
          </w:tcPr>
          <w:p>
            <w:pPr/>
            <w:r>
              <w:t xml:space="preserve">RF-01</w:t>
            </w:r>
          </w:p>
        </w:tc>
      </w:tr>
    </w:tbl>
    <w:p>
      <w:pPr>
        <w:pStyle w:val="Heading3"/>
      </w:pPr>
      <w:r>
        <w:t xml:space="preserve">CP07_movimientos</w:t>
      </w:r>
    </w:p>
    <w:p>
      <w:pPr/>
      <w:r>
        <w:t xml:space="preserve">Cada pago, nota o descuento aplicado a una cuenta por pagar, numerado dentro de ella: 1, 2, 3… (RF-02). Lo registran </w:t>
      </w:r>
      <w:r>
        <w:rPr>
          <w:rStyle w:val="CodeChar"/>
        </w:rPr>
        <w:t xml:space="preserve">sp_movimiento_registrar</w:t>
      </w:r>
      <w:r>
        <w:t xml:space="preserve"> y </w:t>
      </w:r>
      <w:r>
        <w:rPr>
          <w:rStyle w:val="CodeChar"/>
        </w:rPr>
        <w:t xml:space="preserve">sp_pago_registrar</w:t>
      </w:r>
      <w:r>
        <w:t xml:space="preserve">, y se aprueba o anula con </w:t>
      </w:r>
      <w:r>
        <w:rPr>
          <w:rStyle w:val="CodeChar"/>
        </w:rPr>
        <w:t xml:space="preserve">sp_movimiento_aprobar</w:t>
      </w:r>
      <w:r>
        <w:t xml:space="preserve"> y </w:t>
      </w:r>
      <w:r>
        <w:rPr>
          <w:rStyle w:val="CodeChar"/>
        </w:rPr>
        <w:t xml:space="preserve">sp_movimiento_anular</w:t>
      </w:r>
      <w:r>
        <w:t xml:space="preserve">. Por ejemplo, una cuenta de ₡1 300 con el movimiento 1 (pago de ₡500) y el 2 (pago de ₡300) queda con saldo de ₡500.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585"/>
        <w:gridCol w:w="2974"/>
        <w:gridCol w:w="961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85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2974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id_movimiento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85" w:type="dxa"/>
          </w:tcPr>
          <w:p>
            <w:pPr/>
            <w:r>
              <w:t xml:space="preserve">PK</w:t>
            </w:r>
          </w:p>
        </w:tc>
        <w:tc>
          <w:tcPr>
            <w:tcW w:w="2974" w:type="dxa"/>
          </w:tcPr>
          <w:p>
            <w:pPr/>
            <w:r>
              <w:t xml:space="preserve">Identificador del movimiento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id_cuenta_pagar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85" w:type="dxa"/>
          </w:tcPr>
          <w:p>
            <w:pPr/>
            <w:r>
              <w:t xml:space="preserve">FK → CP04; UQ compuesto (id_cuenta_pagar, numero_movimiento)</w:t>
            </w:r>
          </w:p>
        </w:tc>
        <w:tc>
          <w:tcPr>
            <w:tcW w:w="2974" w:type="dxa"/>
          </w:tcPr>
          <w:p>
            <w:pPr/>
            <w:r>
              <w:t xml:space="preserve">Cuenta por pagar a la que se aplica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id_tipo_movimiento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85" w:type="dxa"/>
          </w:tcPr>
          <w:p>
            <w:pPr/>
            <w:r>
              <w:t xml:space="preserve">FK → CP02</w:t>
            </w:r>
          </w:p>
        </w:tc>
        <w:tc>
          <w:tcPr>
            <w:tcW w:w="2974" w:type="dxa"/>
          </w:tcPr>
          <w:p>
            <w:pPr/>
            <w:r>
              <w:t xml:space="preserve">Pago, descuento, nota de crédito o de débito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numero_movimiento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85" w:type="dxa"/>
          </w:tcPr>
          <w:p>
            <w:pPr/>
            <w:r>
              <w:t xml:space="preserve">UQ compuesto; CK &gt; 0</w:t>
            </w:r>
          </w:p>
        </w:tc>
        <w:tc>
          <w:tcPr>
            <w:tcW w:w="2974" w:type="dxa"/>
          </w:tcPr>
          <w:p>
            <w:pPr/>
            <w:r>
              <w:t xml:space="preserve">Consecutivo dentro de la cuenta por pagar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id_tipo_pago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85" w:type="dxa"/>
          </w:tcPr>
          <w:p>
            <w:pPr/>
            <w:r>
              <w:t xml:space="preserve">FK → CP03</w:t>
            </w:r>
          </w:p>
        </w:tc>
        <w:tc>
          <w:tcPr>
            <w:tcW w:w="2974" w:type="dxa"/>
          </w:tcPr>
          <w:p>
            <w:pPr/>
            <w:r>
              <w:t xml:space="preserve">Forma de pago y banco; nulo si no es un pago, como una nota de crédito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id_lote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85" w:type="dxa"/>
          </w:tcPr>
          <w:p>
            <w:pPr/>
            <w:r>
              <w:t xml:space="preserve">FK → CP16</w:t>
            </w:r>
          </w:p>
        </w:tc>
        <w:tc>
          <w:tcPr>
            <w:tcW w:w="2974" w:type="dxa"/>
          </w:tcPr>
          <w:p>
            <w:pPr/>
            <w:r>
              <w:t xml:space="preserve">Lote de transferencia en que se envió; nulo si fue individual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id_programacion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85" w:type="dxa"/>
          </w:tcPr>
          <w:p>
            <w:pPr/>
            <w:r>
              <w:t xml:space="preserve">FK → CP10</w:t>
            </w:r>
          </w:p>
        </w:tc>
        <w:tc>
          <w:tcPr>
            <w:tcW w:w="2974" w:type="dxa"/>
          </w:tcPr>
          <w:p>
            <w:pPr/>
            <w:r>
              <w:t xml:space="preserve">Programación que generó el pago; nulo si fue manual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fecha_movimiento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85" w:type="dxa"/>
          </w:tcPr>
          <w:p>
            <w:pPr/>
          </w:p>
        </w:tc>
        <w:tc>
          <w:tcPr>
            <w:tcW w:w="2974" w:type="dxa"/>
          </w:tcPr>
          <w:p>
            <w:pPr/>
            <w:r>
              <w:t xml:space="preserve">Fecha del movimiento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85" w:type="dxa"/>
          </w:tcPr>
          <w:p>
            <w:pPr/>
            <w:r>
              <w:t xml:space="preserve">CK &gt; 0</w:t>
            </w:r>
          </w:p>
        </w:tc>
        <w:tc>
          <w:tcPr>
            <w:tcW w:w="2974" w:type="dxa"/>
          </w:tcPr>
          <w:p>
            <w:pPr/>
            <w:r>
              <w:t xml:space="preserve">Monto; el tipo de movimiento indica si suma o resta al saldo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referencia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85" w:type="dxa"/>
          </w:tcPr>
          <w:p>
            <w:pPr/>
          </w:p>
        </w:tc>
        <w:tc>
          <w:tcPr>
            <w:tcW w:w="2974" w:type="dxa"/>
          </w:tcPr>
          <w:p>
            <w:pPr/>
            <w:r>
              <w:t xml:space="preserve">Número de transferencia o cheque; se usa para conciliar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descripcion</w:t>
            </w:r>
          </w:p>
        </w:tc>
        <w:tc>
          <w:tcPr>
            <w:tcW w:w="1560" w:type="dxa"/>
          </w:tcPr>
          <w:p>
            <w:pPr/>
            <w:r>
              <w:t xml:space="preserve">VARCHAR(150)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85" w:type="dxa"/>
          </w:tcPr>
          <w:p>
            <w:pPr/>
          </w:p>
        </w:tc>
        <w:tc>
          <w:tcPr>
            <w:tcW w:w="2974" w:type="dxa"/>
          </w:tcPr>
          <w:p>
            <w:pPr/>
            <w:r>
              <w:t xml:space="preserve">Detalle del movimiento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id_estado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85" w:type="dxa"/>
          </w:tcPr>
          <w:p>
            <w:pPr/>
            <w:r>
              <w:t xml:space="preserve">FK → CP08; CK: ámbito MOVIMIENTO</w:t>
            </w:r>
          </w:p>
        </w:tc>
        <w:tc>
          <w:tcPr>
            <w:tcW w:w="2974" w:type="dxa"/>
          </w:tcPr>
          <w:p>
            <w:pPr/>
            <w:r>
              <w:t xml:space="preserve">Registrado, aprobado o anulado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conciliado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85" w:type="dxa"/>
          </w:tcPr>
          <w:p>
            <w:pPr/>
            <w:r>
              <w:t xml:space="preserve">DF 0; CK: si es 1 debe tener fecha_conciliacion</w:t>
            </w:r>
          </w:p>
        </w:tc>
        <w:tc>
          <w:tcPr>
            <w:tcW w:w="2974" w:type="dxa"/>
          </w:tcPr>
          <w:p>
            <w:pPr/>
            <w:r>
              <w:t xml:space="preserve">1 = ya se comparó con el estado de cuenta del banco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fecha_conciliacion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85" w:type="dxa"/>
          </w:tcPr>
          <w:p>
            <w:pPr/>
          </w:p>
        </w:tc>
        <w:tc>
          <w:tcPr>
            <w:tcW w:w="2974" w:type="dxa"/>
          </w:tcPr>
          <w:p>
            <w:pPr/>
            <w:r>
              <w:t xml:space="preserve">Fecha en que se concilió (</w:t>
            </w:r>
            <w:r>
              <w:rPr>
                <w:rStyle w:val="CodeChar"/>
              </w:rPr>
              <w:t xml:space="preserve">sp_conciliar_extracto</w:t>
            </w:r>
            <w:r>
              <w:t xml:space="preserve">)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id_usuario_registro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85" w:type="dxa"/>
          </w:tcPr>
          <w:p>
            <w:pPr/>
            <w:r>
              <w:t xml:space="preserve">FK → CP12</w:t>
            </w:r>
          </w:p>
        </w:tc>
        <w:tc>
          <w:tcPr>
            <w:tcW w:w="2974" w:type="dxa"/>
          </w:tcPr>
          <w:p>
            <w:pPr/>
            <w:r>
              <w:t xml:space="preserve">Usuario que registró el movimiento</w:t>
            </w:r>
          </w:p>
        </w:tc>
        <w:tc>
          <w:tcPr>
            <w:tcW w:w="961" w:type="dxa"/>
          </w:tcPr>
          <w:p>
            <w:pPr/>
            <w:r>
              <w:t xml:space="preserve">RF-05, 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fecha_registro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85" w:type="dxa"/>
          </w:tcPr>
          <w:p>
            <w:pPr/>
            <w:r>
              <w:t xml:space="preserve">DF fecha actual</w:t>
            </w:r>
          </w:p>
        </w:tc>
        <w:tc>
          <w:tcPr>
            <w:tcW w:w="2974" w:type="dxa"/>
          </w:tcPr>
          <w:p>
            <w:pPr/>
            <w:r>
              <w:t xml:space="preserve">Fecha en que se registró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id_usuario_aprueba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85" w:type="dxa"/>
          </w:tcPr>
          <w:p>
            <w:pPr/>
            <w:r>
              <w:t xml:space="preserve">FK → CP12; CK: distinto de id_usuario_registro (segregación de funciones)</w:t>
            </w:r>
          </w:p>
        </w:tc>
        <w:tc>
          <w:tcPr>
            <w:tcW w:w="2974" w:type="dxa"/>
          </w:tcPr>
          <w:p>
            <w:pPr/>
            <w:r>
              <w:t xml:space="preserve">Usuario que lo aprobó; nulo mientras esté pendiente</w:t>
            </w:r>
          </w:p>
        </w:tc>
        <w:tc>
          <w:tcPr>
            <w:tcW w:w="961" w:type="dxa"/>
          </w:tcPr>
          <w:p>
            <w:pPr/>
            <w:r>
              <w:t xml:space="preserve">RF-05, 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fecha_aprobacion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85" w:type="dxa"/>
          </w:tcPr>
          <w:p>
            <w:pPr/>
            <w:r>
              <w:t xml:space="preserve">CK: se llena junto con id_usuario_aprueba</w:t>
            </w:r>
          </w:p>
        </w:tc>
        <w:tc>
          <w:tcPr>
            <w:tcW w:w="2974" w:type="dxa"/>
          </w:tcPr>
          <w:p>
            <w:pPr/>
            <w:r>
              <w:t xml:space="preserve">Fecha de la aprobación</w:t>
            </w:r>
          </w:p>
        </w:tc>
        <w:tc>
          <w:tcPr>
            <w:tcW w:w="961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codigo_erp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85" w:type="dxa"/>
          </w:tcPr>
          <w:p>
            <w:pPr/>
          </w:p>
        </w:tc>
        <w:tc>
          <w:tcPr>
            <w:tcW w:w="2974" w:type="dxa"/>
          </w:tcPr>
          <w:p>
            <w:pPr/>
            <w:r>
              <w:t xml:space="preserve">Código del movimiento en el ERP</w:t>
            </w:r>
          </w:p>
        </w:tc>
        <w:tc>
          <w:tcPr>
            <w:tcW w:w="961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id_movimiento_origen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85" w:type="dxa"/>
          </w:tcPr>
          <w:p>
            <w:pPr/>
            <w:r>
              <w:t xml:space="preserve">FK → CP07 (la misma tabla); índice único cuando no es nulo</w:t>
            </w:r>
          </w:p>
        </w:tc>
        <w:tc>
          <w:tcPr>
            <w:tcW w:w="2974" w:type="dxa"/>
          </w:tcPr>
          <w:p>
            <w:pPr/>
            <w:r>
              <w:t xml:space="preserve">Pago que generó un descuento por pronto pago; permite anularlos juntos (agregado en 01_correcciones.sql)</w:t>
            </w:r>
          </w:p>
        </w:tc>
        <w:tc>
          <w:tcPr>
            <w:tcW w:w="961" w:type="dxa"/>
          </w:tcPr>
          <w:p>
            <w:pPr/>
            <w:r>
              <w:t xml:space="preserve">RF-02</w:t>
            </w:r>
          </w:p>
        </w:tc>
      </w:tr>
    </w:tbl>
    <w:p>
      <w:pPr>
        <w:pStyle w:val="Heading2"/>
      </w:pPr>
      <w:r>
        <w:t xml:space="preserve">Módulo Tesorería</w:t>
      </w:r>
    </w:p>
    <w:p>
      <w:pPr>
        <w:pStyle w:val="Heading3"/>
      </w:pPr>
      <w:r>
        <w:t xml:space="preserve">CP16_lotes_transferencia</w:t>
      </w:r>
    </w:p>
    <w:p>
      <w:pPr/>
      <w:r>
        <w:t xml:space="preserve">Grupo de pagos que se envía al banco en una sola transferencia masiva (RF-08). Lo arma </w:t>
      </w:r>
      <w:r>
        <w:rPr>
          <w:rStyle w:val="CodeChar"/>
        </w:rPr>
        <w:t xml:space="preserve">sp_lote_generar</w:t>
      </w:r>
      <w:r>
        <w:t xml:space="preserve"> y su estado cambia con </w:t>
      </w:r>
      <w:r>
        <w:rPr>
          <w:rStyle w:val="CodeChar"/>
        </w:rPr>
        <w:t xml:space="preserve">sp_lote_cambiar_estado</w:t>
      </w:r>
      <w:r>
        <w:t xml:space="preserve">; cada movimiento del lote apunta a él desde CP07.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654"/>
        <w:gridCol w:w="2998"/>
        <w:gridCol w:w="868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654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2998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868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id_lote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654" w:type="dxa"/>
          </w:tcPr>
          <w:p>
            <w:pPr/>
            <w:r>
              <w:t xml:space="preserve">PK</w:t>
            </w:r>
          </w:p>
        </w:tc>
        <w:tc>
          <w:tcPr>
            <w:tcW w:w="2998" w:type="dxa"/>
          </w:tcPr>
          <w:p>
            <w:pPr/>
            <w:r>
              <w:t xml:space="preserve">Identificador del lote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id_banco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654" w:type="dxa"/>
          </w:tcPr>
          <w:p>
            <w:pPr/>
            <w:r>
              <w:t xml:space="preserve">FK → CP15</w:t>
            </w:r>
          </w:p>
        </w:tc>
        <w:tc>
          <w:tcPr>
            <w:tcW w:w="2998" w:type="dxa"/>
          </w:tcPr>
          <w:p>
            <w:pPr/>
            <w:r>
              <w:t xml:space="preserve">Banco desde donde se paga el lote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fecha_envio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654" w:type="dxa"/>
          </w:tcPr>
          <w:p>
            <w:pPr/>
            <w:r>
              <w:t xml:space="preserve">DF fecha actual</w:t>
            </w:r>
          </w:p>
        </w:tc>
        <w:tc>
          <w:tcPr>
            <w:tcW w:w="2998" w:type="dxa"/>
          </w:tcPr>
          <w:p>
            <w:pPr/>
            <w:r>
              <w:t xml:space="preserve">Fecha y hora del lote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cantidad_pagos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654" w:type="dxa"/>
          </w:tcPr>
          <w:p>
            <w:pPr/>
            <w:r>
              <w:t xml:space="preserve">DF 0; CK ≥ 0</w:t>
            </w:r>
          </w:p>
        </w:tc>
        <w:tc>
          <w:tcPr>
            <w:tcW w:w="2998" w:type="dxa"/>
          </w:tcPr>
          <w:p>
            <w:pPr/>
            <w:r>
              <w:t xml:space="preserve">Número de movimientos incluidos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monto_total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654" w:type="dxa"/>
          </w:tcPr>
          <w:p>
            <w:pPr/>
            <w:r>
              <w:t xml:space="preserve">DF 0; CK ≥ 0</w:t>
            </w:r>
          </w:p>
        </w:tc>
        <w:tc>
          <w:tcPr>
            <w:tcW w:w="2998" w:type="dxa"/>
          </w:tcPr>
          <w:p>
            <w:pPr/>
            <w:r>
              <w:t xml:space="preserve">Suma de los movimientos del lote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id_estado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654" w:type="dxa"/>
          </w:tcPr>
          <w:p>
            <w:pPr/>
            <w:r>
              <w:t xml:space="preserve">FK → CP08; CK: ámbito LOTE</w:t>
            </w:r>
          </w:p>
        </w:tc>
        <w:tc>
          <w:tcPr>
            <w:tcW w:w="2998" w:type="dxa"/>
          </w:tcPr>
          <w:p>
            <w:pPr/>
            <w:r>
              <w:t xml:space="preserve">Generado, enviado, procesado o rechazado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</w:tbl>
    <w:p>
      <w:pPr>
        <w:pStyle w:val="Heading3"/>
      </w:pPr>
      <w:r>
        <w:t xml:space="preserve">CP10_programacion_pagos</w:t>
      </w:r>
    </w:p>
    <w:p>
      <w:pPr/>
      <w:r>
        <w:t xml:space="preserve">Reglas para generar pagos recurrentes de forma automática (RF-08). La próxima fecha se calcula con </w:t>
      </w:r>
      <w:r>
        <w:rPr>
          <w:rStyle w:val="CodeChar"/>
        </w:rPr>
        <w:t xml:space="preserve">fn_siguiente_ejecucion</w:t>
      </w:r>
      <w:r>
        <w:t xml:space="preserve"> según la frecuencia; cada ejecución crea un movimiento en CP07 con su id_programacion.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504"/>
        <w:gridCol w:w="3055"/>
        <w:gridCol w:w="961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3055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id_programacion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04" w:type="dxa"/>
          </w:tcPr>
          <w:p>
            <w:pPr/>
            <w:r>
              <w:t xml:space="preserve">PK</w:t>
            </w:r>
          </w:p>
        </w:tc>
        <w:tc>
          <w:tcPr>
            <w:tcW w:w="3055" w:type="dxa"/>
          </w:tcPr>
          <w:p>
            <w:pPr/>
            <w:r>
              <w:t xml:space="preserve">Identificador de la programación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id_proveedor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04" w:type="dxa"/>
          </w:tcPr>
          <w:p>
            <w:pPr/>
            <w:r>
              <w:t xml:space="preserve">FK → CP01</w:t>
            </w:r>
          </w:p>
        </w:tc>
        <w:tc>
          <w:tcPr>
            <w:tcW w:w="3055" w:type="dxa"/>
          </w:tcPr>
          <w:p>
            <w:pPr/>
            <w:r>
              <w:t xml:space="preserve">Proveedor al que se le paga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descripcion</w:t>
            </w:r>
          </w:p>
        </w:tc>
        <w:tc>
          <w:tcPr>
            <w:tcW w:w="1560" w:type="dxa"/>
          </w:tcPr>
          <w:p>
            <w:pPr/>
            <w:r>
              <w:t xml:space="preserve">VARCHAR(150)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04" w:type="dxa"/>
          </w:tcPr>
          <w:p>
            <w:pPr/>
          </w:p>
        </w:tc>
        <w:tc>
          <w:tcPr>
            <w:tcW w:w="3055" w:type="dxa"/>
          </w:tcPr>
          <w:p>
            <w:pPr/>
            <w:r>
              <w:t xml:space="preserve">Concepto del pago, por ejemplo alquiler mensual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id_frecuencia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04" w:type="dxa"/>
          </w:tcPr>
          <w:p>
            <w:pPr/>
            <w:r>
              <w:t xml:space="preserve">FK → CP13</w:t>
            </w:r>
          </w:p>
        </w:tc>
        <w:tc>
          <w:tcPr>
            <w:tcW w:w="3055" w:type="dxa"/>
          </w:tcPr>
          <w:p>
            <w:pPr/>
            <w:r>
              <w:t xml:space="preserve">Cada cuánto se paga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dia_ejecucion</w:t>
            </w:r>
          </w:p>
        </w:tc>
        <w:tc>
          <w:tcPr>
            <w:tcW w:w="1560" w:type="dxa"/>
          </w:tcPr>
          <w:p>
            <w:pPr/>
            <w:r>
              <w:t xml:space="preserve">TINYINT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04" w:type="dxa"/>
          </w:tcPr>
          <w:p>
            <w:pPr/>
            <w:r>
              <w:t xml:space="preserve">CK entre 1 y 31</w:t>
            </w:r>
          </w:p>
        </w:tc>
        <w:tc>
          <w:tcPr>
            <w:tcW w:w="3055" w:type="dxa"/>
          </w:tcPr>
          <w:p>
            <w:pPr/>
            <w:r>
              <w:t xml:space="preserve">Día en que se ejecuta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04" w:type="dxa"/>
          </w:tcPr>
          <w:p>
            <w:pPr/>
            <w:r>
              <w:t xml:space="preserve">CK &gt; 0</w:t>
            </w:r>
          </w:p>
        </w:tc>
        <w:tc>
          <w:tcPr>
            <w:tcW w:w="3055" w:type="dxa"/>
          </w:tcPr>
          <w:p>
            <w:pPr/>
            <w:r>
              <w:t xml:space="preserve">Monto de cada pago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fecha_inicio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04" w:type="dxa"/>
          </w:tcPr>
          <w:p>
            <w:pPr/>
          </w:p>
        </w:tc>
        <w:tc>
          <w:tcPr>
            <w:tcW w:w="3055" w:type="dxa"/>
          </w:tcPr>
          <w:p>
            <w:pPr/>
            <w:r>
              <w:t xml:space="preserve">Desde cuándo aplica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fecha_fin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04" w:type="dxa"/>
          </w:tcPr>
          <w:p>
            <w:pPr/>
            <w:r>
              <w:t xml:space="preserve">CK ≥ fecha_inicio</w:t>
            </w:r>
          </w:p>
        </w:tc>
        <w:tc>
          <w:tcPr>
            <w:tcW w:w="3055" w:type="dxa"/>
          </w:tcPr>
          <w:p>
            <w:pPr/>
            <w:r>
              <w:t xml:space="preserve">Hasta cuándo aplica; nulo si no tiene fin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proxima_ejecucion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04" w:type="dxa"/>
          </w:tcPr>
          <w:p>
            <w:pPr/>
            <w:r>
              <w:t xml:space="preserve">CK ≥ fecha_inicio</w:t>
            </w:r>
          </w:p>
        </w:tc>
        <w:tc>
          <w:tcPr>
            <w:tcW w:w="3055" w:type="dxa"/>
          </w:tcPr>
          <w:p>
            <w:pPr/>
            <w:r>
              <w:t xml:space="preserve">Próxima fecha en que se generará el pago</w:t>
            </w:r>
          </w:p>
        </w:tc>
        <w:tc>
          <w:tcPr>
            <w:tcW w:w="961" w:type="dxa"/>
          </w:tcPr>
          <w:p>
            <w:pPr/>
            <w:r>
              <w:t xml:space="preserve">RF-08, 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enviar_comprobante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04" w:type="dxa"/>
          </w:tcPr>
          <w:p>
            <w:pPr/>
            <w:r>
              <w:t xml:space="preserve">DF 1</w:t>
            </w:r>
          </w:p>
        </w:tc>
        <w:tc>
          <w:tcPr>
            <w:tcW w:w="3055" w:type="dxa"/>
          </w:tcPr>
          <w:p>
            <w:pPr/>
            <w:r>
              <w:t xml:space="preserve">1 = enviar el comprobante al proveedor por correo</w:t>
            </w:r>
          </w:p>
        </w:tc>
        <w:tc>
          <w:tcPr>
            <w:tcW w:w="961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04" w:type="dxa"/>
          </w:tcPr>
          <w:p>
            <w:pPr/>
            <w:r>
              <w:t xml:space="preserve">DF 1</w:t>
            </w:r>
          </w:p>
        </w:tc>
        <w:tc>
          <w:tcPr>
            <w:tcW w:w="3055" w:type="dxa"/>
          </w:tcPr>
          <w:p>
            <w:pPr/>
            <w:r>
              <w:t xml:space="preserve">1 = activa, 0 = suspendida</w:t>
            </w:r>
          </w:p>
        </w:tc>
        <w:tc>
          <w:tcPr>
            <w:tcW w:w="961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CP18_notificaciones</w:t>
      </w:r>
    </w:p>
    <w:p>
      <w:pPr/>
      <w:r>
        <w:t xml:space="preserve">Registro de cada correo enviado a un proveedor, como comprobantes de pago o avisos (RF-08). Permite comprobar qué se envió, cuándo y si llegó.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560"/>
        <w:gridCol w:w="3092"/>
        <w:gridCol w:w="868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3092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868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id_notificacion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3092" w:type="dxa"/>
          </w:tcPr>
          <w:p>
            <w:pPr/>
            <w:r>
              <w:t xml:space="preserve">Identificador de la notificación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id_movimiento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FK → CP07</w:t>
            </w:r>
          </w:p>
        </w:tc>
        <w:tc>
          <w:tcPr>
            <w:tcW w:w="3092" w:type="dxa"/>
          </w:tcPr>
          <w:p>
            <w:pPr/>
            <w:r>
              <w:t xml:space="preserve">Movimiento del que se envía el comprobante; nulo si es un aviso general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id_proveedor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CP01</w:t>
            </w:r>
          </w:p>
        </w:tc>
        <w:tc>
          <w:tcPr>
            <w:tcW w:w="3092" w:type="dxa"/>
          </w:tcPr>
          <w:p>
            <w:pPr/>
            <w:r>
              <w:t xml:space="preserve">Proveedor que la recibe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correo_destino</w:t>
            </w:r>
          </w:p>
        </w:tc>
        <w:tc>
          <w:tcPr>
            <w:tcW w:w="1560" w:type="dxa"/>
          </w:tcPr>
          <w:p>
            <w:pPr/>
            <w:r>
              <w:t xml:space="preserve">VARCHAR(254)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formato de correo</w:t>
            </w:r>
          </w:p>
        </w:tc>
        <w:tc>
          <w:tcPr>
            <w:tcW w:w="3092" w:type="dxa"/>
          </w:tcPr>
          <w:p>
            <w:pPr/>
            <w:r>
              <w:t xml:space="preserve">Correo al que se envió; se guarda por si el proveedor lo cambia después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asunto</w:t>
            </w:r>
          </w:p>
        </w:tc>
        <w:tc>
          <w:tcPr>
            <w:tcW w:w="1560" w:type="dxa"/>
          </w:tcPr>
          <w:p>
            <w:pPr/>
            <w:r>
              <w:t xml:space="preserve">VARCHAR(150)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3092" w:type="dxa"/>
          </w:tcPr>
          <w:p>
            <w:pPr/>
            <w:r>
              <w:t xml:space="preserve">Asunto del correo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fecha_envio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fecha actual</w:t>
            </w:r>
          </w:p>
        </w:tc>
        <w:tc>
          <w:tcPr>
            <w:tcW w:w="3092" w:type="dxa"/>
          </w:tcPr>
          <w:p>
            <w:pPr/>
            <w:r>
              <w:t xml:space="preserve">Momento del envío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id_estado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CP08; CK: ámbito NOTIFICACION</w:t>
            </w:r>
          </w:p>
        </w:tc>
        <w:tc>
          <w:tcPr>
            <w:tcW w:w="3092" w:type="dxa"/>
          </w:tcPr>
          <w:p>
            <w:pPr/>
            <w:r>
              <w:t xml:space="preserve">Pendiente, enviada o fallida</w:t>
            </w:r>
          </w:p>
        </w:tc>
        <w:tc>
          <w:tcPr>
            <w:tcW w:w="868" w:type="dxa"/>
          </w:tcPr>
          <w:p>
            <w:pPr/>
            <w:r>
              <w:t xml:space="preserve">RF-08</w:t>
            </w:r>
          </w:p>
        </w:tc>
      </w:tr>
    </w:tbl>
    <w:p>
      <w:pPr>
        <w:pStyle w:val="Heading2"/>
      </w:pPr>
      <w:r>
        <w:t xml:space="preserve">Módulo Seguridad y Auditoría</w:t>
      </w:r>
    </w:p>
    <w:p>
      <w:pPr>
        <w:pStyle w:val="Heading3"/>
      </w:pPr>
      <w:r>
        <w:t xml:space="preserve">CP11_roles</w:t>
      </w:r>
    </w:p>
    <w:p>
      <w:pPr/>
      <w:r>
        <w:t xml:space="preserve">Roles del control de acceso (RBAC) que definen qué puede hacer cada usuario (RF-09). Valores iniciales: Administrador (nivel 5), Tesorero (4), Contador (3), Auditor (2) y Consulta (1); solo Administrador y Tesorero pueden aprobar pagos.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06"/>
        <w:gridCol w:w="1560"/>
        <w:gridCol w:w="720"/>
        <w:gridCol w:w="1437"/>
        <w:gridCol w:w="2955"/>
        <w:gridCol w:w="1082"/>
      </w:tblGrid>
      <w:tr>
        <w:trPr>
          <w:tblHeader/>
        </w:trPr>
        <w:tc>
          <w:tcPr>
            <w:tcW w:w="1606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437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2955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082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606" w:type="dxa"/>
          </w:tcPr>
          <w:p>
            <w:pPr/>
            <w:r>
              <w:t xml:space="preserve">id_rol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PK</w:t>
            </w:r>
          </w:p>
        </w:tc>
        <w:tc>
          <w:tcPr>
            <w:tcW w:w="2955" w:type="dxa"/>
          </w:tcPr>
          <w:p>
            <w:pPr/>
            <w:r>
              <w:t xml:space="preserve">Identificador del rol</w:t>
            </w:r>
          </w:p>
        </w:tc>
        <w:tc>
          <w:tcPr>
            <w:tcW w:w="1082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606" w:type="dxa"/>
          </w:tcPr>
          <w:p>
            <w:pPr/>
            <w:r>
              <w:t xml:space="preserve">nombre_rol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UQ</w:t>
            </w:r>
          </w:p>
        </w:tc>
        <w:tc>
          <w:tcPr>
            <w:tcW w:w="2955" w:type="dxa"/>
          </w:tcPr>
          <w:p>
            <w:pPr/>
            <w:r>
              <w:t xml:space="preserve">Nombre del rol</w:t>
            </w:r>
          </w:p>
        </w:tc>
        <w:tc>
          <w:tcPr>
            <w:tcW w:w="1082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606" w:type="dxa"/>
          </w:tcPr>
          <w:p>
            <w:pPr/>
            <w:r>
              <w:t xml:space="preserve">descripcion</w:t>
            </w:r>
          </w:p>
        </w:tc>
        <w:tc>
          <w:tcPr>
            <w:tcW w:w="1560" w:type="dxa"/>
          </w:tcPr>
          <w:p>
            <w:pPr/>
            <w:r>
              <w:t xml:space="preserve">VARCHAR(200)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</w:p>
        </w:tc>
        <w:tc>
          <w:tcPr>
            <w:tcW w:w="2955" w:type="dxa"/>
          </w:tcPr>
          <w:p>
            <w:pPr/>
            <w:r>
              <w:t xml:space="preserve">Funciones del rol</w:t>
            </w:r>
          </w:p>
        </w:tc>
        <w:tc>
          <w:tcPr>
            <w:tcW w:w="1082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606" w:type="dxa"/>
          </w:tcPr>
          <w:p>
            <w:pPr/>
            <w:r>
              <w:t xml:space="preserve">nivel_acceso</w:t>
            </w:r>
          </w:p>
        </w:tc>
        <w:tc>
          <w:tcPr>
            <w:tcW w:w="1560" w:type="dxa"/>
          </w:tcPr>
          <w:p>
            <w:pPr/>
            <w:r>
              <w:t xml:space="preserve">TINYINT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CK entre 1 y 5</w:t>
            </w:r>
          </w:p>
        </w:tc>
        <w:tc>
          <w:tcPr>
            <w:tcW w:w="2955" w:type="dxa"/>
          </w:tcPr>
          <w:p>
            <w:pPr/>
            <w:r>
              <w:t xml:space="preserve">Nivel de permisos; 5 es el más alto</w:t>
            </w:r>
          </w:p>
        </w:tc>
        <w:tc>
          <w:tcPr>
            <w:tcW w:w="1082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606" w:type="dxa"/>
          </w:tcPr>
          <w:p>
            <w:pPr/>
            <w:r>
              <w:t xml:space="preserve">puede_aprobar_pagos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DF 0</w:t>
            </w:r>
          </w:p>
        </w:tc>
        <w:tc>
          <w:tcPr>
            <w:tcW w:w="2955" w:type="dxa"/>
          </w:tcPr>
          <w:p>
            <w:pPr/>
            <w:r>
              <w:t xml:space="preserve">1 = el rol puede aprobar pagos</w:t>
            </w:r>
          </w:p>
        </w:tc>
        <w:tc>
          <w:tcPr>
            <w:tcW w:w="1082" w:type="dxa"/>
          </w:tcPr>
          <w:p>
            <w:pPr/>
            <w:r>
              <w:t xml:space="preserve">RF-02, RF-09</w:t>
            </w:r>
          </w:p>
        </w:tc>
      </w:tr>
      <w:tr>
        <w:tc>
          <w:tcPr>
            <w:tcW w:w="1606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DF 1</w:t>
            </w:r>
          </w:p>
        </w:tc>
        <w:tc>
          <w:tcPr>
            <w:tcW w:w="2955" w:type="dxa"/>
          </w:tcPr>
          <w:p>
            <w:pPr/>
            <w:r>
              <w:t xml:space="preserve">1 = activo, 0 = inactivo</w:t>
            </w:r>
          </w:p>
        </w:tc>
        <w:tc>
          <w:tcPr>
            <w:tcW w:w="1082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606" w:type="dxa"/>
          </w:tcPr>
          <w:p>
            <w:pPr/>
            <w:r>
              <w:t xml:space="preserve">fecha_creacion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DF fecha actual</w:t>
            </w:r>
          </w:p>
        </w:tc>
        <w:tc>
          <w:tcPr>
            <w:tcW w:w="2955" w:type="dxa"/>
          </w:tcPr>
          <w:p>
            <w:pPr/>
            <w:r>
              <w:t xml:space="preserve">Fecha en que se creó el rol</w:t>
            </w:r>
          </w:p>
        </w:tc>
        <w:tc>
          <w:tcPr>
            <w:tcW w:w="1082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CP12_usuarios</w:t>
      </w:r>
    </w:p>
    <w:p>
      <w:pPr/>
      <w:r>
        <w:t xml:space="preserve">Usuarios del sistema con su rol y credenciales protegidas con hash y salt (RF-09, RNF-02). La contraseña nunca se guarda en texto plano: </w:t>
      </w:r>
      <w:r>
        <w:rPr>
          <w:rStyle w:val="CodeChar"/>
        </w:rPr>
        <w:t xml:space="preserve">fn_hash_contrasena</w:t>
      </w:r>
      <w:r>
        <w:t xml:space="preserve"> calcula el hash y </w:t>
      </w:r>
      <w:r>
        <w:rPr>
          <w:rStyle w:val="CodeChar"/>
        </w:rPr>
        <w:t xml:space="preserve">sp_usuario_autenticar</w:t>
      </w:r>
      <w:r>
        <w:t xml:space="preserve"> lo compara al iniciar sesión.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437"/>
        <w:gridCol w:w="3058"/>
        <w:gridCol w:w="1025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437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3058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025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id_usuario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PK</w:t>
            </w:r>
          </w:p>
        </w:tc>
        <w:tc>
          <w:tcPr>
            <w:tcW w:w="3058" w:type="dxa"/>
          </w:tcPr>
          <w:p>
            <w:pPr/>
            <w:r>
              <w:t xml:space="preserve">Identificador del usuario</w:t>
            </w:r>
          </w:p>
        </w:tc>
        <w:tc>
          <w:tcPr>
            <w:tcW w:w="1025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id_rol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FK → CP11</w:t>
            </w:r>
          </w:p>
        </w:tc>
        <w:tc>
          <w:tcPr>
            <w:tcW w:w="3058" w:type="dxa"/>
          </w:tcPr>
          <w:p>
            <w:pPr/>
            <w:r>
              <w:t xml:space="preserve">Rol asignado</w:t>
            </w:r>
          </w:p>
        </w:tc>
        <w:tc>
          <w:tcPr>
            <w:tcW w:w="1025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nombre_usuario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UQ</w:t>
            </w:r>
          </w:p>
        </w:tc>
        <w:tc>
          <w:tcPr>
            <w:tcW w:w="3058" w:type="dxa"/>
          </w:tcPr>
          <w:p>
            <w:pPr/>
            <w:r>
              <w:t xml:space="preserve">Nombre para iniciar sesión</w:t>
            </w:r>
          </w:p>
        </w:tc>
        <w:tc>
          <w:tcPr>
            <w:tcW w:w="1025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nombre_completo</w:t>
            </w:r>
          </w:p>
        </w:tc>
        <w:tc>
          <w:tcPr>
            <w:tcW w:w="1560" w:type="dxa"/>
          </w:tcPr>
          <w:p>
            <w:pPr/>
            <w:r>
              <w:t xml:space="preserve">VARCHAR(120)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</w:p>
        </w:tc>
        <w:tc>
          <w:tcPr>
            <w:tcW w:w="3058" w:type="dxa"/>
          </w:tcPr>
          <w:p>
            <w:pPr/>
            <w:r>
              <w:t xml:space="preserve">Nombre de la persona</w:t>
            </w:r>
          </w:p>
        </w:tc>
        <w:tc>
          <w:tcPr>
            <w:tcW w:w="1025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correo</w:t>
            </w:r>
          </w:p>
        </w:tc>
        <w:tc>
          <w:tcPr>
            <w:tcW w:w="1560" w:type="dxa"/>
          </w:tcPr>
          <w:p>
            <w:pPr/>
            <w:r>
              <w:t xml:space="preserve">VARCHAR(254)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UQ; CK: formato de correo</w:t>
            </w:r>
          </w:p>
        </w:tc>
        <w:tc>
          <w:tcPr>
            <w:tcW w:w="3058" w:type="dxa"/>
          </w:tcPr>
          <w:p>
            <w:pPr/>
            <w:r>
              <w:t xml:space="preserve">Correo institucional</w:t>
            </w:r>
          </w:p>
        </w:tc>
        <w:tc>
          <w:tcPr>
            <w:tcW w:w="1025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hash_contrasena</w:t>
            </w:r>
          </w:p>
        </w:tc>
        <w:tc>
          <w:tcPr>
            <w:tcW w:w="1560" w:type="dxa"/>
          </w:tcPr>
          <w:p>
            <w:pPr/>
            <w:r>
              <w:t xml:space="preserve">VARBINARY(64)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</w:p>
        </w:tc>
        <w:tc>
          <w:tcPr>
            <w:tcW w:w="3058" w:type="dxa"/>
          </w:tcPr>
          <w:p>
            <w:pPr/>
            <w:r>
              <w:t xml:space="preserve">Resultado de aplicar SHA2-512 a la contraseña más el salt</w:t>
            </w:r>
          </w:p>
        </w:tc>
        <w:tc>
          <w:tcPr>
            <w:tcW w:w="1025" w:type="dxa"/>
          </w:tcPr>
          <w:p>
            <w:pPr/>
            <w:r>
              <w:t xml:space="preserve">RNF-02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salt</w:t>
            </w:r>
          </w:p>
        </w:tc>
        <w:tc>
          <w:tcPr>
            <w:tcW w:w="1560" w:type="dxa"/>
          </w:tcPr>
          <w:p>
            <w:pPr/>
            <w:r>
              <w:t xml:space="preserve">VARBINARY(64)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</w:p>
        </w:tc>
        <w:tc>
          <w:tcPr>
            <w:tcW w:w="3058" w:type="dxa"/>
          </w:tcPr>
          <w:p>
            <w:pPr/>
            <w:r>
              <w:t xml:space="preserve">Valor aleatorio propio de cada usuario que se combina con la contraseña</w:t>
            </w:r>
          </w:p>
        </w:tc>
        <w:tc>
          <w:tcPr>
            <w:tcW w:w="1025" w:type="dxa"/>
          </w:tcPr>
          <w:p>
            <w:pPr/>
            <w:r>
              <w:t xml:space="preserve">RNF-02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intentos_fallidos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DF 0; CK ≥ 0</w:t>
            </w:r>
          </w:p>
        </w:tc>
        <w:tc>
          <w:tcPr>
            <w:tcW w:w="3058" w:type="dxa"/>
          </w:tcPr>
          <w:p>
            <w:pPr/>
            <w:r>
              <w:t xml:space="preserve">Intentos de acceso fallidos seguidos; permite bloquear la cuenta</w:t>
            </w:r>
          </w:p>
        </w:tc>
        <w:tc>
          <w:tcPr>
            <w:tcW w:w="1025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ultimo_acceso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437" w:type="dxa"/>
          </w:tcPr>
          <w:p>
            <w:pPr/>
          </w:p>
        </w:tc>
        <w:tc>
          <w:tcPr>
            <w:tcW w:w="3058" w:type="dxa"/>
          </w:tcPr>
          <w:p>
            <w:pPr/>
            <w:r>
              <w:t xml:space="preserve">Fecha del último inicio de sesión</w:t>
            </w:r>
          </w:p>
        </w:tc>
        <w:tc>
          <w:tcPr>
            <w:tcW w:w="1025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DF 1</w:t>
            </w:r>
          </w:p>
        </w:tc>
        <w:tc>
          <w:tcPr>
            <w:tcW w:w="3058" w:type="dxa"/>
          </w:tcPr>
          <w:p>
            <w:pPr/>
            <w:r>
              <w:t xml:space="preserve">1 = activo, 0 = bloqueado o dado de baja</w:t>
            </w:r>
          </w:p>
        </w:tc>
        <w:tc>
          <w:tcPr>
            <w:tcW w:w="1025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fecha_registro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437" w:type="dxa"/>
          </w:tcPr>
          <w:p>
            <w:pPr/>
            <w:r>
              <w:t xml:space="preserve">DF fecha actual</w:t>
            </w:r>
          </w:p>
        </w:tc>
        <w:tc>
          <w:tcPr>
            <w:tcW w:w="3058" w:type="dxa"/>
          </w:tcPr>
          <w:p>
            <w:pPr/>
            <w:r>
              <w:t xml:space="preserve">Fecha en que se creó el usuario</w:t>
            </w:r>
          </w:p>
        </w:tc>
        <w:tc>
          <w:tcPr>
            <w:tcW w:w="1025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CP09_auditoria_acciones</w:t>
      </w:r>
    </w:p>
    <w:p>
      <w:pPr/>
      <w:r>
        <w:t xml:space="preserve">Bitácora de solo inserción (append-only) de los cambios hechos en el sistema (RF-05). La llenan los triggers de auditoría de CP01, CP04, CP07, CP10, CP12 y CP16, y el trigger </w:t>
      </w:r>
      <w:r>
        <w:rPr>
          <w:rStyle w:val="CodeChar"/>
        </w:rPr>
        <w:t xml:space="preserve">trg_CP09_inmutable</w:t>
      </w:r>
      <w:r>
        <w:t xml:space="preserve"> impide modificar o borrar sus filas. No tiene FK a propósito: debe conservarse aunque cambien los usuarios o los registros.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891"/>
        <w:gridCol w:w="2911"/>
        <w:gridCol w:w="718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891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2911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718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id_auditoria</w:t>
            </w:r>
          </w:p>
        </w:tc>
        <w:tc>
          <w:tcPr>
            <w:tcW w:w="1560" w:type="dxa"/>
          </w:tcPr>
          <w:p>
            <w:pPr/>
            <w:r>
              <w:t xml:space="preserve">BIGINT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91" w:type="dxa"/>
          </w:tcPr>
          <w:p>
            <w:pPr/>
            <w:r>
              <w:t xml:space="preserve">PK</w:t>
            </w:r>
          </w:p>
        </w:tc>
        <w:tc>
          <w:tcPr>
            <w:tcW w:w="2911" w:type="dxa"/>
          </w:tcPr>
          <w:p>
            <w:pPr/>
            <w:r>
              <w:t xml:space="preserve">Identificador del registro; BIGINT por el alto volumen</w:t>
            </w:r>
          </w:p>
        </w:tc>
        <w:tc>
          <w:tcPr>
            <w:tcW w:w="718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id_usuario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891" w:type="dxa"/>
          </w:tcPr>
          <w:p>
            <w:pPr/>
            <w:r>
              <w:t xml:space="preserve">Referencia lógica a CP12, sin FK</w:t>
            </w:r>
          </w:p>
        </w:tc>
        <w:tc>
          <w:tcPr>
            <w:tcW w:w="2911" w:type="dxa"/>
          </w:tcPr>
          <w:p>
            <w:pPr/>
            <w:r>
              <w:t xml:space="preserve">Usuario que hizo la acción; nulo si fue un proceso automático</w:t>
            </w:r>
          </w:p>
        </w:tc>
        <w:tc>
          <w:tcPr>
            <w:tcW w:w="718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tabla_afectada</w:t>
            </w:r>
          </w:p>
        </w:tc>
        <w:tc>
          <w:tcPr>
            <w:tcW w:w="1560" w:type="dxa"/>
          </w:tcPr>
          <w:p>
            <w:pPr/>
            <w:r>
              <w:t xml:space="preserve">VARCHAR(60)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91" w:type="dxa"/>
          </w:tcPr>
          <w:p>
            <w:pPr/>
          </w:p>
        </w:tc>
        <w:tc>
          <w:tcPr>
            <w:tcW w:w="2911" w:type="dxa"/>
          </w:tcPr>
          <w:p>
            <w:pPr/>
            <w:r>
              <w:t xml:space="preserve">Tabla donde ocurrió el cambio</w:t>
            </w:r>
          </w:p>
        </w:tc>
        <w:tc>
          <w:tcPr>
            <w:tcW w:w="718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id_registro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91" w:type="dxa"/>
          </w:tcPr>
          <w:p>
            <w:pPr/>
          </w:p>
        </w:tc>
        <w:tc>
          <w:tcPr>
            <w:tcW w:w="2911" w:type="dxa"/>
          </w:tcPr>
          <w:p>
            <w:pPr/>
            <w:r>
              <w:t xml:space="preserve">Llave del registro modificado</w:t>
            </w:r>
          </w:p>
        </w:tc>
        <w:tc>
          <w:tcPr>
            <w:tcW w:w="718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accion</w:t>
            </w:r>
          </w:p>
        </w:tc>
        <w:tc>
          <w:tcPr>
            <w:tcW w:w="1560" w:type="dxa"/>
          </w:tcPr>
          <w:p>
            <w:pPr/>
            <w:r>
              <w:t xml:space="preserve">VARCHAR(20)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91" w:type="dxa"/>
          </w:tcPr>
          <w:p>
            <w:pPr/>
            <w:r>
              <w:t xml:space="preserve">CK: INSERT, UPDATE, DELETE, LOGIN, LOGIN_FALLIDO, APROBAR, ANULAR, CONCILIAR, EJECUTAR, RESPALDO</w:t>
            </w:r>
          </w:p>
        </w:tc>
        <w:tc>
          <w:tcPr>
            <w:tcW w:w="2911" w:type="dxa"/>
          </w:tcPr>
          <w:p>
            <w:pPr/>
            <w:r>
              <w:t xml:space="preserve">Tipo de acción</w:t>
            </w:r>
          </w:p>
        </w:tc>
        <w:tc>
          <w:tcPr>
            <w:tcW w:w="718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valor_anterior</w:t>
            </w:r>
          </w:p>
        </w:tc>
        <w:tc>
          <w:tcPr>
            <w:tcW w:w="1560" w:type="dxa"/>
          </w:tcPr>
          <w:p>
            <w:pPr/>
            <w:r>
              <w:t xml:space="preserve">NVARCHAR(MAX)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891" w:type="dxa"/>
          </w:tcPr>
          <w:p>
            <w:pPr/>
          </w:p>
        </w:tc>
        <w:tc>
          <w:tcPr>
            <w:tcW w:w="2911" w:type="dxa"/>
          </w:tcPr>
          <w:p>
            <w:pPr/>
            <w:r>
              <w:t xml:space="preserve">Datos antes del cambio, en formato JSON</w:t>
            </w:r>
          </w:p>
        </w:tc>
        <w:tc>
          <w:tcPr>
            <w:tcW w:w="718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valor_nuevo</w:t>
            </w:r>
          </w:p>
        </w:tc>
        <w:tc>
          <w:tcPr>
            <w:tcW w:w="1560" w:type="dxa"/>
          </w:tcPr>
          <w:p>
            <w:pPr/>
            <w:r>
              <w:t xml:space="preserve">NVARCHAR(MAX)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891" w:type="dxa"/>
          </w:tcPr>
          <w:p>
            <w:pPr/>
          </w:p>
        </w:tc>
        <w:tc>
          <w:tcPr>
            <w:tcW w:w="2911" w:type="dxa"/>
          </w:tcPr>
          <w:p>
            <w:pPr/>
            <w:r>
              <w:t xml:space="preserve">Datos después del cambio, en formato JSON</w:t>
            </w:r>
          </w:p>
        </w:tc>
        <w:tc>
          <w:tcPr>
            <w:tcW w:w="718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direccion_ip</w:t>
            </w:r>
          </w:p>
        </w:tc>
        <w:tc>
          <w:tcPr>
            <w:tcW w:w="1560" w:type="dxa"/>
          </w:tcPr>
          <w:p>
            <w:pPr/>
            <w:r>
              <w:t xml:space="preserve">VARCHAR(45)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91" w:type="dxa"/>
          </w:tcPr>
          <w:p>
            <w:pPr/>
            <w:r>
              <w:t xml:space="preserve">DF IP de la conexión o «desconocida»</w:t>
            </w:r>
          </w:p>
        </w:tc>
        <w:tc>
          <w:tcPr>
            <w:tcW w:w="2911" w:type="dxa"/>
          </w:tcPr>
          <w:p>
            <w:pPr/>
            <w:r>
              <w:t xml:space="preserve">IP desde donde se hizo; 45 caracteres admite IPv6</w:t>
            </w:r>
          </w:p>
        </w:tc>
        <w:tc>
          <w:tcPr>
            <w:tcW w:w="718" w:type="dxa"/>
          </w:tcPr>
          <w:p>
            <w:pPr/>
            <w:r>
              <w:t xml:space="preserve">RF-05, 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fecha_hora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891" w:type="dxa"/>
          </w:tcPr>
          <w:p>
            <w:pPr/>
            <w:r>
              <w:t xml:space="preserve">DF fecha actual</w:t>
            </w:r>
          </w:p>
        </w:tc>
        <w:tc>
          <w:tcPr>
            <w:tcW w:w="2911" w:type="dxa"/>
          </w:tcPr>
          <w:p>
            <w:pPr/>
            <w:r>
              <w:t xml:space="preserve">Momento exacto de la acción</w:t>
            </w:r>
          </w:p>
        </w:tc>
        <w:tc>
          <w:tcPr>
            <w:tcW w:w="718" w:type="dxa"/>
          </w:tcPr>
          <w:p>
            <w:pPr/>
            <w:r>
              <w:t xml:space="preserve">RF-05</w:t>
            </w:r>
          </w:p>
        </w:tc>
      </w:tr>
    </w:tbl>
    <w:p>
      <w:pPr>
        <w:pStyle w:val="Heading2"/>
      </w:pPr>
      <w:r>
        <w:t xml:space="preserve">Módulo Integración ERP</w:t>
      </w:r>
    </w:p>
    <w:p>
      <w:pPr>
        <w:pStyle w:val="Heading3"/>
      </w:pPr>
      <w:r>
        <w:t xml:space="preserve">CP14_sincronizacion_erp</w:t>
      </w:r>
    </w:p>
    <w:p>
      <w:pPr/>
      <w:r>
        <w:t xml:space="preserve">Bitácora de los datos que se envían al ERP de la empresa (RF-03, RF-04). Igual que CP09, no tiene FK hacia los registros que sincroniza, porque registra operaciones de cualquier tabla; esos registros se identifican en el ERP con la columna codigo_erp de CP01, CP04 y CP07.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720"/>
        <w:gridCol w:w="1560"/>
        <w:gridCol w:w="3092"/>
        <w:gridCol w:w="868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3092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868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id_sincronizacion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3092" w:type="dxa"/>
          </w:tcPr>
          <w:p>
            <w:pPr/>
            <w:r>
              <w:t xml:space="preserve">Identificador de la operación</w:t>
            </w:r>
          </w:p>
        </w:tc>
        <w:tc>
          <w:tcPr>
            <w:tcW w:w="868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tabla_origen</w:t>
            </w:r>
          </w:p>
        </w:tc>
        <w:tc>
          <w:tcPr>
            <w:tcW w:w="1560" w:type="dxa"/>
          </w:tcPr>
          <w:p>
            <w:pPr/>
            <w:r>
              <w:t xml:space="preserve">VARCHAR(60)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3092" w:type="dxa"/>
          </w:tcPr>
          <w:p>
            <w:pPr/>
            <w:r>
              <w:t xml:space="preserve">Tabla de donde sale el dato, por ejemplo CP04_cuentas_por_pagar</w:t>
            </w:r>
          </w:p>
        </w:tc>
        <w:tc>
          <w:tcPr>
            <w:tcW w:w="868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id_registro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3092" w:type="dxa"/>
          </w:tcPr>
          <w:p>
            <w:pPr/>
            <w:r>
              <w:t xml:space="preserve">Llave del registro sincronizado</w:t>
            </w:r>
          </w:p>
        </w:tc>
        <w:tc>
          <w:tcPr>
            <w:tcW w:w="868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tipo_operacion</w:t>
            </w:r>
          </w:p>
        </w:tc>
        <w:tc>
          <w:tcPr>
            <w:tcW w:w="1560" w:type="dxa"/>
          </w:tcPr>
          <w:p>
            <w:pPr/>
            <w:r>
              <w:t xml:space="preserve">VARCHAR(20)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INSERT, UPDATE, DELETE</w:t>
            </w:r>
          </w:p>
        </w:tc>
        <w:tc>
          <w:tcPr>
            <w:tcW w:w="3092" w:type="dxa"/>
          </w:tcPr>
          <w:p>
            <w:pPr/>
            <w:r>
              <w:t xml:space="preserve">Operación que se replica en el ERP</w:t>
            </w:r>
          </w:p>
        </w:tc>
        <w:tc>
          <w:tcPr>
            <w:tcW w:w="868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fecha_sincronizacion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fecha actual</w:t>
            </w:r>
          </w:p>
        </w:tc>
        <w:tc>
          <w:tcPr>
            <w:tcW w:w="3092" w:type="dxa"/>
          </w:tcPr>
          <w:p>
            <w:pPr/>
            <w:r>
              <w:t xml:space="preserve">Momento de la operación</w:t>
            </w:r>
          </w:p>
        </w:tc>
        <w:tc>
          <w:tcPr>
            <w:tcW w:w="868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id_estado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CP08; CK: ámbito SINCRONIZACION</w:t>
            </w:r>
          </w:p>
        </w:tc>
        <w:tc>
          <w:tcPr>
            <w:tcW w:w="3092" w:type="dxa"/>
          </w:tcPr>
          <w:p>
            <w:pPr/>
            <w:r>
              <w:t xml:space="preserve">Pendiente, exitosa o error</w:t>
            </w:r>
          </w:p>
        </w:tc>
        <w:tc>
          <w:tcPr>
            <w:tcW w:w="868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mensaje_error</w:t>
            </w:r>
          </w:p>
        </w:tc>
        <w:tc>
          <w:tcPr>
            <w:tcW w:w="1560" w:type="dxa"/>
          </w:tcPr>
          <w:p>
            <w:pPr/>
            <w:r>
              <w:t xml:space="preserve">VARCHAR(250)</w:t>
            </w:r>
          </w:p>
        </w:tc>
        <w:tc>
          <w:tcPr>
            <w:tcW w:w="72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3092" w:type="dxa"/>
          </w:tcPr>
          <w:p>
            <w:pPr/>
            <w:r>
              <w:t xml:space="preserve">Motivo del fallo; nulo si fue exitosa</w:t>
            </w:r>
          </w:p>
        </w:tc>
        <w:tc>
          <w:tcPr>
            <w:tcW w:w="868" w:type="dxa"/>
          </w:tcPr>
          <w:p>
            <w:pPr/>
            <w:r>
              <w:t xml:space="preserve">RF-03</w:t>
            </w:r>
          </w:p>
        </w:tc>
      </w:tr>
    </w:tbl>
    <w:p>
      <w:pPr>
        <w:pStyle w:val="Heading2"/>
      </w:pPr>
      <w:r>
        <w:t xml:space="preserve">Fuentes</w:t>
      </w:r>
    </w:p>
    <w:p>
      <w:pPr/>
      <w:r>
        <w:t xml:space="preserve">Estructura de las tablas: scripts </w:t>
      </w:r>
      <w:r>
        <w:rPr>
          <w:rStyle w:val="CodeChar"/>
        </w:rPr>
        <w:t xml:space="preserve">sql/oltp/00_base.sql</w:t>
      </w:r>
      <w:r>
        <w:t xml:space="preserve"> y </w:t>
      </w:r>
      <w:r>
        <w:rPr>
          <w:rStyle w:val="CodeChar"/>
        </w:rPr>
        <w:t xml:space="preserve">sql/oltp/01_correcciones.sql</w:t>
      </w:r>
      <w:r>
        <w:t xml:space="preserve"> de la rama development del </w:t>
      </w:r>
      <w:hyperlink r:id="rId3" w:history="1">
        <w:r>
          <w:rPr>
            <w:rStyle w:val="Hyperlink"/>
          </w:rPr>
          <w:t xml:space="preserve">repositorio del proyecto</w:t>
        </w:r>
      </w:hyperlink>
      <w:r>
        <w:t xml:space="preserve">.</w:t>
      </w:r>
    </w:p>
    <w:p>
      <w:pPr/>
      <w:r>
        <w:t xml:space="preserve">Tipos de datos de SQL Server (Microsoft Learn):</w:t>
      </w:r>
    </w:p>
    <w:p>
      <w:pPr>
        <w:pStyle w:val="ListParagraph"/>
        <w:numPr>
          <w:ilvl w:val="0"/>
          <w:numId w:val="2"/>
        </w:numPr>
      </w:pPr>
      <w:hyperlink r:id="rId4" w:history="1">
        <w:r>
          <w:rPr>
            <w:rStyle w:val="Hyperlink"/>
          </w:rPr>
          <w:t xml:space="preserve">int, bigint, smallint y tinyint</w:t>
        </w:r>
      </w:hyperlink>
    </w:p>
    <w:p>
      <w:pPr>
        <w:pStyle w:val="ListParagraph"/>
        <w:numPr>
          <w:ilvl w:val="0"/>
          <w:numId w:val="2"/>
        </w:numPr>
      </w:pPr>
      <w:hyperlink r:id="rId5" w:history="1">
        <w:r>
          <w:rPr>
            <w:rStyle w:val="Hyperlink"/>
          </w:rPr>
          <w:t xml:space="preserve">decimal y numeric</w:t>
        </w:r>
      </w:hyperlink>
    </w:p>
    <w:p>
      <w:pPr>
        <w:pStyle w:val="ListParagraph"/>
        <w:numPr>
          <w:ilvl w:val="0"/>
          <w:numId w:val="2"/>
        </w:numPr>
      </w:pPr>
      <w:hyperlink r:id="rId6" w:history="1">
        <w:r>
          <w:rPr>
            <w:rStyle w:val="Hyperlink"/>
          </w:rPr>
          <w:t xml:space="preserve">char y varchar</w:t>
        </w:r>
      </w:hyperlink>
    </w:p>
    <w:p>
      <w:pPr>
        <w:pStyle w:val="ListParagraph"/>
        <w:numPr>
          <w:ilvl w:val="0"/>
          <w:numId w:val="2"/>
        </w:numPr>
      </w:pPr>
      <w:hyperlink r:id="rId7" w:history="1">
        <w:r>
          <w:rPr>
            <w:rStyle w:val="Hyperlink"/>
          </w:rPr>
          <w:t xml:space="preserve">nchar y nvarchar</w:t>
        </w:r>
      </w:hyperlink>
      <w:r>
        <w:t xml:space="preserve"> (incluye sysname = nvarchar(128))</w:t>
      </w:r>
    </w:p>
    <w:p>
      <w:pPr>
        <w:pStyle w:val="ListParagraph"/>
        <w:numPr>
          <w:ilvl w:val="0"/>
          <w:numId w:val="2"/>
        </w:numPr>
      </w:pPr>
      <w:hyperlink r:id="rId8" w:history="1">
        <w:r>
          <w:rPr>
            <w:rStyle w:val="Hyperlink"/>
          </w:rPr>
          <w:t xml:space="preserve">binary y varbinary</w:t>
        </w:r>
      </w:hyperlink>
    </w:p>
    <w:p>
      <w:pPr>
        <w:pStyle w:val="ListParagraph"/>
        <w:numPr>
          <w:ilvl w:val="0"/>
          <w:numId w:val="2"/>
        </w:numPr>
      </w:pPr>
      <w:hyperlink r:id="rId9" w:history="1">
        <w:r>
          <w:rPr>
            <w:rStyle w:val="Hyperlink"/>
          </w:rPr>
          <w:t xml:space="preserve">date</w:t>
        </w:r>
      </w:hyperlink>
    </w:p>
    <w:p>
      <w:pPr>
        <w:pStyle w:val="ListParagraph"/>
        <w:numPr>
          <w:ilvl w:val="0"/>
          <w:numId w:val="2"/>
        </w:numPr>
      </w:pPr>
      <w:hyperlink r:id="rId10" w:history="1">
        <w:r>
          <w:rPr>
            <w:rStyle w:val="Hyperlink"/>
          </w:rPr>
          <w:t xml:space="preserve">datetime2</w:t>
        </w:r>
      </w:hyperlink>
    </w:p>
    <w:p>
      <w:pPr>
        <w:pStyle w:val="ListParagraph"/>
        <w:numPr>
          <w:ilvl w:val="0"/>
          <w:numId w:val="2"/>
        </w:numPr>
      </w:pPr>
      <w:hyperlink r:id="rId11" w:history="1">
        <w:r>
          <w:rPr>
            <w:rStyle w:val="Hyperlink"/>
          </w:rPr>
          <w:t xml:space="preserve">bit</w:t>
        </w:r>
      </w:hyperlink>
    </w:p>
    <w:p>
      <w:pPr>
        <w:pStyle w:val="ListParagraph"/>
        <w:numPr>
          <w:ilvl w:val="0"/>
          <w:numId w:val="2"/>
        </w:numPr>
      </w:pPr>
      <w:hyperlink r:id="rId12" w:history="1">
        <w:r>
          <w:rPr>
            <w:rStyle w:val="Hyperlink"/>
          </w:rPr>
          <w:t xml:space="preserve">HASHBYTES</w:t>
        </w:r>
      </w:hyperlink>
    </w:p>
    <w:p>
      <w:pPr/>
      <w:r>
        <w:t xml:space="preserve">Estándares y formatos:</w:t>
      </w:r>
    </w:p>
    <w:p>
      <w:pPr>
        <w:pStyle w:val="ListParagraph"/>
        <w:numPr>
          <w:ilvl w:val="0"/>
          <w:numId w:val="3"/>
        </w:numPr>
      </w:pPr>
      <w:hyperlink r:id="rId13" w:history="1">
        <w:r>
          <w:rPr>
            <w:rStyle w:val="Hyperlink"/>
          </w:rPr>
          <w:t xml:space="preserve">RFC 5321, sección 4.5.3.1: límites de tamaño del correo</w:t>
        </w:r>
      </w:hyperlink>
    </w:p>
    <w:p>
      <w:pPr>
        <w:pStyle w:val="ListParagraph"/>
        <w:numPr>
          <w:ilvl w:val="0"/>
          <w:numId w:val="3"/>
        </w:numPr>
      </w:pPr>
      <w:hyperlink r:id="rId14" w:history="1">
        <w:r>
          <w:rPr>
            <w:rStyle w:val="Hyperlink"/>
          </w:rPr>
          <w:t xml:space="preserve">Fe de erratas 1690 del RFC 3696: máximo de 254 caracteres</w:t>
        </w:r>
      </w:hyperlink>
    </w:p>
    <w:p>
      <w:pPr>
        <w:pStyle w:val="ListParagraph"/>
        <w:numPr>
          <w:ilvl w:val="0"/>
          <w:numId w:val="3"/>
        </w:numPr>
      </w:pPr>
      <w:hyperlink r:id="rId15" w:history="1">
        <w:r>
          <w:rPr>
            <w:rStyle w:val="Hyperlink"/>
          </w:rPr>
          <w:t xml:space="preserve">E.164: plan de numeración telefónica internacional de la UIT</w:t>
        </w:r>
      </w:hyperlink>
    </w:p>
    <w:p>
      <w:pPr>
        <w:pStyle w:val="ListParagraph"/>
        <w:numPr>
          <w:ilvl w:val="0"/>
          <w:numId w:val="3"/>
        </w:numPr>
      </w:pPr>
      <w:hyperlink r:id="rId16" w:history="1">
        <w:r>
          <w:rPr>
            <w:rStyle w:val="Hyperlink"/>
          </w:rPr>
          <w:t xml:space="preserve">IBAN, norma ISO 13616 (incluye el formato de Costa Rica)</w:t>
        </w:r>
      </w:hyperlink>
    </w:p>
    <w:p>
      <w:pPr>
        <w:pStyle w:val="ListParagraph"/>
        <w:numPr>
          <w:ilvl w:val="0"/>
          <w:numId w:val="3"/>
        </w:numPr>
      </w:pPr>
      <w:hyperlink r:id="rId17" w:history="1">
        <w:r>
          <w:rPr>
            <w:rStyle w:val="Hyperlink"/>
          </w:rPr>
          <w:t xml:space="preserve">inet_ntop e INET6_ADDRSTRLEN (IBM)</w:t>
        </w:r>
      </w:hyperlink>
    </w:p>
    <w:p>
      <w:pPr>
        <w:pStyle w:val="ListParagraph"/>
        <w:numPr>
          <w:ilvl w:val="0"/>
          <w:numId w:val="3"/>
        </w:numPr>
      </w:pPr>
      <w:hyperlink r:id="rId18" w:history="1">
        <w:r>
          <w:rPr>
            <w:rStyle w:val="Hyperlink"/>
          </w:rPr>
          <w:t xml:space="preserve">Estructura de la clave de 50 dígitos del comprobante electrónico v4.4</w:t>
        </w:r>
      </w:hyperlink>
      <w:r>
        <w:t xml:space="preserve"> (fuente secundaria; el documento oficial es «Anexos y Estructuras» del Ministerio de Hacienda)</w:t>
      </w:r>
    </w:p>
    <w:p>
      <w:pPr>
        <w:pStyle w:val="ListParagraph"/>
        <w:numPr>
          <w:ilvl w:val="0"/>
          <w:numId w:val="3"/>
        </w:numPr>
      </w:pPr>
      <w:hyperlink r:id="rId19" w:history="1">
        <w:r>
          <w:rPr>
            <w:rStyle w:val="Hyperlink"/>
          </w:rPr>
          <w:t xml:space="preserve">Cambio de las cédulas jurídicas a formato alfanumérico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PabloD6003/Sistema_Gestion_Cuentas_por_Pagar/tree/development/sql/oltp" TargetMode="External"/><Relationship Id="rId4" Type="http://schemas.openxmlformats.org/officeDocument/2006/relationships/hyperlink" Target="https://learn.microsoft.com/es-es/sql/t-sql/data-types/int-bigint-smallint-and-tinyint-transact-sql" TargetMode="External"/><Relationship Id="rId5" Type="http://schemas.openxmlformats.org/officeDocument/2006/relationships/hyperlink" Target="https://learn.microsoft.com/es-es/sql/t-sql/data-types/decimal-and-numeric-transact-sql" TargetMode="External"/><Relationship Id="rId6" Type="http://schemas.openxmlformats.org/officeDocument/2006/relationships/hyperlink" Target="https://learn.microsoft.com/es-es/sql/t-sql/data-types/char-and-varchar-transact-sql" TargetMode="External"/><Relationship Id="rId7" Type="http://schemas.openxmlformats.org/officeDocument/2006/relationships/hyperlink" Target="https://learn.microsoft.com/es-es/sql/t-sql/data-types/nchar-and-nvarchar-transact-sql" TargetMode="External"/><Relationship Id="rId8" Type="http://schemas.openxmlformats.org/officeDocument/2006/relationships/hyperlink" Target="https://learn.microsoft.com/es-es/sql/t-sql/data-types/binary-and-varbinary-transact-sql" TargetMode="External"/><Relationship Id="rId9" Type="http://schemas.openxmlformats.org/officeDocument/2006/relationships/hyperlink" Target="https://learn.microsoft.com/es-es/sql/t-sql/data-types/date-transact-sql" TargetMode="External"/><Relationship Id="rId10" Type="http://schemas.openxmlformats.org/officeDocument/2006/relationships/hyperlink" Target="https://learn.microsoft.com/es-es/sql/t-sql/data-types/datetime2-transact-sql" TargetMode="External"/><Relationship Id="rId11" Type="http://schemas.openxmlformats.org/officeDocument/2006/relationships/hyperlink" Target="https://learn.microsoft.com/es-es/sql/t-sql/data-types/bit-transact-sql" TargetMode="External"/><Relationship Id="rId12" Type="http://schemas.openxmlformats.org/officeDocument/2006/relationships/hyperlink" Target="https://learn.microsoft.com/es-es/sql/t-sql/functions/hashbytes-transact-sql" TargetMode="External"/><Relationship Id="rId13" Type="http://schemas.openxmlformats.org/officeDocument/2006/relationships/hyperlink" Target="https://www.rfc-editor.org/rfc/rfc5321" TargetMode="External"/><Relationship Id="rId14" Type="http://schemas.openxmlformats.org/officeDocument/2006/relationships/hyperlink" Target="https://errata.rfc-editor.org/eid1690" TargetMode="External"/><Relationship Id="rId15" Type="http://schemas.openxmlformats.org/officeDocument/2006/relationships/hyperlink" Target="https://en.wikipedia.org/wiki/E.164" TargetMode="External"/><Relationship Id="rId16" Type="http://schemas.openxmlformats.org/officeDocument/2006/relationships/hyperlink" Target="https://en.wikipedia.org/wiki/International_Bank_Account_Number" TargetMode="External"/><Relationship Id="rId17" Type="http://schemas.openxmlformats.org/officeDocument/2006/relationships/hyperlink" Target="https://www.ibm.com/docs/sl/ssw_aix_71/communicationtechref/inet_ntop.html" TargetMode="External"/><Relationship Id="rId18" Type="http://schemas.openxmlformats.org/officeDocument/2006/relationships/hyperlink" Target="https://dev.to/chatwiti/costa-rica-v44-whats-inside-the-50-digit-clave-and-why-your-comprobante-gets-rejected-35pd" TargetMode="External"/><Relationship Id="rId19" Type="http://schemas.openxmlformats.org/officeDocument/2006/relationships/hyperlink" Target="https://observador.cr/se-acaban-las-cedulas-juridicas-de-costa-rica-bajo-el-formato-actual-nuevo-sistema-incluira-letras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Diccionario de Datos — Cuentas por Pagar (modelo implementado)</dc:title>
  <dc:description>Claude Docs node/17584ce4-e57b@22 docx-w7</dc:description>
  <cp:revision>22</cp:revision>
</cp:coreProperties>
</file>