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Times New Roman" w:hAnsi="Times New Roman" w:eastAsia="Times New Roman"/>
          <w:b/>
          <w:i w:val="0"/>
          <w:color w:val="000000"/>
          <w:sz w:val="28"/>
        </w:rPr>
        <w:t>2. Datos y métodos</w:t>
      </w:r>
    </w:p>
    <w:p>
      <w:pPr>
        <w:spacing w:before="280" w:after="120"/>
      </w:pPr>
      <w:r>
        <w:rPr>
          <w:rFonts w:ascii="Times New Roman" w:hAnsi="Times New Roman" w:eastAsia="Times New Roman"/>
          <w:b/>
          <w:i w:val="0"/>
          <w:color w:val="000000"/>
          <w:sz w:val="24"/>
        </w:rPr>
        <w:t>2.1 Conjuntos de datos, dominio y períodos</w:t>
      </w:r>
    </w:p>
    <w:p>
      <w:pPr>
        <w:spacing w:after="160" w:before="0" w:line="360" w:lineRule="auto"/>
        <w:ind w:firstLine="432"/>
        <w:jc w:val="both"/>
      </w:pPr>
      <w:r>
        <w:rPr>
          <w:rFonts w:ascii="Times New Roman" w:hAnsi="Times New Roman" w:eastAsia="Times New Roman"/>
          <w:b w:val="0"/>
          <w:i w:val="0"/>
          <w:color w:val="000000"/>
          <w:sz w:val="24"/>
        </w:rPr>
        <w:t>El análisis utiliza dos fuentes de precipitación diaria. Como referencia observacional del período histórico se emplea CR2MET v2.5 (Centro de Ciencia del Clima y la Resiliencia, CR2), un producto gridded de precipitación diaria para Chile en una grilla regular de latitud–longitud (~0,05°; ~5 km), con unidades en mm día⁻¹. CR2MET combina observaciones de estación con información de reanálisis y se usa de manera rutinaria como referencia hidroclimática en el país (Álvarez-Garretón et al., 2018; Latoja et al., 2025). Como modelo climático regional se utiliza ALADIN CHP12 (configuración CNRM-ALADIN64 v1, dominio chileno de ~12 km), forzado por el modelo global CNRM-ESM2-1 (miembro r1i1p1f2). La precipitación de ALADIN se entrega en kg m⁻² s⁻¹ y se convierte a mm día⁻¹ multiplicando por 86 400. Se emplea un único RCM y un único escenario de altas emisiones (SSP5-8.5) de manera deliberada: el objetivo no es un ensamble de incertidumbre, sino evaluar la persistencia de rachas secas dentro de un mismo modelo, en el histórico y en el futuro.</w:t>
      </w:r>
    </w:p>
    <w:p>
      <w:pPr>
        <w:spacing w:after="160" w:before="0" w:line="360" w:lineRule="auto"/>
        <w:ind w:firstLine="432"/>
        <w:jc w:val="both"/>
      </w:pPr>
      <w:r>
        <w:rPr>
          <w:rFonts w:ascii="Times New Roman" w:hAnsi="Times New Roman" w:eastAsia="Times New Roman"/>
          <w:b w:val="0"/>
          <w:i w:val="0"/>
          <w:color w:val="000000"/>
          <w:sz w:val="24"/>
        </w:rPr>
        <w:t>El dominio de estudio es Chile continental. La máscara terrestre se construye a partir de la geometría de Chile en Natural Earth (10 m). Sobre la grilla nativa de ALADIN, el dominio continental comprende aproximadamente 3 587 celdas válidas. Para permitir comparaciones píxel a píxel, CR2MET se interpola linealmente a los centros de celda de esa grilla. Esta decisión fija ALADIN como marco espacial de referencia, porque es el producto que se evalúa en el histórico y el único disponible para el futuro. La interpolación lineal es reproducible; se reconoce, no obstante, que introduce un suavizado leve de CR2MET y que no conserva exactamente la precipitación integrada del dominio.</w:t>
      </w:r>
    </w:p>
    <w:p>
      <w:pPr>
        <w:spacing w:after="160" w:before="0" w:line="360" w:lineRule="auto"/>
        <w:ind w:firstLine="432"/>
        <w:jc w:val="both"/>
      </w:pPr>
      <w:r>
        <w:rPr>
          <w:rFonts w:ascii="Times New Roman" w:hAnsi="Times New Roman" w:eastAsia="Times New Roman"/>
          <w:b w:val="0"/>
          <w:i w:val="0"/>
          <w:color w:val="000000"/>
          <w:sz w:val="24"/>
        </w:rPr>
        <w:t>Se analizan dos ventanas de 35 años de igual longitud: el histórico 1980–2014 (CR2MET y ALADIN) y el futuro 2040–2074 bajo SSP5-8.5 (solo ALADIN). El año 2014 coincide con el término del experimento histórico de CMIP6, de modo que el histórico de ALADIN no mezcla forzante histórico y de escenario. El emparejamiento de longitudes evita que diferencias en el tamaño muestral condicionen la comparación histórico–futuro.</w:t>
      </w:r>
    </w:p>
    <w:p>
      <w:pPr>
        <w:spacing w:after="160" w:before="0" w:line="360" w:lineRule="auto"/>
        <w:ind w:firstLine="432"/>
        <w:jc w:val="both"/>
      </w:pPr>
      <w:r>
        <w:rPr>
          <w:rFonts w:ascii="Times New Roman" w:hAnsi="Times New Roman" w:eastAsia="Times New Roman"/>
          <w:b w:val="0"/>
          <w:i w:val="0"/>
          <w:color w:val="000000"/>
          <w:sz w:val="24"/>
        </w:rPr>
        <w:t>Los análisis de distribuciones de duración se concentran en cuatro ventanas representativas del gradiente climático chileno: Loa (norte árido), Maipo y Maule (zona central mediterránea) y Biobío (sur más húmedo). No son polígonos oficiales de cuenca, sino cajas de longitud–latitud sobre la grilla ALADIN, intersectadas con la máscara continental; se eligieron como casos de estudio a lo largo del gradiente norte–sur, no como delineación hidrológica. Los risk ratios, en cambio, se calculan sobre pools definidos por regiones administrativas (Coquimbo, O’Higgins, La Araucanía y Los Lagos; geometrías Natural Earth admin_1). La distinción es deliberada: las cajas de cuenca sirven para resolver la forma de la PDF —en particular la cola— en climas contrastantes; las regiones administrativas aportan un tamaño muestral mayor para las probabilidades de excedencia y coinciden con unidades usadas en gestión hídrica. Las dos geografías no son intercambiables y no deben leerse como el mismo dominio (Figura 1; Tabla 1).</w:t>
      </w:r>
    </w:p>
    <w:p>
      <w:pPr>
        <w:spacing w:before="160" w:after="40"/>
        <w:jc w:val="center"/>
      </w:pPr>
      <w:r>
        <w:drawing>
          <wp:inline xmlns:a="http://schemas.openxmlformats.org/drawingml/2006/main" xmlns:pic="http://schemas.openxmlformats.org/drawingml/2006/picture">
            <wp:extent cx="3063240" cy="6921576"/>
            <wp:docPr id="1" name="Picture 1"/>
            <wp:cNvGraphicFramePr>
              <a:graphicFrameLocks noChangeAspect="1"/>
            </wp:cNvGraphicFramePr>
            <a:graphic>
              <a:graphicData uri="http://schemas.openxmlformats.org/drawingml/2006/picture">
                <pic:pic>
                  <pic:nvPicPr>
                    <pic:cNvPr id="0" name="fig02_dominio_cuencas_regiones.png"/>
                    <pic:cNvPicPr/>
                  </pic:nvPicPr>
                  <pic:blipFill>
                    <a:blip r:embed="rId9"/>
                    <a:stretch>
                      <a:fillRect/>
                    </a:stretch>
                  </pic:blipFill>
                  <pic:spPr>
                    <a:xfrm>
                      <a:off x="0" y="0"/>
                      <a:ext cx="3063240" cy="6921576"/>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1. Dominio de estudio sobre Chile continental. Los rectángulos indican las ventanas usadas para las PDFs de duración de dry spells (Loa, Maipo, Maule y Biobío). Las áreas sombreadas son las regiones administrativas usadas para los risk ratios (Coquimbo, O’Higgins, La Araucanía y Los Lagos). Ambas geografías cubren el gradiente norte árido–sur húmedo, pero no coinciden como polígonos.</w:t>
      </w:r>
    </w:p>
    <w:p>
      <w:pPr>
        <w:spacing w:before="80" w:after="240" w:line="276" w:lineRule="auto"/>
        <w:jc w:val="both"/>
      </w:pPr>
      <w:r>
        <w:rPr>
          <w:rFonts w:ascii="Times New Roman" w:hAnsi="Times New Roman" w:eastAsia="Times New Roman"/>
          <w:b w:val="0"/>
          <w:i/>
          <w:color w:val="000000"/>
          <w:sz w:val="20"/>
        </w:rPr>
        <w:t>Tabla 1. Conjuntos de datos: producto, rol, grilla, período, variable y umbral de día húmedo.</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shd w:val="clear" w:color="auto" w:fill="E8E8E8"/>
          </w:tcPr>
          <w:p>
            <w:pPr>
              <w:jc w:val="left"/>
            </w:pPr>
            <w:r/>
            <w:r>
              <w:rPr>
                <w:rFonts w:ascii="Times New Roman" w:hAnsi="Times New Roman" w:eastAsia="Times New Roman"/>
                <w:b/>
                <w:i w:val="0"/>
                <w:color w:val="000000"/>
                <w:sz w:val="16"/>
              </w:rPr>
              <w:t>Dataset</w:t>
            </w:r>
          </w:p>
        </w:tc>
        <w:tc>
          <w:tcPr>
            <w:tcW w:type="dxa" w:w="2381"/>
            <w:shd w:val="clear" w:color="auto" w:fill="E8E8E8"/>
          </w:tcPr>
          <w:p>
            <w:pPr>
              <w:jc w:val="left"/>
            </w:pPr>
            <w:r/>
            <w:r>
              <w:rPr>
                <w:rFonts w:ascii="Times New Roman" w:hAnsi="Times New Roman" w:eastAsia="Times New Roman"/>
                <w:b/>
                <w:i w:val="0"/>
                <w:color w:val="000000"/>
                <w:sz w:val="16"/>
              </w:rPr>
              <w:t>Rol</w:t>
            </w:r>
          </w:p>
        </w:tc>
        <w:tc>
          <w:tcPr>
            <w:tcW w:type="dxa" w:w="2268"/>
            <w:shd w:val="clear" w:color="auto" w:fill="E8E8E8"/>
          </w:tcPr>
          <w:p>
            <w:pPr>
              <w:jc w:val="left"/>
            </w:pPr>
            <w:r/>
            <w:r>
              <w:rPr>
                <w:rFonts w:ascii="Times New Roman" w:hAnsi="Times New Roman" w:eastAsia="Times New Roman"/>
                <w:b/>
                <w:i w:val="0"/>
                <w:color w:val="000000"/>
                <w:sz w:val="16"/>
              </w:rPr>
              <w:t>Grilla</w:t>
            </w:r>
          </w:p>
        </w:tc>
        <w:tc>
          <w:tcPr>
            <w:tcW w:type="dxa" w:w="1814"/>
            <w:shd w:val="clear" w:color="auto" w:fill="E8E8E8"/>
          </w:tcPr>
          <w:p>
            <w:pPr>
              <w:jc w:val="left"/>
            </w:pPr>
            <w:r/>
            <w:r>
              <w:rPr>
                <w:rFonts w:ascii="Times New Roman" w:hAnsi="Times New Roman" w:eastAsia="Times New Roman"/>
                <w:b/>
                <w:i w:val="0"/>
                <w:color w:val="000000"/>
                <w:sz w:val="16"/>
              </w:rPr>
              <w:t>Período</w:t>
            </w:r>
          </w:p>
        </w:tc>
        <w:tc>
          <w:tcPr>
            <w:tcW w:type="dxa" w:w="2041"/>
            <w:shd w:val="clear" w:color="auto" w:fill="E8E8E8"/>
          </w:tcPr>
          <w:p>
            <w:pPr>
              <w:jc w:val="left"/>
            </w:pPr>
            <w:r/>
            <w:r>
              <w:rPr>
                <w:rFonts w:ascii="Times New Roman" w:hAnsi="Times New Roman" w:eastAsia="Times New Roman"/>
                <w:b/>
                <w:i w:val="0"/>
                <w:color w:val="000000"/>
                <w:sz w:val="16"/>
              </w:rPr>
              <w:t>Umbral</w:t>
            </w:r>
          </w:p>
        </w:tc>
      </w:tr>
      <w:tr>
        <w:tc>
          <w:tcPr>
            <w:tcW w:type="dxa" w:w="2268"/>
          </w:tcPr>
          <w:p>
            <w:pPr>
              <w:jc w:val="left"/>
            </w:pPr>
            <w:r/>
            <w:r>
              <w:rPr>
                <w:rFonts w:ascii="Times New Roman" w:hAnsi="Times New Roman" w:eastAsia="Times New Roman"/>
                <w:b w:val="0"/>
                <w:i w:val="0"/>
                <w:color w:val="000000"/>
                <w:sz w:val="16"/>
              </w:rPr>
              <w:t>CR2MET v2.5</w:t>
            </w:r>
          </w:p>
        </w:tc>
        <w:tc>
          <w:tcPr>
            <w:tcW w:type="dxa" w:w="2381"/>
          </w:tcPr>
          <w:p>
            <w:pPr>
              <w:jc w:val="left"/>
            </w:pPr>
            <w:r/>
            <w:r>
              <w:rPr>
                <w:rFonts w:ascii="Times New Roman" w:hAnsi="Times New Roman" w:eastAsia="Times New Roman"/>
                <w:b w:val="0"/>
                <w:i w:val="0"/>
                <w:color w:val="000000"/>
                <w:sz w:val="16"/>
              </w:rPr>
              <w:t>Referencia observacional gridded</w:t>
            </w:r>
          </w:p>
        </w:tc>
        <w:tc>
          <w:tcPr>
            <w:tcW w:type="dxa" w:w="2268"/>
          </w:tcPr>
          <w:p>
            <w:pPr>
              <w:jc w:val="left"/>
            </w:pPr>
            <w:r/>
            <w:r>
              <w:rPr>
                <w:rFonts w:ascii="Times New Roman" w:hAnsi="Times New Roman" w:eastAsia="Times New Roman"/>
                <w:b w:val="0"/>
                <w:i w:val="0"/>
                <w:color w:val="000000"/>
                <w:sz w:val="16"/>
              </w:rPr>
              <w:t>Lat/lon 0,05°; interpolada a ALADIN</w:t>
            </w:r>
          </w:p>
        </w:tc>
        <w:tc>
          <w:tcPr>
            <w:tcW w:type="dxa" w:w="1814"/>
          </w:tcPr>
          <w:p>
            <w:pPr>
              <w:jc w:val="left"/>
            </w:pPr>
            <w:r/>
            <w:r>
              <w:rPr>
                <w:rFonts w:ascii="Times New Roman" w:hAnsi="Times New Roman" w:eastAsia="Times New Roman"/>
                <w:b w:val="0"/>
                <w:i w:val="0"/>
                <w:color w:val="000000"/>
                <w:sz w:val="16"/>
              </w:rPr>
              <w:t>1980–2014</w:t>
            </w:r>
          </w:p>
        </w:tc>
        <w:tc>
          <w:tcPr>
            <w:tcW w:type="dxa" w:w="2041"/>
          </w:tcPr>
          <w:p>
            <w:pPr>
              <w:jc w:val="left"/>
            </w:pPr>
            <w:r/>
            <w:r>
              <w:rPr>
                <w:rFonts w:ascii="Times New Roman" w:hAnsi="Times New Roman" w:eastAsia="Times New Roman"/>
                <w:b w:val="0"/>
                <w:i w:val="0"/>
                <w:color w:val="000000"/>
                <w:sz w:val="16"/>
              </w:rPr>
              <w:t>R = 1 mm día⁻¹</w:t>
            </w:r>
          </w:p>
        </w:tc>
      </w:tr>
      <w:tr>
        <w:tc>
          <w:tcPr>
            <w:tcW w:type="dxa" w:w="2268"/>
          </w:tcPr>
          <w:p>
            <w:pPr>
              <w:jc w:val="left"/>
            </w:pPr>
            <w:r/>
            <w:r>
              <w:rPr>
                <w:rFonts w:ascii="Times New Roman" w:hAnsi="Times New Roman" w:eastAsia="Times New Roman"/>
                <w:b w:val="0"/>
                <w:i w:val="0"/>
                <w:color w:val="000000"/>
                <w:sz w:val="16"/>
              </w:rPr>
              <w:t>ALADIN CHP12 histórico</w:t>
            </w:r>
          </w:p>
        </w:tc>
        <w:tc>
          <w:tcPr>
            <w:tcW w:type="dxa" w:w="2381"/>
          </w:tcPr>
          <w:p>
            <w:pPr>
              <w:jc w:val="left"/>
            </w:pPr>
            <w:r/>
            <w:r>
              <w:rPr>
                <w:rFonts w:ascii="Times New Roman" w:hAnsi="Times New Roman" w:eastAsia="Times New Roman"/>
                <w:b w:val="0"/>
                <w:i w:val="0"/>
                <w:color w:val="000000"/>
                <w:sz w:val="16"/>
              </w:rPr>
              <w:t>RCM CNRM-ALADIN64; forzado por CNRM-ESM2-1</w:t>
            </w:r>
          </w:p>
        </w:tc>
        <w:tc>
          <w:tcPr>
            <w:tcW w:type="dxa" w:w="2268"/>
          </w:tcPr>
          <w:p>
            <w:pPr>
              <w:jc w:val="left"/>
            </w:pPr>
            <w:r/>
            <w:r>
              <w:rPr>
                <w:rFonts w:ascii="Times New Roman" w:hAnsi="Times New Roman" w:eastAsia="Times New Roman"/>
                <w:b w:val="0"/>
                <w:i w:val="0"/>
                <w:color w:val="000000"/>
                <w:sz w:val="16"/>
              </w:rPr>
              <w:t>Nativa ~12 km; 3 587 celdas en Chile</w:t>
            </w:r>
          </w:p>
        </w:tc>
        <w:tc>
          <w:tcPr>
            <w:tcW w:type="dxa" w:w="1814"/>
          </w:tcPr>
          <w:p>
            <w:pPr>
              <w:jc w:val="left"/>
            </w:pPr>
            <w:r/>
            <w:r>
              <w:rPr>
                <w:rFonts w:ascii="Times New Roman" w:hAnsi="Times New Roman" w:eastAsia="Times New Roman"/>
                <w:b w:val="0"/>
                <w:i w:val="0"/>
                <w:color w:val="000000"/>
                <w:sz w:val="16"/>
              </w:rPr>
              <w:t>1980–2014 (35 años)</w:t>
            </w:r>
          </w:p>
        </w:tc>
        <w:tc>
          <w:tcPr>
            <w:tcW w:type="dxa" w:w="2041"/>
          </w:tcPr>
          <w:p>
            <w:pPr>
              <w:jc w:val="left"/>
            </w:pPr>
            <w:r/>
            <w:r>
              <w:rPr>
                <w:rFonts w:ascii="Times New Roman" w:hAnsi="Times New Roman" w:eastAsia="Times New Roman"/>
                <w:b w:val="0"/>
                <w:i w:val="0"/>
                <w:color w:val="000000"/>
                <w:sz w:val="16"/>
              </w:rPr>
              <w:t>R₀ = 5,285 mm día⁻¹ (criterio i)</w:t>
            </w:r>
          </w:p>
        </w:tc>
      </w:tr>
      <w:tr>
        <w:tc>
          <w:tcPr>
            <w:tcW w:type="dxa" w:w="2268"/>
          </w:tcPr>
          <w:p>
            <w:pPr>
              <w:jc w:val="left"/>
            </w:pPr>
            <w:r/>
            <w:r>
              <w:rPr>
                <w:rFonts w:ascii="Times New Roman" w:hAnsi="Times New Roman" w:eastAsia="Times New Roman"/>
                <w:b w:val="0"/>
                <w:i w:val="0"/>
                <w:color w:val="000000"/>
                <w:sz w:val="16"/>
              </w:rPr>
              <w:t>ALADIN CHP12 SSP5-8.5</w:t>
            </w:r>
          </w:p>
        </w:tc>
        <w:tc>
          <w:tcPr>
            <w:tcW w:type="dxa" w:w="2381"/>
          </w:tcPr>
          <w:p>
            <w:pPr>
              <w:jc w:val="left"/>
            </w:pPr>
            <w:r/>
            <w:r>
              <w:rPr>
                <w:rFonts w:ascii="Times New Roman" w:hAnsi="Times New Roman" w:eastAsia="Times New Roman"/>
                <w:b w:val="0"/>
                <w:i w:val="0"/>
                <w:color w:val="000000"/>
                <w:sz w:val="16"/>
              </w:rPr>
              <w:t>Proyección del mismo RCM</w:t>
            </w:r>
          </w:p>
        </w:tc>
        <w:tc>
          <w:tcPr>
            <w:tcW w:type="dxa" w:w="2268"/>
          </w:tcPr>
          <w:p>
            <w:pPr>
              <w:jc w:val="left"/>
            </w:pPr>
            <w:r/>
            <w:r>
              <w:rPr>
                <w:rFonts w:ascii="Times New Roman" w:hAnsi="Times New Roman" w:eastAsia="Times New Roman"/>
                <w:b w:val="0"/>
                <w:i w:val="0"/>
                <w:color w:val="000000"/>
                <w:sz w:val="16"/>
              </w:rPr>
              <w:t>Idéntica al histórico</w:t>
            </w:r>
          </w:p>
        </w:tc>
        <w:tc>
          <w:tcPr>
            <w:tcW w:type="dxa" w:w="1814"/>
          </w:tcPr>
          <w:p>
            <w:pPr>
              <w:jc w:val="left"/>
            </w:pPr>
            <w:r/>
            <w:r>
              <w:rPr>
                <w:rFonts w:ascii="Times New Roman" w:hAnsi="Times New Roman" w:eastAsia="Times New Roman"/>
                <w:b w:val="0"/>
                <w:i w:val="0"/>
                <w:color w:val="000000"/>
                <w:sz w:val="16"/>
              </w:rPr>
              <w:t>2040–2074 (35 años)</w:t>
            </w:r>
          </w:p>
        </w:tc>
        <w:tc>
          <w:tcPr>
            <w:tcW w:type="dxa" w:w="2041"/>
          </w:tcPr>
          <w:p>
            <w:pPr>
              <w:jc w:val="left"/>
            </w:pPr>
            <w:r/>
            <w:r>
              <w:rPr>
                <w:rFonts w:ascii="Times New Roman" w:hAnsi="Times New Roman" w:eastAsia="Times New Roman"/>
                <w:b w:val="0"/>
                <w:i w:val="0"/>
                <w:color w:val="000000"/>
                <w:sz w:val="16"/>
              </w:rPr>
              <w:t>Mismo R₀; RR con inicio mar–nov</w:t>
            </w:r>
          </w:p>
        </w:tc>
      </w:tr>
    </w:tbl>
    <w:p/>
    <w:p>
      <w:pPr>
        <w:spacing w:before="280" w:after="120"/>
      </w:pPr>
      <w:r>
        <w:rPr>
          <w:rFonts w:ascii="Times New Roman" w:hAnsi="Times New Roman" w:eastAsia="Times New Roman"/>
          <w:b/>
          <w:i w:val="0"/>
          <w:color w:val="000000"/>
          <w:sz w:val="24"/>
        </w:rPr>
        <w:t>2.2 Definición de días húmedos/secos y dry spells</w:t>
      </w:r>
    </w:p>
    <w:p>
      <w:pPr>
        <w:spacing w:after="160" w:before="0" w:line="360" w:lineRule="auto"/>
        <w:ind w:firstLine="432"/>
        <w:jc w:val="both"/>
      </w:pPr>
      <w:r>
        <w:rPr>
          <w:rFonts w:ascii="Times New Roman" w:hAnsi="Times New Roman" w:eastAsia="Times New Roman"/>
          <w:b w:val="0"/>
          <w:i w:val="0"/>
          <w:color w:val="000000"/>
          <w:sz w:val="24"/>
        </w:rPr>
        <w:t>Se define wet day (día húmedo) como un día con precipitación diaria pr ≥ R, donde R es un umbral en mm día⁻¹, y dry day (día seco) como un día con pr &lt; R. Un dry spell es una racha consecutiva de dry days; su duración t es el número de días de la racha, con mínimo de un día (Figura 2). El umbral de 1 mm día⁻¹ en CR2MET sigue la convención ETCCDI/Climdex usada para CDD (Zhang et al., 2011; Sillmann et al., 2013a). Los días con valor faltante (NaN) no se tratan como secos. Las rachas que comienzan en el primer día o terminan en el último día de cada ventana temporal se excluyen, para evitar spells censurados por el borde del período.</w:t>
      </w:r>
    </w:p>
    <w:p>
      <w:pPr>
        <w:spacing w:after="160" w:before="0" w:line="360" w:lineRule="auto"/>
        <w:ind w:firstLine="432"/>
        <w:jc w:val="both"/>
      </w:pPr>
      <w:r>
        <w:rPr>
          <w:rFonts w:ascii="Times New Roman" w:hAnsi="Times New Roman" w:eastAsia="Times New Roman"/>
          <w:b w:val="0"/>
          <w:i w:val="0"/>
          <w:color w:val="000000"/>
          <w:sz w:val="24"/>
        </w:rPr>
        <w:t>A diferencia del índice CDD —el máximo anual de días secos consecutivos, que en muchas implementaciones se interrumpe al cambio de año (Sillmann et al., 2013a)—, aquí un dry spell puede cruzar el 1 de enero. En el norte árido eso es esencial: las rachas de cientos de días no caben en un año calendario. El objeto de estudio es, por tanto, la duración de cada racha, no el máximo anual.</w:t>
      </w:r>
    </w:p>
    <w:p>
      <w:pPr>
        <w:spacing w:before="160" w:after="40"/>
        <w:jc w:val="center"/>
      </w:pPr>
      <w:r>
        <w:drawing>
          <wp:inline xmlns:a="http://schemas.openxmlformats.org/drawingml/2006/main" xmlns:pic="http://schemas.openxmlformats.org/drawingml/2006/picture">
            <wp:extent cx="5577840" cy="2102894"/>
            <wp:docPr id="2" name="Picture 2"/>
            <wp:cNvGraphicFramePr>
              <a:graphicFrameLocks noChangeAspect="1"/>
            </wp:cNvGraphicFramePr>
            <a:graphic>
              <a:graphicData uri="http://schemas.openxmlformats.org/drawingml/2006/picture">
                <pic:pic>
                  <pic:nvPicPr>
                    <pic:cNvPr id="0" name="fig_esquema_dryspell.png"/>
                    <pic:cNvPicPr/>
                  </pic:nvPicPr>
                  <pic:blipFill>
                    <a:blip r:embed="rId10"/>
                    <a:stretch>
                      <a:fillRect/>
                    </a:stretch>
                  </pic:blipFill>
                  <pic:spPr>
                    <a:xfrm>
                      <a:off x="0" y="0"/>
                      <a:ext cx="5577840" cy="2102894"/>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2. Definición operativa. Un día es húmedo si pr ≥ R y seco si pr &lt; R. Un dry spell es la racha consecutiva de días secos; su duración t es el número de días de la racha. En el ejemplo, R = 1 mm día⁻¹ produce un spell de t = 6 días y otro de t = 2 días, separados por un día húmedo.</w:t>
      </w:r>
    </w:p>
    <w:p>
      <w:pPr>
        <w:spacing w:after="160" w:before="0" w:line="360" w:lineRule="auto"/>
        <w:ind w:firstLine="432"/>
        <w:jc w:val="both"/>
      </w:pPr>
      <w:r>
        <w:rPr>
          <w:rFonts w:ascii="Times New Roman" w:hAnsi="Times New Roman" w:eastAsia="Times New Roman"/>
          <w:b w:val="0"/>
          <w:i w:val="0"/>
          <w:color w:val="000000"/>
          <w:sz w:val="24"/>
        </w:rPr>
        <w:t>La comparación histórica entre CR2MET y ALADIN no puede hacerse con el mismo umbral fijo. Con R = 1 mm día⁻¹ en ambos productos, ALADIN presenta una fracción espacial media de días húmedos sustancialmente mayor que CR2MET (30,68 % frente a 20,94 %), coherente con el sesgo de llovizna de los modelos (Stephens et al., 2010; Petrova et al., 2024). Ese exceso de días húmedos fragmenta las rachas secas y genera spells artificialmente más cortos y numerosos. Por ello el análisis principal adopta el criterio i (umbral global calibrado): CR2MET con R = 1 mm día⁻¹ y ALADIN con R₀ = 5,285 mm día⁻¹, elegido para igualar la fracción espacial media de wet days de CR2MET a 1 mm (§2.3). Denotamos este umbral como R₀ —y no como τ*— para no confundirlo con el exponente de leyes de potencia en PDFs de precipitación diaria (Martinez-Villalobos et al., 2022).</w:t>
      </w:r>
    </w:p>
    <w:p>
      <w:pPr>
        <w:spacing w:after="160" w:before="0" w:line="360" w:lineRule="auto"/>
        <w:ind w:firstLine="432"/>
        <w:jc w:val="both"/>
      </w:pPr>
      <w:r>
        <w:rPr>
          <w:rFonts w:ascii="Times New Roman" w:hAnsi="Times New Roman" w:eastAsia="Times New Roman"/>
          <w:b w:val="0"/>
          <w:i w:val="0"/>
          <w:color w:val="000000"/>
          <w:sz w:val="24"/>
        </w:rPr>
        <w:t>Como sensibilidad se consideran el criterio ii (1 mm día⁻¹ en ambos) y el criterio iii (calibración local: un R₀(x,y) por píxel, de modo que en cada celda la fracción temporal de wet days de ALADIN iguale la de CR2MET a 1 mm). El criterio i es la configuración de los resultados principales; ii y iii permiten separar cuánto del sesgo histórico se debe a la definición de día húmedo y cuánto permanece como diferencia estructural del modelo (Tabla 2).</w:t>
      </w:r>
    </w:p>
    <w:p>
      <w:pPr>
        <w:spacing w:before="80" w:after="240" w:line="276" w:lineRule="auto"/>
        <w:jc w:val="both"/>
      </w:pPr>
      <w:r>
        <w:rPr>
          <w:rFonts w:ascii="Times New Roman" w:hAnsi="Times New Roman" w:eastAsia="Times New Roman"/>
          <w:b w:val="0"/>
          <w:i/>
          <w:color w:val="000000"/>
          <w:sz w:val="20"/>
        </w:rPr>
        <w:t>Tabla 2. Criterios de umbral para definir días húmedos. El análisis principal usa el criterio 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E8E8E8"/>
          </w:tcPr>
          <w:p>
            <w:pPr>
              <w:jc w:val="left"/>
            </w:pPr>
            <w:r/>
            <w:r>
              <w:rPr>
                <w:rFonts w:ascii="Times New Roman" w:hAnsi="Times New Roman" w:eastAsia="Times New Roman"/>
                <w:b/>
                <w:i w:val="0"/>
                <w:color w:val="000000"/>
                <w:sz w:val="16"/>
              </w:rPr>
              <w:t>Criterio</w:t>
            </w:r>
          </w:p>
        </w:tc>
        <w:tc>
          <w:tcPr>
            <w:tcW w:type="dxa" w:w="1814"/>
            <w:shd w:val="clear" w:color="auto" w:fill="E8E8E8"/>
          </w:tcPr>
          <w:p>
            <w:pPr>
              <w:jc w:val="left"/>
            </w:pPr>
            <w:r/>
            <w:r>
              <w:rPr>
                <w:rFonts w:ascii="Times New Roman" w:hAnsi="Times New Roman" w:eastAsia="Times New Roman"/>
                <w:b/>
                <w:i w:val="0"/>
                <w:color w:val="000000"/>
                <w:sz w:val="16"/>
              </w:rPr>
              <w:t>CR2MET</w:t>
            </w:r>
          </w:p>
        </w:tc>
        <w:tc>
          <w:tcPr>
            <w:tcW w:type="dxa" w:w="3118"/>
            <w:shd w:val="clear" w:color="auto" w:fill="E8E8E8"/>
          </w:tcPr>
          <w:p>
            <w:pPr>
              <w:jc w:val="left"/>
            </w:pPr>
            <w:r/>
            <w:r>
              <w:rPr>
                <w:rFonts w:ascii="Times New Roman" w:hAnsi="Times New Roman" w:eastAsia="Times New Roman"/>
                <w:b/>
                <w:i w:val="0"/>
                <w:color w:val="000000"/>
                <w:sz w:val="16"/>
              </w:rPr>
              <w:t>ALADIN</w:t>
            </w:r>
          </w:p>
        </w:tc>
        <w:tc>
          <w:tcPr>
            <w:tcW w:type="dxa" w:w="2835"/>
            <w:shd w:val="clear" w:color="auto" w:fill="E8E8E8"/>
          </w:tcPr>
          <w:p>
            <w:pPr>
              <w:jc w:val="left"/>
            </w:pPr>
            <w:r/>
            <w:r>
              <w:rPr>
                <w:rFonts w:ascii="Times New Roman" w:hAnsi="Times New Roman" w:eastAsia="Times New Roman"/>
                <w:b/>
                <w:i w:val="0"/>
                <w:color w:val="000000"/>
                <w:sz w:val="16"/>
              </w:rPr>
              <w:t>Uso</w:t>
            </w:r>
          </w:p>
        </w:tc>
      </w:tr>
      <w:tr>
        <w:tc>
          <w:tcPr>
            <w:tcW w:type="dxa" w:w="1984"/>
          </w:tcPr>
          <w:p>
            <w:pPr>
              <w:jc w:val="left"/>
            </w:pPr>
            <w:r/>
            <w:r>
              <w:rPr>
                <w:rFonts w:ascii="Times New Roman" w:hAnsi="Times New Roman" w:eastAsia="Times New Roman"/>
                <w:b w:val="0"/>
                <w:i w:val="0"/>
                <w:color w:val="000000"/>
                <w:sz w:val="16"/>
              </w:rPr>
              <w:t>i (global)</w:t>
            </w:r>
          </w:p>
        </w:tc>
        <w:tc>
          <w:tcPr>
            <w:tcW w:type="dxa" w:w="1814"/>
          </w:tcPr>
          <w:p>
            <w:pPr>
              <w:jc w:val="left"/>
            </w:pPr>
            <w:r/>
            <w:r>
              <w:rPr>
                <w:rFonts w:ascii="Times New Roman" w:hAnsi="Times New Roman" w:eastAsia="Times New Roman"/>
                <w:b w:val="0"/>
                <w:i w:val="0"/>
                <w:color w:val="000000"/>
                <w:sz w:val="16"/>
              </w:rPr>
              <w:t>1 mm</w:t>
            </w:r>
          </w:p>
        </w:tc>
        <w:tc>
          <w:tcPr>
            <w:tcW w:type="dxa" w:w="3118"/>
          </w:tcPr>
          <w:p>
            <w:pPr>
              <w:jc w:val="left"/>
            </w:pPr>
            <w:r/>
            <w:r>
              <w:rPr>
                <w:rFonts w:ascii="Times New Roman" w:hAnsi="Times New Roman" w:eastAsia="Times New Roman"/>
                <w:b w:val="0"/>
                <w:i w:val="0"/>
                <w:color w:val="000000"/>
                <w:sz w:val="16"/>
              </w:rPr>
              <w:t>R₀ = 5,285 mm (único, Chile)</w:t>
            </w:r>
          </w:p>
        </w:tc>
        <w:tc>
          <w:tcPr>
            <w:tcW w:type="dxa" w:w="2835"/>
          </w:tcPr>
          <w:p>
            <w:pPr>
              <w:jc w:val="left"/>
            </w:pPr>
            <w:r/>
            <w:r>
              <w:rPr>
                <w:rFonts w:ascii="Times New Roman" w:hAnsi="Times New Roman" w:eastAsia="Times New Roman"/>
                <w:b w:val="0"/>
                <w:i w:val="0"/>
                <w:color w:val="000000"/>
                <w:sz w:val="16"/>
              </w:rPr>
              <w:t>Resultados principales</w:t>
            </w:r>
          </w:p>
        </w:tc>
      </w:tr>
      <w:tr>
        <w:tc>
          <w:tcPr>
            <w:tcW w:type="dxa" w:w="1984"/>
          </w:tcPr>
          <w:p>
            <w:pPr>
              <w:jc w:val="left"/>
            </w:pPr>
            <w:r/>
            <w:r>
              <w:rPr>
                <w:rFonts w:ascii="Times New Roman" w:hAnsi="Times New Roman" w:eastAsia="Times New Roman"/>
                <w:b w:val="0"/>
                <w:i w:val="0"/>
                <w:color w:val="000000"/>
                <w:sz w:val="16"/>
              </w:rPr>
              <w:t>ii (mismo umbral)</w:t>
            </w:r>
          </w:p>
        </w:tc>
        <w:tc>
          <w:tcPr>
            <w:tcW w:type="dxa" w:w="1814"/>
          </w:tcPr>
          <w:p>
            <w:pPr>
              <w:jc w:val="left"/>
            </w:pPr>
            <w:r/>
            <w:r>
              <w:rPr>
                <w:rFonts w:ascii="Times New Roman" w:hAnsi="Times New Roman" w:eastAsia="Times New Roman"/>
                <w:b w:val="0"/>
                <w:i w:val="0"/>
                <w:color w:val="000000"/>
                <w:sz w:val="16"/>
              </w:rPr>
              <w:t>1 mm</w:t>
            </w:r>
          </w:p>
        </w:tc>
        <w:tc>
          <w:tcPr>
            <w:tcW w:type="dxa" w:w="3118"/>
          </w:tcPr>
          <w:p>
            <w:pPr>
              <w:jc w:val="left"/>
            </w:pPr>
            <w:r/>
            <w:r>
              <w:rPr>
                <w:rFonts w:ascii="Times New Roman" w:hAnsi="Times New Roman" w:eastAsia="Times New Roman"/>
                <w:b w:val="0"/>
                <w:i w:val="0"/>
                <w:color w:val="000000"/>
                <w:sz w:val="16"/>
              </w:rPr>
              <w:t>1 mm</w:t>
            </w:r>
          </w:p>
        </w:tc>
        <w:tc>
          <w:tcPr>
            <w:tcW w:type="dxa" w:w="2835"/>
          </w:tcPr>
          <w:p>
            <w:pPr>
              <w:jc w:val="left"/>
            </w:pPr>
            <w:r/>
            <w:r>
              <w:rPr>
                <w:rFonts w:ascii="Times New Roman" w:hAnsi="Times New Roman" w:eastAsia="Times New Roman"/>
                <w:b w:val="0"/>
                <w:i w:val="0"/>
                <w:color w:val="000000"/>
                <w:sz w:val="16"/>
              </w:rPr>
              <w:t>Sensibilidad: sesgo sin calibrar</w:t>
            </w:r>
          </w:p>
        </w:tc>
      </w:tr>
      <w:tr>
        <w:tc>
          <w:tcPr>
            <w:tcW w:type="dxa" w:w="1984"/>
          </w:tcPr>
          <w:p>
            <w:pPr>
              <w:jc w:val="left"/>
            </w:pPr>
            <w:r/>
            <w:r>
              <w:rPr>
                <w:rFonts w:ascii="Times New Roman" w:hAnsi="Times New Roman" w:eastAsia="Times New Roman"/>
                <w:b w:val="0"/>
                <w:i w:val="0"/>
                <w:color w:val="000000"/>
                <w:sz w:val="16"/>
              </w:rPr>
              <w:t>iii (local)</w:t>
            </w:r>
          </w:p>
        </w:tc>
        <w:tc>
          <w:tcPr>
            <w:tcW w:type="dxa" w:w="1814"/>
          </w:tcPr>
          <w:p>
            <w:pPr>
              <w:jc w:val="left"/>
            </w:pPr>
            <w:r/>
            <w:r>
              <w:rPr>
                <w:rFonts w:ascii="Times New Roman" w:hAnsi="Times New Roman" w:eastAsia="Times New Roman"/>
                <w:b w:val="0"/>
                <w:i w:val="0"/>
                <w:color w:val="000000"/>
                <w:sz w:val="16"/>
              </w:rPr>
              <w:t>1 mm</w:t>
            </w:r>
          </w:p>
        </w:tc>
        <w:tc>
          <w:tcPr>
            <w:tcW w:type="dxa" w:w="3118"/>
          </w:tcPr>
          <w:p>
            <w:pPr>
              <w:jc w:val="left"/>
            </w:pPr>
            <w:r/>
            <w:r>
              <w:rPr>
                <w:rFonts w:ascii="Times New Roman" w:hAnsi="Times New Roman" w:eastAsia="Times New Roman"/>
                <w:b w:val="0"/>
                <w:i w:val="0"/>
                <w:color w:val="000000"/>
                <w:sz w:val="16"/>
              </w:rPr>
              <w:t>R₀(x,y) por píxel</w:t>
            </w:r>
          </w:p>
        </w:tc>
        <w:tc>
          <w:tcPr>
            <w:tcW w:type="dxa" w:w="2835"/>
          </w:tcPr>
          <w:p>
            <w:pPr>
              <w:jc w:val="left"/>
            </w:pPr>
            <w:r/>
            <w:r>
              <w:rPr>
                <w:rFonts w:ascii="Times New Roman" w:hAnsi="Times New Roman" w:eastAsia="Times New Roman"/>
                <w:b w:val="0"/>
                <w:i w:val="0"/>
                <w:color w:val="000000"/>
                <w:sz w:val="16"/>
              </w:rPr>
              <w:t>Sensibilidad espacial</w:t>
            </w:r>
          </w:p>
        </w:tc>
      </w:tr>
    </w:tbl>
    <w:p/>
    <w:p>
      <w:pPr>
        <w:spacing w:before="280" w:after="120"/>
      </w:pPr>
      <w:r>
        <w:rPr>
          <w:rFonts w:ascii="Times New Roman" w:hAnsi="Times New Roman" w:eastAsia="Times New Roman"/>
          <w:b/>
          <w:i w:val="0"/>
          <w:color w:val="000000"/>
          <w:sz w:val="24"/>
        </w:rPr>
        <w:t>2.3 Calibración del umbral R₀</w:t>
      </w:r>
    </w:p>
    <w:p>
      <w:pPr>
        <w:spacing w:after="160" w:before="0" w:line="360" w:lineRule="auto"/>
        <w:ind w:firstLine="432"/>
        <w:jc w:val="both"/>
      </w:pPr>
      <w:r>
        <w:rPr>
          <w:rFonts w:ascii="Times New Roman" w:hAnsi="Times New Roman" w:eastAsia="Times New Roman"/>
          <w:b w:val="0"/>
          <w:i w:val="0"/>
          <w:color w:val="000000"/>
          <w:sz w:val="24"/>
        </w:rPr>
        <w:t>La calibración de R₀ busca el umbral tal que el promedio espacial sobre Chile continental de la fracción temporal de días con pr ≥ R en ALADIN iguale la fracción correspondiente de CR2MET con R = 1 mm día⁻¹. Si F(R) denota esa fracción espacial media de wet days, se resuelve F_ALADIN(R₀) = F_CR2MET(1 mm). En 1980–2014, CR2MET a 1 mm produce F = 20,94 % y ALADIN a 1 mm produce F = 30,68 % (+9,7 puntos porcentuales). El umbral R₀ = 5,285 mm día⁻¹ reproduce F = 20,94 % en ALADIN (Figura 3).</w:t>
      </w:r>
    </w:p>
    <w:p>
      <w:pPr>
        <w:spacing w:before="160" w:after="40"/>
        <w:jc w:val="center"/>
      </w:pPr>
      <w:r>
        <w:drawing>
          <wp:inline xmlns:a="http://schemas.openxmlformats.org/drawingml/2006/main" xmlns:pic="http://schemas.openxmlformats.org/drawingml/2006/picture">
            <wp:extent cx="4937760" cy="2976526"/>
            <wp:docPr id="3" name="Picture 3"/>
            <wp:cNvGraphicFramePr>
              <a:graphicFrameLocks noChangeAspect="1"/>
            </wp:cNvGraphicFramePr>
            <a:graphic>
              <a:graphicData uri="http://schemas.openxmlformats.org/drawingml/2006/picture">
                <pic:pic>
                  <pic:nvPicPr>
                    <pic:cNvPr id="0" name="fig03_calibracion_R0_ftau.png"/>
                    <pic:cNvPicPr/>
                  </pic:nvPicPr>
                  <pic:blipFill>
                    <a:blip r:embed="rId11"/>
                    <a:stretch>
                      <a:fillRect/>
                    </a:stretch>
                  </pic:blipFill>
                  <pic:spPr>
                    <a:xfrm>
                      <a:off x="0" y="0"/>
                      <a:ext cx="4937760" cy="2976526"/>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3. Calibración del umbral de día húmedo en ALADIN frente a CR2MET (1980–2014). La curva azul es F(R) de ALADIN. El punto rojo es CR2MET a 1 mm (F = 20,9 %). El cuadrado marca R₀ = 5,285 mm, umbral con el que ALADIN iguala esa fracción. La diferencia a 1 mm (+9,7 puntos porcentuales) es el exceso de días húmedos que, sin calibrar, acorta las rachas secas.</w:t>
      </w:r>
    </w:p>
    <w:p>
      <w:pPr>
        <w:spacing w:after="160" w:before="0" w:line="360" w:lineRule="auto"/>
        <w:ind w:firstLine="432"/>
        <w:jc w:val="both"/>
      </w:pPr>
      <w:r>
        <w:rPr>
          <w:rFonts w:ascii="Times New Roman" w:hAnsi="Times New Roman" w:eastAsia="Times New Roman"/>
          <w:b w:val="0"/>
          <w:i w:val="0"/>
          <w:color w:val="000000"/>
          <w:sz w:val="24"/>
        </w:rPr>
        <w:t>Esta calibración sigue la lógica de emparejar la frecuencia de días húmedos antes de comparar estadísticas de rachas o intensidades (Martinez-Villalobos et al., 2022). R₀ es un paso metodológico previo, no la pregunta científica central. Igualar la fracción de wet days no implica igualdad en intensidad, en variabilidad interanual ni en la distribución de duraciones: eso se verifica en la evaluación histórica (§3). La variante local R₀(x,y) reduce residuos espaciales del sesgo de wet days, pero introduce un campo de umbrales heterogéneo; por ello se reserva a sensibilidad.</w:t>
      </w:r>
    </w:p>
    <w:p>
      <w:pPr>
        <w:spacing w:before="280" w:after="120"/>
      </w:pPr>
      <w:r>
        <w:rPr>
          <w:rFonts w:ascii="Times New Roman" w:hAnsi="Times New Roman" w:eastAsia="Times New Roman"/>
          <w:b/>
          <w:i w:val="0"/>
          <w:color w:val="000000"/>
          <w:sz w:val="24"/>
        </w:rPr>
        <w:t>2.4 Construcción y normalización de las PDFs</w:t>
      </w:r>
    </w:p>
    <w:p>
      <w:pPr>
        <w:spacing w:after="160" w:before="0" w:line="360" w:lineRule="auto"/>
        <w:ind w:firstLine="432"/>
        <w:jc w:val="both"/>
      </w:pPr>
      <w:r>
        <w:rPr>
          <w:rFonts w:ascii="Times New Roman" w:hAnsi="Times New Roman" w:eastAsia="Times New Roman"/>
          <w:b w:val="0"/>
          <w:i w:val="0"/>
          <w:color w:val="000000"/>
          <w:sz w:val="24"/>
        </w:rPr>
        <w:t>Para caracterizar la distribución de duraciones se construyen PDFs empíricas de la variable t (días). Los bins son aproximadamente uniformes en el espacio log(t), de modo que la representación natural sea en escala log–log, siguiendo la convención de PDFs de precipitación diaria (Martinez-Villalobos y Neelin, 2018; Martinez-Villalobos et al., 2022). En cada bin, f(t) es el cociente entre el número de spells en el intervalo y el ancho del bin.</w:t>
      </w:r>
    </w:p>
    <w:p>
      <w:pPr>
        <w:spacing w:after="160" w:before="0" w:line="360" w:lineRule="auto"/>
        <w:ind w:firstLine="432"/>
        <w:jc w:val="both"/>
      </w:pPr>
      <w:r>
        <w:rPr>
          <w:rFonts w:ascii="Times New Roman" w:hAnsi="Times New Roman" w:eastAsia="Times New Roman"/>
          <w:b w:val="0"/>
          <w:i w:val="0"/>
          <w:color w:val="000000"/>
          <w:sz w:val="24"/>
        </w:rPr>
        <w:t>A diferencia de una densidad clásica —cuya integral respecto de t iguala 1—, aquí se normaliza de modo que</w:t>
      </w:r>
    </w:p>
    <w:p>
      <w:pPr>
        <w:spacing w:before="160" w:after="160"/>
        <w:jc w:val="center"/>
      </w:pPr>
      <w:r>
        <w:rPr>
          <w:rFonts w:ascii="Times New Roman" w:hAnsi="Times New Roman" w:eastAsia="Times New Roman"/>
          <w:b w:val="0"/>
          <w:i/>
          <w:color w:val="000000"/>
          <w:sz w:val="24"/>
        </w:rPr>
        <w:t>(1)    ∫₀^∞ f(t) dt = n_spells</w:t>
      </w:r>
    </w:p>
    <w:p>
      <w:pPr>
        <w:spacing w:after="160" w:before="0" w:line="360" w:lineRule="auto"/>
        <w:ind w:firstLine="432"/>
        <w:jc w:val="both"/>
      </w:pPr>
      <w:r>
        <w:rPr>
          <w:rFonts w:ascii="Times New Roman" w:hAnsi="Times New Roman" w:eastAsia="Times New Roman"/>
          <w:b w:val="0"/>
          <w:i w:val="0"/>
          <w:color w:val="000000"/>
          <w:sz w:val="24"/>
        </w:rPr>
        <w:t>donde n_spells es el número total de dry spells del conjunto (cuenca × período × producto). Esta convención preserva a la vez la forma de la distribución y el número de eventos. Normalizar a 1 ocultaría si el futuro produce más o menos spells que el histórico, información relevante cuando cambian simultáneamente la frecuencia y la cola. La PDF no es una tendencia temporal: describe cómo se reparten las rachas en un pool de eventos; una tendencia describe la evolución año a año de un estadístico. Como complemento escalar se reportan media, mediana, percentiles 90 y 99 (p90, p99) y el máximo del pool.</w:t>
      </w:r>
    </w:p>
    <w:p>
      <w:pPr>
        <w:spacing w:before="280" w:after="120"/>
      </w:pPr>
      <w:r>
        <w:rPr>
          <w:rFonts w:ascii="Times New Roman" w:hAnsi="Times New Roman" w:eastAsia="Times New Roman"/>
          <w:b/>
          <w:i w:val="0"/>
          <w:color w:val="000000"/>
          <w:sz w:val="24"/>
        </w:rPr>
        <w:t>2.5 Agrupación regional y estadísticas espaciales</w:t>
      </w:r>
    </w:p>
    <w:p>
      <w:pPr>
        <w:spacing w:after="160" w:before="0" w:line="360" w:lineRule="auto"/>
        <w:ind w:firstLine="432"/>
        <w:jc w:val="both"/>
      </w:pPr>
      <w:r>
        <w:rPr>
          <w:rFonts w:ascii="Times New Roman" w:hAnsi="Times New Roman" w:eastAsia="Times New Roman"/>
          <w:b w:val="0"/>
          <w:i w:val="0"/>
          <w:color w:val="000000"/>
          <w:sz w:val="24"/>
        </w:rPr>
        <w:t>Para las PDFs por cuenca se adopta un pool regional: todos los dry spells de todos los píxeles de la ventana se agrupan en un único conjunto de eventos (Martinez-Villalobos y Neelin, 2018). El pool aumenta el tamaño muestral y permite resolver la cola; a cambio, mezcla heterogeneidad espacial dentro de la caja. Los píxeles no son independientes, de modo que n_spells no debe leerse como tamaño muestral efectivo para inferencia espacial. El pool se usa para describir la forma de la distribución, no para inflar la significancia.</w:t>
      </w:r>
    </w:p>
    <w:p>
      <w:pPr>
        <w:spacing w:after="160" w:before="0" w:line="360" w:lineRule="auto"/>
        <w:ind w:firstLine="432"/>
        <w:jc w:val="both"/>
      </w:pPr>
      <w:r>
        <w:rPr>
          <w:rFonts w:ascii="Times New Roman" w:hAnsi="Times New Roman" w:eastAsia="Times New Roman"/>
          <w:b w:val="0"/>
          <w:i w:val="0"/>
          <w:color w:val="000000"/>
          <w:sz w:val="24"/>
        </w:rPr>
        <w:t>Para los mapas se calculan, en cada píxel, la duración media y el percentil 99 de las duraciones (t99), y se reportan las diferencias Δ = ALADIN − CR2MET en 1980–2014. La significancia se evalúa con bootstrap por años: se remuestrean años completos —no días sueltos— para respetar la autocorrelación temporal, se reconstruye el pool de spells de los años sorteados y se recalcula la métrica en cada réplica (1 000 réplicas). Una diferencia se considera significativa al 95 % cuando el intervalo de confianza de Δ no incluye el cero.</w:t>
      </w:r>
    </w:p>
    <w:p>
      <w:pPr>
        <w:spacing w:before="280" w:after="120"/>
      </w:pPr>
      <w:r>
        <w:rPr>
          <w:rFonts w:ascii="Times New Roman" w:hAnsi="Times New Roman" w:eastAsia="Times New Roman"/>
          <w:b/>
          <w:i w:val="0"/>
          <w:color w:val="000000"/>
          <w:sz w:val="24"/>
        </w:rPr>
        <w:t>2.6 Risk ratios y cambios futuros</w:t>
      </w:r>
    </w:p>
    <w:p>
      <w:pPr>
        <w:spacing w:after="160" w:before="0" w:line="360" w:lineRule="auto"/>
        <w:ind w:firstLine="432"/>
        <w:jc w:val="both"/>
      </w:pPr>
      <w:r>
        <w:rPr>
          <w:rFonts w:ascii="Times New Roman" w:hAnsi="Times New Roman" w:eastAsia="Times New Roman"/>
          <w:b w:val="0"/>
          <w:i w:val="0"/>
          <w:color w:val="000000"/>
          <w:sz w:val="24"/>
        </w:rPr>
        <w:t>El cambio proyectado en la probabilidad de dry spells largos se cuantifica con el risk ratio</w:t>
      </w:r>
    </w:p>
    <w:p>
      <w:pPr>
        <w:spacing w:before="160" w:after="160"/>
        <w:jc w:val="center"/>
      </w:pPr>
      <w:r>
        <w:rPr>
          <w:rFonts w:ascii="Times New Roman" w:hAnsi="Times New Roman" w:eastAsia="Times New Roman"/>
          <w:b w:val="0"/>
          <w:i/>
          <w:color w:val="000000"/>
          <w:sz w:val="24"/>
        </w:rPr>
        <w:t>(2)    RR(D) = P_fut(t ≥ D) / P_hist(t ≥ D)</w:t>
      </w:r>
    </w:p>
    <w:p>
      <w:pPr>
        <w:spacing w:after="160" w:before="0" w:line="360" w:lineRule="auto"/>
        <w:ind w:firstLine="432"/>
        <w:jc w:val="both"/>
      </w:pPr>
      <w:r>
        <w:rPr>
          <w:rFonts w:ascii="Times New Roman" w:hAnsi="Times New Roman" w:eastAsia="Times New Roman"/>
          <w:b w:val="0"/>
          <w:i w:val="0"/>
          <w:color w:val="000000"/>
          <w:sz w:val="24"/>
        </w:rPr>
        <w:t>donde P(t ≥ D) es la fracción de dry spells cuya duración es al menos D días, evaluada en ALADIN futuro (2040–2074) y ALADIN histórico (1980–2014) con el mismo R₀ = 5,285 mm día⁻¹. Un RR(D) &gt; 1 indica mayor probabilidad de spells largos en el futuro. Como el futuro no existe en CR2MET, la comparación se hace necesariamente dentro del mismo modelo. Las curvas RR(D) y su interpretación se presentan en los resultados (§4), no aquí: en Métodos solo se define el estimador.</w:t>
      </w:r>
    </w:p>
    <w:p>
      <w:pPr>
        <w:spacing w:after="160" w:before="0" w:line="360" w:lineRule="auto"/>
        <w:ind w:firstLine="432"/>
        <w:jc w:val="both"/>
      </w:pPr>
      <w:r>
        <w:rPr>
          <w:rFonts w:ascii="Times New Roman" w:hAnsi="Times New Roman" w:eastAsia="Times New Roman"/>
          <w:b w:val="0"/>
          <w:i w:val="0"/>
          <w:color w:val="000000"/>
          <w:sz w:val="24"/>
        </w:rPr>
        <w:t>Los risk ratios se estiman sobre pools por región administrativa, considerando spells cuyo día de inicio cae entre marzo y noviembre. En Chile central el verano (diciembre–febrero) es seco de manera climatológica, de modo que las rachas que empiezan en pleno verano reflejan en gran parte la estación seca esperada. Mar–nov enfoca las rachas que interrumpen la temporada de lluvias y la transición, más relevantes para recarga y agricultura. Se calculan curvas RR versus D e intervalos de confianza al 95 % mediante bootstrap por años (1 000 réplicas). Se interpreta aumento significativo cuando RR &gt; 1 y el IC95 queda por completo por encima de 1. Cuando la probabilidad histórica de spells ≥ D es muy baja —típico del sur húmedo para D grandes—, el cociente puede volverse grande e inestable; un IC95 amplio refleja entonces rareza de eventos, no necesariamente una señal climática robusta.</w:t>
      </w:r>
    </w:p>
    <w:p>
      <w:pPr>
        <w:spacing w:before="280" w:after="120"/>
      </w:pPr>
      <w:r>
        <w:rPr>
          <w:rFonts w:ascii="Times New Roman" w:hAnsi="Times New Roman" w:eastAsia="Times New Roman"/>
          <w:b/>
          <w:i w:val="0"/>
          <w:color w:val="000000"/>
          <w:sz w:val="24"/>
        </w:rPr>
        <w:t>2.7 Sensibilidad a la elección del umbral</w:t>
      </w:r>
    </w:p>
    <w:p>
      <w:pPr>
        <w:spacing w:after="160" w:before="0" w:line="360" w:lineRule="auto"/>
        <w:ind w:firstLine="432"/>
        <w:jc w:val="both"/>
      </w:pPr>
      <w:r>
        <w:rPr>
          <w:rFonts w:ascii="Times New Roman" w:hAnsi="Times New Roman" w:eastAsia="Times New Roman"/>
          <w:b w:val="0"/>
          <w:i w:val="0"/>
          <w:color w:val="000000"/>
          <w:sz w:val="24"/>
        </w:rPr>
        <w:t>Para documentar que las conclusiones históricas dependen del umbral, se comparan en Loa, Maule y Biobío cuatro series en 1980–2014: CR2MET a 1 mm, ALADIN a 1 mm, ALADIN a R₀ global y ALADIN a R₀ local (Figura 4). Sin calibración, el modelo produce muchos más spells y de menor duración —en Loa, la media pasa de ~66 días en CR2MET a ~27 días en ALADIN—, precisamente porque el exceso de días húmedos parte las rachas. Con R₀ global o local, las PDFs de ALADIN se acercan a CR2MET en forma y en número de eventos. Eso justifica el criterio i como configuración principal. El mapa de R₀ local se reserva a material suplementario.</w:t>
      </w:r>
    </w:p>
    <w:p>
      <w:pPr>
        <w:spacing w:before="160" w:after="40"/>
        <w:jc w:val="center"/>
      </w:pPr>
      <w:r>
        <w:drawing>
          <wp:inline xmlns:a="http://schemas.openxmlformats.org/drawingml/2006/main" xmlns:pic="http://schemas.openxmlformats.org/drawingml/2006/picture">
            <wp:extent cx="5120640" cy="10247697"/>
            <wp:docPr id="4" name="Picture 4"/>
            <wp:cNvGraphicFramePr>
              <a:graphicFrameLocks noChangeAspect="1"/>
            </wp:cNvGraphicFramePr>
            <a:graphic>
              <a:graphicData uri="http://schemas.openxmlformats.org/drawingml/2006/picture">
                <pic:pic>
                  <pic:nvPicPr>
                    <pic:cNvPr id="0" name="fig04_calibracion_umbral_panel.png"/>
                    <pic:cNvPicPr/>
                  </pic:nvPicPr>
                  <pic:blipFill>
                    <a:blip r:embed="rId12"/>
                    <a:stretch>
                      <a:fillRect/>
                    </a:stretch>
                  </pic:blipFill>
                  <pic:spPr>
                    <a:xfrm>
                      <a:off x="0" y="0"/>
                      <a:ext cx="5120640" cy="10247697"/>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4. Efecto de la calibración del umbral sobre las PDFs de duración (1980–2014) en Loa, Maule y Biobío (escala log–log). Negro: CR2MET a 1 mm. Rojo discontinuo: ALADIN a 1 mm (sin calibrar). Azul: ALADIN a R₀ global (5,285 mm). Verde: ALADIN a R₀ local. Sin calibrar, ALADIN infla spells cortos y pierde la cola; con R₀ las curvas se acercan a CR2MET. Esta figura justifica el criterio i; las PDFs históricas y futuras del análisis principal se presentan en Resultados.</w:t>
      </w:r>
    </w:p>
    <w:p>
      <w:pPr>
        <w:spacing w:after="160" w:before="0" w:line="360" w:lineRule="auto"/>
        <w:ind w:firstLine="432"/>
        <w:jc w:val="both"/>
      </w:pPr>
      <w:r>
        <w:rPr>
          <w:rFonts w:ascii="Times New Roman" w:hAnsi="Times New Roman" w:eastAsia="Times New Roman"/>
          <w:b w:val="0"/>
          <w:i w:val="0"/>
          <w:color w:val="000000"/>
          <w:sz w:val="24"/>
        </w:rPr>
        <w:t>En síntesis, la cadena metodológica es: (1) alinear espacialmente CR2MET y ALADIN; (2) definir wet/dry days y dry spells, permitiendo que las rachas crucen el año calendario; (3) calibrar R₀ para una comparación histórica equitativa de la frecuencia de días húmedos; (4) construir PDFs con ∫ f dt = n_spells mediante pool regional por cuenca; (5) mapear media y t99 con significancia por bootstrap de años; y (6) cuantificar el cambio futuro con RR(D) e IC95, dentro de ALADIN. Las secciones siguientes aplican este marco a la evaluación histórica (§3) y a las proyecciones SSP5-8.5 (§4).</w:t>
      </w:r>
    </w:p>
    <w:p>
      <w:pPr>
        <w:spacing w:before="280" w:after="120"/>
      </w:pPr>
      <w:r>
        <w:rPr>
          <w:rFonts w:ascii="Times New Roman" w:hAnsi="Times New Roman" w:eastAsia="Times New Roman"/>
          <w:b/>
          <w:i w:val="0"/>
          <w:color w:val="000000"/>
          <w:sz w:val="28"/>
        </w:rPr>
        <w:t>Referencias citadas en Datos y métodos</w:t>
      </w:r>
    </w:p>
    <w:p>
      <w:pPr>
        <w:spacing w:after="80" w:before="0" w:line="276" w:lineRule="auto"/>
        <w:ind w:left="709" w:hanging="709"/>
        <w:jc w:val="both"/>
      </w:pPr>
      <w:r>
        <w:rPr>
          <w:rFonts w:ascii="Times New Roman" w:hAnsi="Times New Roman" w:eastAsia="Times New Roman"/>
          <w:b w:val="0"/>
          <w:i w:val="0"/>
          <w:color w:val="000000"/>
          <w:sz w:val="22"/>
        </w:rPr>
        <w:t>Álvarez-Garretón, C., Mendoza, P. A., Boisier, J. P., Addor, N., Galleguillos, M., Zambrano-Bigiarini, M., Lara, A., Puelma, C., Cortes, G., Garreaud, R., McPhee, J., y Ayala, A. (2018). The CAMELS-CL dataset: catchment attributes and meteorology for large sample studies – Chile. Hydrology and Earth System Sciences, 22, 5817–5846. https://doi.org/10.5194/hess-22-5817-2018</w:t>
      </w:r>
    </w:p>
    <w:p>
      <w:pPr>
        <w:spacing w:after="80" w:before="0" w:line="276" w:lineRule="auto"/>
        <w:ind w:left="709" w:hanging="709"/>
        <w:jc w:val="both"/>
      </w:pPr>
      <w:r>
        <w:rPr>
          <w:rFonts w:ascii="Times New Roman" w:hAnsi="Times New Roman" w:eastAsia="Times New Roman"/>
          <w:b w:val="0"/>
          <w:i w:val="0"/>
          <w:color w:val="000000"/>
          <w:sz w:val="22"/>
        </w:rPr>
        <w:t>Araya-Osses, D., Casanueva, A., Román-Figueroa, C., Uribe, J. M., y Paneque, M. (2020). Climate change projections of temperature and precipitation in Chile based on statistical downscaling. Climate Dynamics, 54, 4309–4330. https://doi.org/10.1007/s00382-020-05231-4</w:t>
      </w:r>
    </w:p>
    <w:p>
      <w:pPr>
        <w:spacing w:after="80" w:before="0" w:line="276" w:lineRule="auto"/>
        <w:ind w:left="709" w:hanging="709"/>
        <w:jc w:val="both"/>
      </w:pPr>
      <w:r>
        <w:rPr>
          <w:rFonts w:ascii="Times New Roman" w:hAnsi="Times New Roman" w:eastAsia="Times New Roman"/>
          <w:b w:val="0"/>
          <w:i w:val="0"/>
          <w:color w:val="000000"/>
          <w:sz w:val="22"/>
        </w:rPr>
        <w:t>Báez-Villanueva, O. M., Zambrano-Bigiarini, M., Miralles, D. G., Beck, H. E., Siegmund, J. F., Alvarez-Garreton, C., Verbist, K., Garreaud, R., Boisier, J. P., y Galleguillos, M. (2024). On the timescale of drought indices for monitoring streamflow drought considering catchment hydrological regimes. Hydrology and Earth System Sciences, 28, 1415–1439. https://doi.org/10.5194/hess-28-1415-2024</w:t>
      </w:r>
    </w:p>
    <w:p>
      <w:pPr>
        <w:spacing w:after="80" w:before="0" w:line="276" w:lineRule="auto"/>
        <w:ind w:left="709" w:hanging="709"/>
        <w:jc w:val="both"/>
      </w:pPr>
      <w:r>
        <w:rPr>
          <w:rFonts w:ascii="Times New Roman" w:hAnsi="Times New Roman" w:eastAsia="Times New Roman"/>
          <w:b w:val="0"/>
          <w:i w:val="0"/>
          <w:color w:val="000000"/>
          <w:sz w:val="22"/>
        </w:rPr>
        <w:t>Boisier, J. P., Rondanelli, R., Garreaud, R. D., y Muñoz, F. (2016). Anthropogenic and natural contributions to the Southeast Pacific precipitation decline and recent megadrought in central Chile. Geophysical Research Letters, 43(1), 413–421. https://doi.org/10.1002/2015GL067265</w:t>
      </w:r>
    </w:p>
    <w:p>
      <w:pPr>
        <w:spacing w:after="80" w:before="0" w:line="276" w:lineRule="auto"/>
        <w:ind w:left="709" w:hanging="709"/>
        <w:jc w:val="both"/>
      </w:pPr>
      <w:r>
        <w:rPr>
          <w:rFonts w:ascii="Times New Roman" w:hAnsi="Times New Roman" w:eastAsia="Times New Roman"/>
          <w:b w:val="0"/>
          <w:i w:val="0"/>
          <w:color w:val="000000"/>
          <w:sz w:val="22"/>
        </w:rPr>
        <w:t>Boisier, J. P., Alvarez-Garretón, C., Cordero, R. R., Damiani, A., Gallardo, L., Garreaud, R. D., Lambert, F., Ramallo, C., Rojas, M., y Rondanelli, R. (2018). Anthropogenic drying in central-southern Chile evidenced by long-term observations and climate model simulations. Elementa: Science of the Anthropocene, 6, 74. https://doi.org/10.1525/elementa.328</w:t>
      </w:r>
    </w:p>
    <w:p>
      <w:pPr>
        <w:spacing w:after="80" w:before="0" w:line="276" w:lineRule="auto"/>
        <w:ind w:left="709" w:hanging="709"/>
        <w:jc w:val="both"/>
      </w:pPr>
      <w:r>
        <w:rPr>
          <w:rFonts w:ascii="Times New Roman" w:hAnsi="Times New Roman" w:eastAsia="Times New Roman"/>
          <w:b w:val="0"/>
          <w:i w:val="0"/>
          <w:color w:val="000000"/>
          <w:sz w:val="22"/>
        </w:rPr>
        <w:t>Bozkurt, D., Rojas, M., Boisier, J. P., y Valdivieso, J. (2018). Projected hydroclimate changes over Andean basins in central Chile from downscaled CMIP5 models under the low and high emission scenarios. Climatic Change, 150, 131–154. https://doi.org/10.1007/s10584-018-2246-7</w:t>
      </w:r>
    </w:p>
    <w:p>
      <w:pPr>
        <w:spacing w:after="80" w:before="0" w:line="276" w:lineRule="auto"/>
        <w:ind w:left="709" w:hanging="709"/>
        <w:jc w:val="both"/>
      </w:pPr>
      <w:r>
        <w:rPr>
          <w:rFonts w:ascii="Times New Roman" w:hAnsi="Times New Roman" w:eastAsia="Times New Roman"/>
          <w:b w:val="0"/>
          <w:i w:val="0"/>
          <w:color w:val="000000"/>
          <w:sz w:val="22"/>
        </w:rPr>
        <w:t>Garreaud, R. D., Alvarez-Garreton, C., Barichivich, J., Boisier, J. P., Christie, D., Galleguillos, M., … Zambrano-Bigiarini, M. (2017). The 2010–2015 megadrought in central Chile: Impacts on regional hydroclimate and vegetation. Hydrology and Earth System Sciences, 21(12), 6307–6327. https://doi.org/10.5194/hess-21-6307-2017</w:t>
      </w:r>
    </w:p>
    <w:p>
      <w:pPr>
        <w:spacing w:after="80" w:before="0" w:line="276" w:lineRule="auto"/>
        <w:ind w:left="709" w:hanging="709"/>
        <w:jc w:val="both"/>
      </w:pPr>
      <w:r>
        <w:rPr>
          <w:rFonts w:ascii="Times New Roman" w:hAnsi="Times New Roman" w:eastAsia="Times New Roman"/>
          <w:b w:val="0"/>
          <w:i w:val="0"/>
          <w:color w:val="000000"/>
          <w:sz w:val="22"/>
        </w:rPr>
        <w:t>Garreaud, R. D., Boisier, J. P., Rondanelli, R., Damiani, A., Veloso-Aguila, D., y Muñoz, F. (2020). The Central Chile Mega Drought (2010–2018): A climate dynamics perspective. International Journal of Climatology, 40(1), 421–439. https://doi.org/10.1002/joc.6219</w:t>
      </w:r>
    </w:p>
    <w:p>
      <w:pPr>
        <w:spacing w:after="80" w:before="0" w:line="276" w:lineRule="auto"/>
        <w:ind w:left="709" w:hanging="709"/>
        <w:jc w:val="both"/>
      </w:pPr>
      <w:r>
        <w:rPr>
          <w:rFonts w:ascii="Times New Roman" w:hAnsi="Times New Roman" w:eastAsia="Times New Roman"/>
          <w:b w:val="0"/>
          <w:i w:val="0"/>
          <w:color w:val="000000"/>
          <w:sz w:val="22"/>
        </w:rPr>
        <w:t>Giorgi, F., Im, E.-S., Coppola, E., Diffenbaugh, N. S., Gao, X. J., Mariotti, L., y Shi, Y. (2011). Higher hydroclimatic intensity with global warming. Journal of Climate, 24(20), 5309–5324. https://doi.org/10.1175/2011JCLI3979.1</w:t>
      </w:r>
    </w:p>
    <w:p>
      <w:pPr>
        <w:spacing w:after="80" w:before="0" w:line="276" w:lineRule="auto"/>
        <w:ind w:left="709" w:hanging="709"/>
        <w:jc w:val="both"/>
      </w:pPr>
      <w:r>
        <w:rPr>
          <w:rFonts w:ascii="Times New Roman" w:hAnsi="Times New Roman" w:eastAsia="Times New Roman"/>
          <w:b w:val="0"/>
          <w:i w:val="0"/>
          <w:color w:val="000000"/>
          <w:sz w:val="22"/>
        </w:rPr>
        <w:t>Giorgi, F., Raffaele, F., y Coppola, E. (2019). The response of precipitation characteristics to global warming from climate projections. Earth System Dynamics, 10, 73–89. https://doi.org/10.5194/esd-10-73-2019</w:t>
      </w:r>
    </w:p>
    <w:p>
      <w:pPr>
        <w:spacing w:after="80" w:before="0" w:line="276" w:lineRule="auto"/>
        <w:ind w:left="709" w:hanging="709"/>
        <w:jc w:val="both"/>
      </w:pPr>
      <w:r>
        <w:rPr>
          <w:rFonts w:ascii="Times New Roman" w:hAnsi="Times New Roman" w:eastAsia="Times New Roman"/>
          <w:b w:val="0"/>
          <w:i w:val="0"/>
          <w:color w:val="000000"/>
          <w:sz w:val="22"/>
        </w:rPr>
        <w:t>Lana, X., Martínez, M. D., Burgueño, A., Serra, C., Martín-Vide, J., y Gómez, L. (2006). Distributions of long dry spells in the Iberian Peninsula, years 1951–1990. International Journal of Climatology, 26(14), 1999–2021. https://doi.org/10.1002/joc.1354</w:t>
      </w:r>
    </w:p>
    <w:p>
      <w:pPr>
        <w:spacing w:after="80" w:before="0" w:line="276" w:lineRule="auto"/>
        <w:ind w:left="709" w:hanging="709"/>
        <w:jc w:val="both"/>
      </w:pPr>
      <w:r>
        <w:rPr>
          <w:rFonts w:ascii="Times New Roman" w:hAnsi="Times New Roman" w:eastAsia="Times New Roman"/>
          <w:b w:val="0"/>
          <w:i w:val="0"/>
          <w:color w:val="000000"/>
          <w:sz w:val="22"/>
        </w:rPr>
        <w:t>Latoja, D., Rivera, D., Lillo-Saavedra, M., y Godoy-Faúndez, Á. (2025). Shifting dry spells in Central Chile: Implications for agricultural water planning. Agricultural &amp; Environmental Letters, 10, e70037. https://doi.org/10.1002/ael2.70037</w:t>
      </w:r>
    </w:p>
    <w:p>
      <w:pPr>
        <w:spacing w:after="80" w:before="0" w:line="276" w:lineRule="auto"/>
        <w:ind w:left="709" w:hanging="709"/>
        <w:jc w:val="both"/>
      </w:pPr>
      <w:r>
        <w:rPr>
          <w:rFonts w:ascii="Times New Roman" w:hAnsi="Times New Roman" w:eastAsia="Times New Roman"/>
          <w:b w:val="0"/>
          <w:i w:val="0"/>
          <w:color w:val="000000"/>
          <w:sz w:val="22"/>
        </w:rPr>
        <w:t>Martinez-Villalobos, C., y Neelin, J. D. (2018). Shifts in precipitation accumulation extremes during the warm season over the United States. Geophysical Research Letters, 45(16), 8586–8595. https://doi.org/10.1029/2018GL078465</w:t>
      </w:r>
    </w:p>
    <w:p>
      <w:pPr>
        <w:spacing w:after="80" w:before="0" w:line="276" w:lineRule="auto"/>
        <w:ind w:left="709" w:hanging="709"/>
        <w:jc w:val="both"/>
      </w:pPr>
      <w:r>
        <w:rPr>
          <w:rFonts w:ascii="Times New Roman" w:hAnsi="Times New Roman" w:eastAsia="Times New Roman"/>
          <w:b w:val="0"/>
          <w:i w:val="0"/>
          <w:color w:val="000000"/>
          <w:sz w:val="22"/>
        </w:rPr>
        <w:t>Martinez-Villalobos, C., y Neelin, J. D. (2019). Why do precipitation intensities tend to follow gamma distributions? Journal of the Atmospheric Sciences, 76(11), 3611–3631. https://doi.org/10.1175/JAS-D-18-0343.1</w:t>
      </w:r>
    </w:p>
    <w:p>
      <w:pPr>
        <w:spacing w:after="80" w:before="0" w:line="276" w:lineRule="auto"/>
        <w:ind w:left="709" w:hanging="709"/>
        <w:jc w:val="both"/>
      </w:pPr>
      <w:r>
        <w:rPr>
          <w:rFonts w:ascii="Times New Roman" w:hAnsi="Times New Roman" w:eastAsia="Times New Roman"/>
          <w:b w:val="0"/>
          <w:i w:val="0"/>
          <w:color w:val="000000"/>
          <w:sz w:val="22"/>
        </w:rPr>
        <w:t>Martinez-Villalobos, C., Neelin, J. D., y Pendergrass, A. G. (2022). Metrics for evaluating CMIP6 representation of daily precipitation probability distributions. Journal of Climate, 35(17), 5719–5743. https://doi.org/10.1175/JCLI-D-21-0617.1</w:t>
      </w:r>
    </w:p>
    <w:p>
      <w:pPr>
        <w:spacing w:after="80" w:before="0" w:line="276" w:lineRule="auto"/>
        <w:ind w:left="709" w:hanging="709"/>
        <w:jc w:val="both"/>
      </w:pPr>
      <w:r>
        <w:rPr>
          <w:rFonts w:ascii="Times New Roman" w:hAnsi="Times New Roman" w:eastAsia="Times New Roman"/>
          <w:b w:val="0"/>
          <w:i w:val="0"/>
          <w:color w:val="000000"/>
          <w:sz w:val="22"/>
        </w:rPr>
        <w:t>Pendergrass, A. G., y Knutti, R. (2018). The uneven nature of daily precipitation and its change. Geophysical Research Letters, 45(21), 11980–11988. https://doi.org/10.1029/2018GL080298</w:t>
      </w:r>
    </w:p>
    <w:p>
      <w:pPr>
        <w:spacing w:after="80" w:before="0" w:line="276" w:lineRule="auto"/>
        <w:ind w:left="709" w:hanging="709"/>
        <w:jc w:val="both"/>
      </w:pPr>
      <w:r>
        <w:rPr>
          <w:rFonts w:ascii="Times New Roman" w:hAnsi="Times New Roman" w:eastAsia="Times New Roman"/>
          <w:b w:val="0"/>
          <w:i w:val="0"/>
          <w:color w:val="000000"/>
          <w:sz w:val="22"/>
        </w:rPr>
        <w:t>Petrova, I. Y., Miralles, D. G., Brient, F., Donat, M. G., Min, S.-K., Kim, Y.-H., y Bador, M. (2024). Observation-constrained projections reveal longer-than-expected dry spells. Nature, 633, 594–600. https://doi.org/10.1038/s41586-024-07887-y</w:t>
      </w:r>
    </w:p>
    <w:p>
      <w:pPr>
        <w:spacing w:after="80" w:before="0" w:line="276" w:lineRule="auto"/>
        <w:ind w:left="709" w:hanging="709"/>
        <w:jc w:val="both"/>
      </w:pPr>
      <w:r>
        <w:rPr>
          <w:rFonts w:ascii="Times New Roman" w:hAnsi="Times New Roman" w:eastAsia="Times New Roman"/>
          <w:b w:val="0"/>
          <w:i w:val="0"/>
          <w:color w:val="000000"/>
          <w:sz w:val="22"/>
        </w:rPr>
        <w:t>Polade, S. D., Pierce, D. W., Cayan, D. R., Gershunov, A., y Dettinger, M. D. (2014). The key role of dry days in changing regional climate and precipitation regimes. Scientific Reports, 4, 4364. https://doi.org/10.1038/srep04364</w:t>
      </w:r>
    </w:p>
    <w:p>
      <w:pPr>
        <w:spacing w:after="80" w:before="0" w:line="276" w:lineRule="auto"/>
        <w:ind w:left="709" w:hanging="709"/>
        <w:jc w:val="both"/>
      </w:pPr>
      <w:r>
        <w:rPr>
          <w:rFonts w:ascii="Times New Roman" w:hAnsi="Times New Roman" w:eastAsia="Times New Roman"/>
          <w:b w:val="0"/>
          <w:i w:val="0"/>
          <w:color w:val="000000"/>
          <w:sz w:val="22"/>
        </w:rPr>
        <w:t>Polade, S. D., Gershunov, A., Cayan, D. R., Dettinger, M. D., y Pierce, D. W. (2017). Precipitation in a warming world: Assessing projected hydro-climate changes in California and other Mediterranean climate regions. Scientific Reports, 7, 10783. https://doi.org/10.1038/s41598-017-11285-y</w:t>
      </w:r>
    </w:p>
    <w:p>
      <w:pPr>
        <w:spacing w:after="80" w:before="0" w:line="276" w:lineRule="auto"/>
        <w:ind w:left="709" w:hanging="709"/>
        <w:jc w:val="both"/>
      </w:pPr>
      <w:r>
        <w:rPr>
          <w:rFonts w:ascii="Times New Roman" w:hAnsi="Times New Roman" w:eastAsia="Times New Roman"/>
          <w:b w:val="0"/>
          <w:i w:val="0"/>
          <w:color w:val="000000"/>
          <w:sz w:val="22"/>
        </w:rPr>
        <w:t>Reboita, M. S., da Rocha, R. P., de Souza, C. A., Baldoni, T. C., Silva, P. L. L. da S., y Ferreira, G. W. S. (2022). Future projections of extreme precipitation climate indices over South America based on CORDEX-CORE multimodel ensemble. Atmosphere, 13(9), 1463. https://doi.org/10.3390/atmos13091463</w:t>
      </w:r>
    </w:p>
    <w:p>
      <w:pPr>
        <w:spacing w:after="80" w:before="0" w:line="276" w:lineRule="auto"/>
        <w:ind w:left="709" w:hanging="709"/>
        <w:jc w:val="both"/>
      </w:pPr>
      <w:r>
        <w:rPr>
          <w:rFonts w:ascii="Times New Roman" w:hAnsi="Times New Roman" w:eastAsia="Times New Roman"/>
          <w:b w:val="0"/>
          <w:i w:val="0"/>
          <w:color w:val="000000"/>
          <w:sz w:val="22"/>
        </w:rPr>
        <w:t>Salazar, Á., Thatcher, M., Goubanova, K., Bernal, P., Gutiérrez, J., y Squeo, F. (2024). CMIP6 precipitation and temperature projections for Chile. Climate Dynamics. https://doi.org/10.1007/s00382-023-07034-9</w:t>
      </w:r>
    </w:p>
    <w:p>
      <w:pPr>
        <w:spacing w:after="80" w:before="0" w:line="276" w:lineRule="auto"/>
        <w:ind w:left="709" w:hanging="709"/>
        <w:jc w:val="both"/>
      </w:pPr>
      <w:r>
        <w:rPr>
          <w:rFonts w:ascii="Times New Roman" w:hAnsi="Times New Roman" w:eastAsia="Times New Roman"/>
          <w:b w:val="0"/>
          <w:i w:val="0"/>
          <w:color w:val="000000"/>
          <w:sz w:val="22"/>
        </w:rPr>
        <w:t>Sillmann, J., Kharin, V. V., Zhang, X., Zwiers, F. W., y Bronaugh, D. (2013a). Climate extremes indices in the CMIP5 multimodel ensemble: Part 1. Model evaluation in the present climate. Journal of Geophysical Research: Atmospheres, 118, 1716–1733. https://doi.org/10.1002/jgrd.50203</w:t>
      </w:r>
    </w:p>
    <w:p>
      <w:pPr>
        <w:spacing w:after="80" w:before="0" w:line="276" w:lineRule="auto"/>
        <w:ind w:left="709" w:hanging="709"/>
        <w:jc w:val="both"/>
      </w:pPr>
      <w:r>
        <w:rPr>
          <w:rFonts w:ascii="Times New Roman" w:hAnsi="Times New Roman" w:eastAsia="Times New Roman"/>
          <w:b w:val="0"/>
          <w:i w:val="0"/>
          <w:color w:val="000000"/>
          <w:sz w:val="22"/>
        </w:rPr>
        <w:t>Sillmann, J., Kharin, V. V., Zwiers, F. W., Zhang, X., y Bronaugh, D. (2013b). Climate extremes indices in the CMIP5 multimodel ensemble: Part 2. Future climate projections. Journal of Geophysical Research: Atmospheres, 118, 2473–2493. https://doi.org/10.1002/jgrd.50188</w:t>
      </w:r>
    </w:p>
    <w:p>
      <w:pPr>
        <w:spacing w:after="80" w:before="0" w:line="276" w:lineRule="auto"/>
        <w:ind w:left="709" w:hanging="709"/>
        <w:jc w:val="both"/>
      </w:pPr>
      <w:r>
        <w:rPr>
          <w:rFonts w:ascii="Times New Roman" w:hAnsi="Times New Roman" w:eastAsia="Times New Roman"/>
          <w:b w:val="0"/>
          <w:i w:val="0"/>
          <w:color w:val="000000"/>
          <w:sz w:val="22"/>
        </w:rPr>
        <w:t>Skansi, M. de los M., Brunet, M., Sigró, J., Aguilar, E., Groening, J. A. A., Bentancur, O. J., … Jones, P. D. (2013). Warming and wetting signals emerging from analysis of changes in climate extreme indices over South America. Global and Planetary Change, 100, 295–307. https://doi.org/10.1016/j.gloplacha.2012.11.004</w:t>
      </w:r>
    </w:p>
    <w:p>
      <w:pPr>
        <w:spacing w:after="80" w:before="0" w:line="276" w:lineRule="auto"/>
        <w:ind w:left="709" w:hanging="709"/>
        <w:jc w:val="both"/>
      </w:pPr>
      <w:r>
        <w:rPr>
          <w:rFonts w:ascii="Times New Roman" w:hAnsi="Times New Roman" w:eastAsia="Times New Roman"/>
          <w:b w:val="0"/>
          <w:i w:val="0"/>
          <w:color w:val="000000"/>
          <w:sz w:val="22"/>
        </w:rPr>
        <w:t>Stephens, G. L., L’Ecuyer, T., Forbes, R., Gettelman, A., Golaz, J.-C., Bodas-Salcedo, A., Suzuki, K., Gabriel, P., y Haynes, J. (2010). Dreary state of precipitation in global models. Journal of Geophysical Research: Atmospheres, 115, D24211. https://doi.org/10.1029/2010JD014532</w:t>
      </w:r>
    </w:p>
    <w:p>
      <w:pPr>
        <w:spacing w:after="80" w:before="0" w:line="276" w:lineRule="auto"/>
        <w:ind w:left="709" w:hanging="709"/>
        <w:jc w:val="both"/>
      </w:pPr>
      <w:r>
        <w:rPr>
          <w:rFonts w:ascii="Times New Roman" w:hAnsi="Times New Roman" w:eastAsia="Times New Roman"/>
          <w:b w:val="0"/>
          <w:i w:val="0"/>
          <w:color w:val="000000"/>
          <w:sz w:val="22"/>
        </w:rPr>
        <w:t>Trenberth, K. E., Dai, A., Rasmussen, R. M., y Parsons, D. B. (2003). The changing character of precipitation. Bulletin of the American Meteorological Society, 84(9), 1205–1218. https://doi.org/10.1175/BAMS-84-9-1205</w:t>
      </w:r>
    </w:p>
    <w:p>
      <w:pPr>
        <w:spacing w:after="80" w:before="0" w:line="276" w:lineRule="auto"/>
        <w:ind w:left="709" w:hanging="709"/>
        <w:jc w:val="both"/>
      </w:pPr>
      <w:r>
        <w:rPr>
          <w:rFonts w:ascii="Times New Roman" w:hAnsi="Times New Roman" w:eastAsia="Times New Roman"/>
          <w:b w:val="0"/>
          <w:i w:val="0"/>
          <w:color w:val="000000"/>
          <w:sz w:val="22"/>
        </w:rPr>
        <w:t>Wainwright, C. M., Black, E., y Allan, R. P. (2021). Future changes in wet and dry season characteristics in CMIP5 and CMIP6 simulations. Journal of Hydrometeorology, 22, 2339–2357. https://doi.org/10.1175/JHM-D-21-0017.1</w:t>
      </w:r>
    </w:p>
    <w:p>
      <w:pPr>
        <w:spacing w:after="80" w:before="0" w:line="276" w:lineRule="auto"/>
        <w:ind w:left="709" w:hanging="709"/>
        <w:jc w:val="both"/>
      </w:pPr>
      <w:r>
        <w:rPr>
          <w:rFonts w:ascii="Times New Roman" w:hAnsi="Times New Roman" w:eastAsia="Times New Roman"/>
          <w:b w:val="0"/>
          <w:i w:val="0"/>
          <w:color w:val="000000"/>
          <w:sz w:val="22"/>
        </w:rPr>
        <w:t>Zhang, X., Alexander, L., Hegerl, G. C., Jones, P., Klein Tank, A., Peterson, T. C., Trewin, B., y Zwiers, F. W. (2011). Indices for monitoring changes in extremes based on daily temperature and precipitation data. Wiley Interdisciplinary Reviews: Climate Change, 2(6), 851–870. https://doi.org/10.1002/wcc.147</w:t>
      </w:r>
    </w:p>
    <w:p>
      <w:pPr>
        <w:spacing w:after="80" w:before="0" w:line="276" w:lineRule="auto"/>
        <w:ind w:left="709" w:hanging="709"/>
        <w:jc w:val="both"/>
      </w:pPr>
      <w:r>
        <w:rPr>
          <w:rFonts w:ascii="Times New Roman" w:hAnsi="Times New Roman" w:eastAsia="Times New Roman"/>
          <w:b w:val="0"/>
          <w:i w:val="0"/>
          <w:color w:val="000000"/>
          <w:sz w:val="22"/>
        </w:rPr>
        <w:t>Zolina, O., Simmer, C., Belyaev, K., Gulev, S. K., y Koltermann, P. (2013). Changes in the duration of European wet and dry spells during the last 60 years. Journal of Climate, 26(6), 2022–2047. https://doi.org/10.1175/JCLI-D-11-00498.1</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