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Pr>
      <w:r>
        <w:rPr>
          <w:rFonts w:ascii="Times New Roman" w:hAnsi="Times New Roman" w:eastAsia="Times New Roman"/>
          <w:b/>
          <w:i w:val="0"/>
          <w:sz w:val="28"/>
        </w:rPr>
        <w:t>Introducción</w:t>
      </w:r>
    </w:p>
    <w:p>
      <w:pPr>
        <w:spacing w:after="160" w:before="0" w:line="360" w:lineRule="auto"/>
        <w:ind w:firstLine="432"/>
        <w:jc w:val="both"/>
      </w:pPr>
      <w:r>
        <w:rPr>
          <w:rFonts w:ascii="Times New Roman" w:hAnsi="Times New Roman" w:eastAsia="Times New Roman"/>
          <w:b w:val="0"/>
          <w:i w:val="0"/>
          <w:sz w:val="24"/>
        </w:rPr>
        <w:t>Chile central ha atravesado en la última década una megasequía sin precedentes en el registro instrumental, acompañada de una marcada variabilidad hidrológica interanual (Garreaud et al., 2017, 2020; Boisier et al., 2016, 2018). Esta variabilidad plantea un problema que las métricas agregadas de precipitación no logran capturar por completo: el total anual de lluvia puede ocultar cambios profundos en la forma en que los períodos secos se distribuyen en el tiempo. Dos climas con la misma precipitación anual —por ejemplo, 300 mm repartidos en dos eventos frente a quince— pueden implicar consecuencias muy distintas para embalses, agricultura y ecosistemas, según cuán prolongadas sean sus rachas secas.</w:t>
      </w:r>
    </w:p>
    <w:p>
      <w:pPr>
        <w:spacing w:after="160" w:before="0" w:line="360" w:lineRule="auto"/>
        <w:ind w:firstLine="432"/>
        <w:jc w:val="both"/>
      </w:pPr>
      <w:r>
        <w:rPr>
          <w:rFonts w:ascii="Times New Roman" w:hAnsi="Times New Roman" w:eastAsia="Times New Roman"/>
          <w:b w:val="0"/>
          <w:i w:val="0"/>
          <w:sz w:val="24"/>
        </w:rPr>
        <w:t>Este trabajo aborda esa dimensión de la persistencia de la precipitación, relevante para la sequía, mediante el estudio de los dry spells: rachas continuas de días secos, entendidos como días en que la precipitación es menor que un umbral de día húmedo. En lugar de preguntar cuánto llueve en promedio, el enfoque distributivo pregunta con qué frecuencia ocurren las rachas y qué tan largas llegan a ser, incluyendo la cola de eventos extremadamente prolongados. Las distribuciones de probabilidad (PDFs) de duración de dry spells ofrecen así un marco parsimonioso para caracterizar la intermitencia de la precipitación, en línea con el enfoque distributivo aplicado por Martinez-Villalobos y Neelin (2018, 2019) al estudio de extremos de precipitación, orientado a caracterizar la cola de las distribuciones mediante escalas de corte en vez de estadísticos agregados. A esa perspectiva se suma el prototipo de primer paso (first-passage time) de Stechmann y Neelin (2014): la duración de un spell húmedo o seco emerge del tiempo que tarda el vapor de agua en cruzar un umbral de precipitación, lo que da una razón física para estudiar la PDF de duraciones y no solo su media.</w:t>
      </w:r>
    </w:p>
    <w:p>
      <w:pPr>
        <w:spacing w:after="160" w:before="0" w:line="360" w:lineRule="auto"/>
        <w:ind w:firstLine="432"/>
        <w:jc w:val="both"/>
      </w:pPr>
      <w:r>
        <w:rPr>
          <w:rFonts w:ascii="Times New Roman" w:hAnsi="Times New Roman" w:eastAsia="Times New Roman"/>
          <w:b w:val="0"/>
          <w:i w:val="0"/>
          <w:sz w:val="24"/>
        </w:rPr>
        <w:t>La persistencia de períodos secos se ha cuantificado, en la literatura climática, sobre todo con índices escalares. El más difundido es el de días secos consecutivos (CDD, del inglés consecutive dry days), definido por el Expert Team on Climate Change Detection and Indices (ETCCDI) como el máximo anual —o estacional— de días seguidos con precipitación inferior a 1 mm (Zhang et al., 2011; Sillmann et al., 2013a, 2013b). Otros trabajos reportan el número de días secos o la duración media de las rachas (Giorgi et al., 2011, 2019; Polade et al., 2014). Un conjunto más reducido examina la distribución completa de duraciones: Zolina et al. (2013) mostraron que los cambios observados en rachas húmedas y secas en Europa no se reducen a un cambio en el número de días húmedos, sino a una reorganización de su agrupación temporal; Lana et al. (2006) ajustaron distribuciones de probabilidad a dry spells largos en la Península Ibérica. En Chile, ajustes paramétricos de duración confirman colas pesadas y desviaciones de un proceso sin memoria (Herrera-Marín et al., 2026). Estas distinciones importan porque un mismo aumento de días secos puede fragmentarse en muchas rachas cortas o concentrarse en pocas rachas muy largas. El CDD retiene el extremo de la cola en cada año, pero no describe con qué frecuencia ocurren spells de 10, 20 o 50 días ni cómo se desplaza esa cola. Esa limitación es análoga a la de la precipitación media anual: resume un clima que, en la práctica, es marcadamente intermitente (Trenberth et al., 2003; Pendergrass y Knutti, 2018).</w:t>
      </w:r>
    </w:p>
    <w:p>
      <w:pPr>
        <w:spacing w:after="160" w:before="0" w:line="360" w:lineRule="auto"/>
        <w:ind w:firstLine="432"/>
        <w:jc w:val="both"/>
      </w:pPr>
      <w:r>
        <w:rPr>
          <w:rFonts w:ascii="Times New Roman" w:hAnsi="Times New Roman" w:eastAsia="Times New Roman"/>
          <w:b w:val="0"/>
          <w:i w:val="0"/>
          <w:sz w:val="24"/>
        </w:rPr>
        <w:t>A este panorama se suman las proyecciones de menor precipitación en Chile central bajo escenarios de calentamiento, con señal robusta en los ensambles CMIP6 hacia fines de siglo, incluidas trayectorias de altas emisiones como SSP5-8.5 (Salazar et al., 2024; Araya-Osses et al., 2020). A escala global, esos mismos ensambles —y los de CMIP5— proyectan más días secos y dry spells más largos en subtrópicos y climas mediterráneos, Chile incluido: el aumento de días secos, más que un cambio de intensidad en los días húmedos, explica gran parte del secado proyectado (Polade et al., 2014, 2017; Sillmann et al., 2013b; Giorgi et al., 2019; Wainwright et al., 2021). Saber que “llueve menos en promedio” no equivale, sin embargo, a saber si las rachas secas se alargan o si aumenta la probabilidad de spells muy largos. Además, la representación de esa persistencia en modelos está condicionada por un sesgo sistemático: los modelos climáticos tienden a llover demasiado a menudo y con demasiado poca intensidad (Stephens et al., 2010), lo que fragmenta las rachas secas y lleva a subestimar la duración máxima anual de dry spells (Petrova et al., 2024). Por ello, comparar persistencia entre observaciones y modelos —o entre productos con distinta frecuencia de días húmedos— exige controlar esa frecuencia antes de interpretar diferencias de duración (Martinez-Villalobos et al., 2022). Evaluaciones regionales en Sudamérica, incluido CORDEX, suelen reportar el CDD o su contraparte húmeda como un índice anual, no la distribución de duraciones (Skansi et al., 2013; Reboita et al., 2022).</w:t>
      </w:r>
    </w:p>
    <w:p>
      <w:pPr>
        <w:spacing w:after="160" w:before="0" w:line="360" w:lineRule="auto"/>
        <w:ind w:firstLine="432"/>
        <w:jc w:val="both"/>
      </w:pPr>
      <w:r>
        <w:rPr>
          <w:rFonts w:ascii="Times New Roman" w:hAnsi="Times New Roman" w:eastAsia="Times New Roman"/>
          <w:b w:val="0"/>
          <w:i w:val="0"/>
          <w:sz w:val="24"/>
        </w:rPr>
        <w:t>En Chile, el diagnóstico del secado reciente y de la megasequía se ha construido principalmente a partir de anomalías y tendencias de precipitación y caudales (Boisier et al., 2016, 2018; Garreaud et al., 2017, 2020), y las proyecciones de cambio climático se han formulado en términos de acumulados de precipitación y temperatura, o de impactos hidrológicos asociados (Araya-Osses et al., 2020; Bozkurt et al., 2018; Salazar et al., 2024). La sequía se caracteriza, en la práctica operativa y en la literatura hidrológica local, con índices estandarizados basados en acumulaciones —SPI, SPEI o SSI— cuya escala temporal se elige según el régimen de la cuenca (Báez-Villanueva et al., 2024). Esos estudios establecen con claridad que llueve menos y que el déficit tiende a intensificarse, pero no describen cómo se reorganizan las rachas secas de un día para otro. El antecedente más cercano es Latoja et al. (2025), quienes, con CR2MET, documentan en Chile central (32°–40°S) un aumento de la frecuencia de dry spells junto con una disminución de su duración media —esto es, mayor intermitencia—, sin evaluar modelos regionales, sin proyectar cambios futuros y sin caracterizar la cola de duraciones extremas. Herrera-Marín et al. (2026) modelan, también con CR2MET y umbral de 1 mm, los inicios de dry spells en invierno austral como un proceso autoexcitado y muestran persistencia con colas pesadas; Herrera-Marín (2026) descompone el riesgo de inicio bajo forzante no estacionario. Esos trabajos caracterizan cuándo se inician las rachas y cómo se agrupan, no cómo cambia la PDF completa de duraciones entre un clima histórico y uno futuro en un modelo regional. Los caudales, además, responden a cambios de cobertura de suelo (Escanilla-Minchel et al., 2026): la persistencia meteorológica de las rachas es un control necesario, pero no el único, del impacto hidrológico. Lo que permanece abierto es, por tanto, si un modelo climático regional reproduce la distribución histórica de duraciones —no solo la media o el máximo anual— una vez igualada la frecuencia de días húmedos, y si bajo calentamiento aumenta la probabilidad de spells muy largos, más allá de lo que indica el descenso de la precipitación media.</w:t>
      </w:r>
    </w:p>
    <w:p>
      <w:pPr>
        <w:spacing w:after="160" w:before="0" w:line="360" w:lineRule="auto"/>
        <w:ind w:firstLine="432"/>
        <w:jc w:val="both"/>
      </w:pPr>
      <w:r>
        <w:rPr>
          <w:rFonts w:ascii="Times New Roman" w:hAnsi="Times New Roman" w:eastAsia="Times New Roman"/>
          <w:b w:val="0"/>
          <w:i w:val="0"/>
          <w:sz w:val="24"/>
        </w:rPr>
        <w:t>En este estudio preguntamos, primero, en qué medida ALADIN-CLIMATE reproduce la distribución histórica de duraciones de dry spells respecto de CR2MET, una vez controladas las diferencias en la frecuencia de días húmedos. Segundo, examinamos cómo cambia la probabilidad de rachas prolongadas hacia mediados de siglo bajo SSP5-8.5. De este modo, evaluamos no solo cuánto cambia la precipitación, sino también cómo se reorganiza temporalmente la persistencia de los períodos secos.</w:t>
      </w:r>
    </w:p>
    <w:p>
      <w:pPr>
        <w:spacing w:before="240" w:after="160"/>
      </w:pPr>
      <w:r>
        <w:rPr>
          <w:rFonts w:ascii="Times New Roman" w:hAnsi="Times New Roman" w:eastAsia="Times New Roman"/>
          <w:b/>
          <w:i w:val="0"/>
          <w:sz w:val="28"/>
        </w:rPr>
        <w:t>Referencias</w:t>
      </w:r>
    </w:p>
    <w:p>
      <w:pPr>
        <w:spacing w:after="80" w:before="0" w:line="276" w:lineRule="auto"/>
        <w:ind w:left="709" w:hanging="709"/>
        <w:jc w:val="both"/>
      </w:pPr>
      <w:r>
        <w:rPr>
          <w:rFonts w:ascii="Times New Roman" w:hAnsi="Times New Roman" w:eastAsia="Times New Roman"/>
          <w:b w:val="0"/>
          <w:i w:val="0"/>
          <w:sz w:val="22"/>
        </w:rPr>
        <w:t>Araya-Osses, D., Casanueva, A., Román-Figueroa, C., Uribe, J. M., y Paneque, M. (2020). Climate change projections of temperature and precipitation in Chile based on statistical downscaling. Climate Dynamics, 54, 4309–4330. https://doi.org/10.1007/s00382-020-05231-4</w:t>
      </w:r>
    </w:p>
    <w:p>
      <w:pPr>
        <w:spacing w:after="80" w:before="0" w:line="276" w:lineRule="auto"/>
        <w:ind w:left="709" w:hanging="709"/>
        <w:jc w:val="both"/>
      </w:pPr>
      <w:r>
        <w:rPr>
          <w:rFonts w:ascii="Times New Roman" w:hAnsi="Times New Roman" w:eastAsia="Times New Roman"/>
          <w:b w:val="0"/>
          <w:i w:val="0"/>
          <w:sz w:val="22"/>
        </w:rPr>
        <w:t>Báez-Villanueva, O. M., Zambrano-Bigiarini, M., Miralles, D. G., Beck, H. E., Siegmund, J. F., Alvarez-Garreton, C., Verbist, K., Garreaud, R., Boisier, J. P., y Galleguillos, M. (2024). On the timescale of drought indices for monitoring streamflow drought considering catchment hydrological regimes. Hydrology and Earth System Sciences, 28, 1415–1439. https://doi.org/10.5194/hess-28-1415-2024</w:t>
      </w:r>
    </w:p>
    <w:p>
      <w:pPr>
        <w:spacing w:after="80" w:before="0" w:line="276" w:lineRule="auto"/>
        <w:ind w:left="709" w:hanging="709"/>
        <w:jc w:val="both"/>
      </w:pPr>
      <w:r>
        <w:rPr>
          <w:rFonts w:ascii="Times New Roman" w:hAnsi="Times New Roman" w:eastAsia="Times New Roman"/>
          <w:b w:val="0"/>
          <w:i w:val="0"/>
          <w:sz w:val="22"/>
        </w:rPr>
        <w:t>Boisier, J. P., Rondanelli, R., Garreaud, R. D., y Muñoz, F. (2016). Anthropogenic and natural contributions to the Southeast Pacific precipitation decline and recent megadrought in central Chile. Geophysical Research Letters, 43(1), 413–421. https://doi.org/10.1002/2015GL067265</w:t>
      </w:r>
    </w:p>
    <w:p>
      <w:pPr>
        <w:spacing w:after="80" w:before="0" w:line="276" w:lineRule="auto"/>
        <w:ind w:left="709" w:hanging="709"/>
        <w:jc w:val="both"/>
      </w:pPr>
      <w:r>
        <w:rPr>
          <w:rFonts w:ascii="Times New Roman" w:hAnsi="Times New Roman" w:eastAsia="Times New Roman"/>
          <w:b w:val="0"/>
          <w:i w:val="0"/>
          <w:sz w:val="22"/>
        </w:rPr>
        <w:t>Boisier, J. P., Alvarez-Garretón, C., Cordero, R. R., Damiani, A., Gallardo, L., Garreaud, R. D., Lambert, F., Ramallo, C., Rojas, M., y Rondanelli, R. (2018). Anthropogenic drying in central-southern Chile evidenced by long-term observations and climate model simulations. Elementa: Science of the Anthropocene, 6, 74. https://doi.org/10.1525/elementa.328</w:t>
      </w:r>
    </w:p>
    <w:p>
      <w:pPr>
        <w:spacing w:after="80" w:before="0" w:line="276" w:lineRule="auto"/>
        <w:ind w:left="709" w:hanging="709"/>
        <w:jc w:val="both"/>
      </w:pPr>
      <w:r>
        <w:rPr>
          <w:rFonts w:ascii="Times New Roman" w:hAnsi="Times New Roman" w:eastAsia="Times New Roman"/>
          <w:b w:val="0"/>
          <w:i w:val="0"/>
          <w:sz w:val="22"/>
        </w:rPr>
        <w:t>Bozkurt, D., Rojas, M., Boisier, J. P., y Valdivieso, J. (2018). Projected hydroclimate changes over Andean basins in central Chile from downscaled CMIP5 models under the low and high emission scenarios. Climatic Change, 150, 131–154. https://doi.org/10.1007/s10584-018-2246-7</w:t>
      </w:r>
    </w:p>
    <w:p>
      <w:pPr>
        <w:spacing w:after="80" w:before="0" w:line="276" w:lineRule="auto"/>
        <w:ind w:left="709" w:hanging="709"/>
        <w:jc w:val="both"/>
      </w:pPr>
      <w:r>
        <w:rPr>
          <w:rFonts w:ascii="Times New Roman" w:hAnsi="Times New Roman" w:eastAsia="Times New Roman"/>
          <w:b w:val="0"/>
          <w:i w:val="0"/>
          <w:sz w:val="22"/>
        </w:rPr>
        <w:t>Escanilla-Minchel, R., Holden, J., y Smith, M. (2026). Land cover change drives river flow modifications in central Chile. Hydrological Processes. https://doi.org/10.1002/hyp.70542</w:t>
      </w:r>
    </w:p>
    <w:p>
      <w:pPr>
        <w:spacing w:after="80" w:before="0" w:line="276" w:lineRule="auto"/>
        <w:ind w:left="709" w:hanging="709"/>
        <w:jc w:val="both"/>
      </w:pPr>
      <w:r>
        <w:rPr>
          <w:rFonts w:ascii="Times New Roman" w:hAnsi="Times New Roman" w:eastAsia="Times New Roman"/>
          <w:b w:val="0"/>
          <w:i w:val="0"/>
          <w:sz w:val="22"/>
        </w:rPr>
        <w:t>Garreaud, R. D., Alvarez-Garreton, C., Barichivich, J., Boisier, J. P., Christie, D., Galleguillos, M., … Zambrano-Bigiarini, M. (2017). The 2010–2015 megadrought in central Chile: Impacts on regional hydroclimate and vegetation. Hydrology and Earth System Sciences, 21(12), 6307–6327. https://doi.org/10.5194/hess-21-6307-2017</w:t>
      </w:r>
    </w:p>
    <w:p>
      <w:pPr>
        <w:spacing w:after="80" w:before="0" w:line="276" w:lineRule="auto"/>
        <w:ind w:left="709" w:hanging="709"/>
        <w:jc w:val="both"/>
      </w:pPr>
      <w:r>
        <w:rPr>
          <w:rFonts w:ascii="Times New Roman" w:hAnsi="Times New Roman" w:eastAsia="Times New Roman"/>
          <w:b w:val="0"/>
          <w:i w:val="0"/>
          <w:sz w:val="22"/>
        </w:rPr>
        <w:t>Garreaud, R. D., Boisier, J. P., Rondanelli, R., Damiani, A., Veloso-Aguila, D., y Muñoz, F. (2020). The Central Chile Mega Drought (2010–2018): A climate dynamics perspective. International Journal of Climatology, 40(1), 421–439. https://doi.org/10.1002/joc.6219</w:t>
      </w:r>
    </w:p>
    <w:p>
      <w:pPr>
        <w:spacing w:after="80" w:before="0" w:line="276" w:lineRule="auto"/>
        <w:ind w:left="709" w:hanging="709"/>
        <w:jc w:val="both"/>
      </w:pPr>
      <w:r>
        <w:rPr>
          <w:rFonts w:ascii="Times New Roman" w:hAnsi="Times New Roman" w:eastAsia="Times New Roman"/>
          <w:b w:val="0"/>
          <w:i w:val="0"/>
          <w:sz w:val="22"/>
        </w:rPr>
        <w:t>Giorgi, F., Im, E.-S., Coppola, E., Diffenbaugh, N. S., Gao, X. J., Mariotti, L., y Shi, Y. (2011). Higher hydroclimatic intensity with global warming. Journal of Climate, 24(20), 5309–5324. https://doi.org/10.1175/2011JCLI3979.1</w:t>
      </w:r>
    </w:p>
    <w:p>
      <w:pPr>
        <w:spacing w:after="80" w:before="0" w:line="276" w:lineRule="auto"/>
        <w:ind w:left="709" w:hanging="709"/>
        <w:jc w:val="both"/>
      </w:pPr>
      <w:r>
        <w:rPr>
          <w:rFonts w:ascii="Times New Roman" w:hAnsi="Times New Roman" w:eastAsia="Times New Roman"/>
          <w:b w:val="0"/>
          <w:i w:val="0"/>
          <w:sz w:val="22"/>
        </w:rPr>
        <w:t>Giorgi, F., Raffaele, F., y Coppola, E. (2019). The response of precipitation characteristics to global warming from climate projections. Earth System Dynamics, 10, 73–89. https://doi.org/10.5194/esd-10-73-2019</w:t>
      </w:r>
    </w:p>
    <w:p>
      <w:pPr>
        <w:spacing w:after="80" w:before="0" w:line="276" w:lineRule="auto"/>
        <w:ind w:left="709" w:hanging="709"/>
        <w:jc w:val="both"/>
      </w:pPr>
      <w:r>
        <w:rPr>
          <w:rFonts w:ascii="Times New Roman" w:hAnsi="Times New Roman" w:eastAsia="Times New Roman"/>
          <w:b w:val="0"/>
          <w:i w:val="0"/>
          <w:sz w:val="22"/>
        </w:rPr>
        <w:t>Herrera-Marín, M. (2026). A stochastic hazard decomposition for dry-spell onset dynamics under non-stationary hydroclimatic forcing. Stochastic Environmental Research and Risk Assessment, 40, 172. https://doi.org/10.1007/s00477-026-03309-9</w:t>
      </w:r>
    </w:p>
    <w:p>
      <w:pPr>
        <w:spacing w:after="80" w:before="0" w:line="276" w:lineRule="auto"/>
        <w:ind w:left="709" w:hanging="709"/>
        <w:jc w:val="both"/>
      </w:pPr>
      <w:r>
        <w:rPr>
          <w:rFonts w:ascii="Times New Roman" w:hAnsi="Times New Roman" w:eastAsia="Times New Roman"/>
          <w:b w:val="0"/>
          <w:i w:val="0"/>
          <w:sz w:val="22"/>
        </w:rPr>
        <w:t>Herrera-Marín, M., Rivera, D., y Godoy-Faúndez, A. (2026). Drought begets drought: self-exciting onsets, spell persistence, and network structure in hydroclimatic extremes. Environmental Research Communications, 8, 051001. https://doi.org/10.1088/2515-7620/ae639a</w:t>
      </w:r>
    </w:p>
    <w:p>
      <w:pPr>
        <w:spacing w:after="80" w:before="0" w:line="276" w:lineRule="auto"/>
        <w:ind w:left="709" w:hanging="709"/>
        <w:jc w:val="both"/>
      </w:pPr>
      <w:r>
        <w:rPr>
          <w:rFonts w:ascii="Times New Roman" w:hAnsi="Times New Roman" w:eastAsia="Times New Roman"/>
          <w:b w:val="0"/>
          <w:i w:val="0"/>
          <w:sz w:val="22"/>
        </w:rPr>
        <w:t>Lana, X., Martínez, M. D., Burgueño, A., Serra, C., Martín-Vide, J., y Gómez, L. (2006). Distributions of long dry spells in the Iberian Peninsula, years 1951–1990. International Journal of Climatology, 26(14), 1999–2021. https://doi.org/10.1002/joc.1354</w:t>
      </w:r>
    </w:p>
    <w:p>
      <w:pPr>
        <w:spacing w:after="80" w:before="0" w:line="276" w:lineRule="auto"/>
        <w:ind w:left="709" w:hanging="709"/>
        <w:jc w:val="both"/>
      </w:pPr>
      <w:r>
        <w:rPr>
          <w:rFonts w:ascii="Times New Roman" w:hAnsi="Times New Roman" w:eastAsia="Times New Roman"/>
          <w:b w:val="0"/>
          <w:i w:val="0"/>
          <w:sz w:val="22"/>
        </w:rPr>
        <w:t>Latoja, D., Rivera, D., Lillo-Saavedra, M., y Godoy-Faúndez, Á. (2025). Shifting dry spells in Central Chile: Implications for agricultural water planning. Agricultural &amp; Environmental Letters, 10, e70037. https://doi.org/10.1002/ael2.70037</w:t>
      </w:r>
    </w:p>
    <w:p>
      <w:pPr>
        <w:spacing w:after="80" w:before="0" w:line="276" w:lineRule="auto"/>
        <w:ind w:left="709" w:hanging="709"/>
        <w:jc w:val="both"/>
      </w:pPr>
      <w:r>
        <w:rPr>
          <w:rFonts w:ascii="Times New Roman" w:hAnsi="Times New Roman" w:eastAsia="Times New Roman"/>
          <w:b w:val="0"/>
          <w:i w:val="0"/>
          <w:sz w:val="22"/>
        </w:rPr>
        <w:t>Martinez-Villalobos, C., y Neelin, J. D. (2018). Shifts in precipitation accumulation extremes during the warm season over the United States. Geophysical Research Letters, 45(16), 8586–8595. https://doi.org/10.1029/2018GL078465</w:t>
      </w:r>
    </w:p>
    <w:p>
      <w:pPr>
        <w:spacing w:after="80" w:before="0" w:line="276" w:lineRule="auto"/>
        <w:ind w:left="709" w:hanging="709"/>
        <w:jc w:val="both"/>
      </w:pPr>
      <w:r>
        <w:rPr>
          <w:rFonts w:ascii="Times New Roman" w:hAnsi="Times New Roman" w:eastAsia="Times New Roman"/>
          <w:b w:val="0"/>
          <w:i w:val="0"/>
          <w:sz w:val="22"/>
        </w:rPr>
        <w:t>Martinez-Villalobos, C., y Neelin, J. D. (2019). Why do precipitation intensities tend to follow gamma distributions? Journal of the Atmospheric Sciences, 76(11), 3611–3631. https://doi.org/10.1175/JAS-D-18-0343.1</w:t>
      </w:r>
    </w:p>
    <w:p>
      <w:pPr>
        <w:spacing w:after="80" w:before="0" w:line="276" w:lineRule="auto"/>
        <w:ind w:left="709" w:hanging="709"/>
        <w:jc w:val="both"/>
      </w:pPr>
      <w:r>
        <w:rPr>
          <w:rFonts w:ascii="Times New Roman" w:hAnsi="Times New Roman" w:eastAsia="Times New Roman"/>
          <w:b w:val="0"/>
          <w:i w:val="0"/>
          <w:sz w:val="22"/>
        </w:rPr>
        <w:t>Martinez-Villalobos, C., Neelin, J. D., y Pendergrass, A. G. (2022). Metrics for evaluating CMIP6 representation of daily precipitation probability distributions. Journal of Climate, 35(17), 5719–5743. https://doi.org/10.1175/JCLI-D-21-0617.1</w:t>
      </w:r>
    </w:p>
    <w:p>
      <w:pPr>
        <w:spacing w:after="80" w:before="0" w:line="276" w:lineRule="auto"/>
        <w:ind w:left="709" w:hanging="709"/>
        <w:jc w:val="both"/>
      </w:pPr>
      <w:r>
        <w:rPr>
          <w:rFonts w:ascii="Times New Roman" w:hAnsi="Times New Roman" w:eastAsia="Times New Roman"/>
          <w:b w:val="0"/>
          <w:i w:val="0"/>
          <w:sz w:val="22"/>
        </w:rPr>
        <w:t>Pendergrass, A. G., y Knutti, R. (2018). The uneven nature of daily precipitation and its change. Geophysical Research Letters, 45(21), 11980–11988. https://doi.org/10.1029/2018GL080298</w:t>
      </w:r>
    </w:p>
    <w:p>
      <w:pPr>
        <w:spacing w:after="80" w:before="0" w:line="276" w:lineRule="auto"/>
        <w:ind w:left="709" w:hanging="709"/>
        <w:jc w:val="both"/>
      </w:pPr>
      <w:r>
        <w:rPr>
          <w:rFonts w:ascii="Times New Roman" w:hAnsi="Times New Roman" w:eastAsia="Times New Roman"/>
          <w:b w:val="0"/>
          <w:i w:val="0"/>
          <w:sz w:val="22"/>
        </w:rPr>
        <w:t>Petrova, I. Y., Miralles, D. G., Brient, F., Donat, M. G., Min, S.-K., Kim, Y.-H., y Bador, M. (2024). Observation-constrained projections reveal longer-than-expected dry spells. Nature, 633, 594–600. https://doi.org/10.1038/s41586-024-07887-y</w:t>
      </w:r>
    </w:p>
    <w:p>
      <w:pPr>
        <w:spacing w:after="80" w:before="0" w:line="276" w:lineRule="auto"/>
        <w:ind w:left="709" w:hanging="709"/>
        <w:jc w:val="both"/>
      </w:pPr>
      <w:r>
        <w:rPr>
          <w:rFonts w:ascii="Times New Roman" w:hAnsi="Times New Roman" w:eastAsia="Times New Roman"/>
          <w:b w:val="0"/>
          <w:i w:val="0"/>
          <w:sz w:val="22"/>
        </w:rPr>
        <w:t>Polade, S. D., Pierce, D. W., Cayan, D. R., Gershunov, A., y Dettinger, M. D. (2014). The key role of dry days in changing regional climate and precipitation regimes. Scientific Reports, 4, 4364. https://doi.org/10.1038/srep04364</w:t>
      </w:r>
    </w:p>
    <w:p>
      <w:pPr>
        <w:spacing w:after="80" w:before="0" w:line="276" w:lineRule="auto"/>
        <w:ind w:left="709" w:hanging="709"/>
        <w:jc w:val="both"/>
      </w:pPr>
      <w:r>
        <w:rPr>
          <w:rFonts w:ascii="Times New Roman" w:hAnsi="Times New Roman" w:eastAsia="Times New Roman"/>
          <w:b w:val="0"/>
          <w:i w:val="0"/>
          <w:sz w:val="22"/>
        </w:rPr>
        <w:t>Polade, S. D., Gershunov, A., Cayan, D. R., Dettinger, M. D., y Pierce, D. W. (2017). Precipitation in a warming world: Assessing projected hydro-climate changes in California and other Mediterranean climate regions. Scientific Reports, 7, 10783. https://doi.org/10.1038/s41598-017-11285-y</w:t>
      </w:r>
    </w:p>
    <w:p>
      <w:pPr>
        <w:spacing w:after="80" w:before="0" w:line="276" w:lineRule="auto"/>
        <w:ind w:left="709" w:hanging="709"/>
        <w:jc w:val="both"/>
      </w:pPr>
      <w:r>
        <w:rPr>
          <w:rFonts w:ascii="Times New Roman" w:hAnsi="Times New Roman" w:eastAsia="Times New Roman"/>
          <w:b w:val="0"/>
          <w:i w:val="0"/>
          <w:sz w:val="22"/>
        </w:rPr>
        <w:t>Reboita, M. S., da Rocha, R. P., de Souza, C. A., Baldoni, T. C., Silva, P. L. L. da S., y Ferreira, G. W. S. (2022). Future projections of extreme precipitation climate indices over South America based on CORDEX-CORE multimodel ensemble. Atmosphere, 13(9), 1463. https://doi.org/10.3390/atmos13091463</w:t>
      </w:r>
    </w:p>
    <w:p>
      <w:pPr>
        <w:spacing w:after="80" w:before="0" w:line="276" w:lineRule="auto"/>
        <w:ind w:left="709" w:hanging="709"/>
        <w:jc w:val="both"/>
      </w:pPr>
      <w:r>
        <w:rPr>
          <w:rFonts w:ascii="Times New Roman" w:hAnsi="Times New Roman" w:eastAsia="Times New Roman"/>
          <w:b w:val="0"/>
          <w:i w:val="0"/>
          <w:sz w:val="22"/>
        </w:rPr>
        <w:t>Salazar, Á., Thatcher, M., Goubanova, K., Bernal, P., Gutiérrez, J., y Squeo, F. (2024). CMIP6 precipitation and temperature projections for Chile. Climate Dynamics. https://doi.org/10.1007/s00382-023-07034-9</w:t>
      </w:r>
    </w:p>
    <w:p>
      <w:pPr>
        <w:spacing w:after="80" w:before="0" w:line="276" w:lineRule="auto"/>
        <w:ind w:left="709" w:hanging="709"/>
        <w:jc w:val="both"/>
      </w:pPr>
      <w:r>
        <w:rPr>
          <w:rFonts w:ascii="Times New Roman" w:hAnsi="Times New Roman" w:eastAsia="Times New Roman"/>
          <w:b w:val="0"/>
          <w:i w:val="0"/>
          <w:sz w:val="22"/>
        </w:rPr>
        <w:t>Sillmann, J., Kharin, V. V., Zhang, X., Zwiers, F. W., y Bronaugh, D. (2013a). Climate extremes indices in the CMIP5 multimodel ensemble: Part 1. Model evaluation in the present climate. Journal of Geophysical Research: Atmospheres, 118, 1716–1733. https://doi.org/10.1002/jgrd.50203</w:t>
      </w:r>
    </w:p>
    <w:p>
      <w:pPr>
        <w:spacing w:after="80" w:before="0" w:line="276" w:lineRule="auto"/>
        <w:ind w:left="709" w:hanging="709"/>
        <w:jc w:val="both"/>
      </w:pPr>
      <w:r>
        <w:rPr>
          <w:rFonts w:ascii="Times New Roman" w:hAnsi="Times New Roman" w:eastAsia="Times New Roman"/>
          <w:b w:val="0"/>
          <w:i w:val="0"/>
          <w:sz w:val="22"/>
        </w:rPr>
        <w:t>Sillmann, J., Kharin, V. V., Zwiers, F. W., Zhang, X., y Bronaugh, D. (2013b). Climate extremes indices in the CMIP5 multimodel ensemble: Part 2. Future climate projections. Journal of Geophysical Research: Atmospheres, 118, 2473–2493. https://doi.org/10.1002/jgrd.50188</w:t>
      </w:r>
    </w:p>
    <w:p>
      <w:pPr>
        <w:spacing w:after="80" w:before="0" w:line="276" w:lineRule="auto"/>
        <w:ind w:left="709" w:hanging="709"/>
        <w:jc w:val="both"/>
      </w:pPr>
      <w:r>
        <w:rPr>
          <w:rFonts w:ascii="Times New Roman" w:hAnsi="Times New Roman" w:eastAsia="Times New Roman"/>
          <w:b w:val="0"/>
          <w:i w:val="0"/>
          <w:sz w:val="22"/>
        </w:rPr>
        <w:t>Skansi, M. de los M., Brunet, M., Sigró, J., Aguilar, E., Groening, J. A. A., Bentancur, O. J., … Jones, P. D. (2013). Warming and wetting signals emerging from analysis of changes in climate extreme indices over South America. Global and Planetary Change, 100, 295–307. https://doi.org/10.1016/j.gloplacha.2012.11.004</w:t>
      </w:r>
    </w:p>
    <w:p>
      <w:pPr>
        <w:spacing w:after="80" w:before="0" w:line="276" w:lineRule="auto"/>
        <w:ind w:left="709" w:hanging="709"/>
        <w:jc w:val="both"/>
      </w:pPr>
      <w:r>
        <w:rPr>
          <w:rFonts w:ascii="Times New Roman" w:hAnsi="Times New Roman" w:eastAsia="Times New Roman"/>
          <w:b w:val="0"/>
          <w:i w:val="0"/>
          <w:sz w:val="22"/>
        </w:rPr>
        <w:t>Stechmann, S. N., y Neelin, J. D. (2014). First-passage-time prototypes for precipitation statistics. Journal of the Atmospheric Sciences, 71(9), 3269–3291. https://doi.org/10.1175/JAS-D-13-0268.1</w:t>
      </w:r>
    </w:p>
    <w:p>
      <w:pPr>
        <w:spacing w:after="80" w:before="0" w:line="276" w:lineRule="auto"/>
        <w:ind w:left="709" w:hanging="709"/>
        <w:jc w:val="both"/>
      </w:pPr>
      <w:r>
        <w:rPr>
          <w:rFonts w:ascii="Times New Roman" w:hAnsi="Times New Roman" w:eastAsia="Times New Roman"/>
          <w:b w:val="0"/>
          <w:i w:val="0"/>
          <w:sz w:val="22"/>
        </w:rPr>
        <w:t>Stephens, G. L., L’Ecuyer, T., Forbes, R., Gettelman, A., Golaz, J.-C., Bodas-Salcedo, A., Suzuki, K., Gabriel, P., y Haynes, J. (2010). Dreary state of precipitation in global models. Journal of Geophysical Research: Atmospheres, 115, D24211. https://doi.org/10.1029/2010JD014532</w:t>
      </w:r>
    </w:p>
    <w:p>
      <w:pPr>
        <w:spacing w:after="80" w:before="0" w:line="276" w:lineRule="auto"/>
        <w:ind w:left="709" w:hanging="709"/>
        <w:jc w:val="both"/>
      </w:pPr>
      <w:r>
        <w:rPr>
          <w:rFonts w:ascii="Times New Roman" w:hAnsi="Times New Roman" w:eastAsia="Times New Roman"/>
          <w:b w:val="0"/>
          <w:i w:val="0"/>
          <w:sz w:val="22"/>
        </w:rPr>
        <w:t>Trenberth, K. E., Dai, A., Rasmussen, R. M., y Parsons, D. B. (2003). The changing character of precipitation. Bulletin of the American Meteorological Society, 84(9), 1205–1218. https://doi.org/10.1175/BAMS-84-9-1205</w:t>
      </w:r>
    </w:p>
    <w:p>
      <w:pPr>
        <w:spacing w:after="80" w:before="0" w:line="276" w:lineRule="auto"/>
        <w:ind w:left="709" w:hanging="709"/>
        <w:jc w:val="both"/>
      </w:pPr>
      <w:r>
        <w:rPr>
          <w:rFonts w:ascii="Times New Roman" w:hAnsi="Times New Roman" w:eastAsia="Times New Roman"/>
          <w:b w:val="0"/>
          <w:i w:val="0"/>
          <w:sz w:val="22"/>
        </w:rPr>
        <w:t>Wainwright, C. M., Black, E., y Allan, R. P. (2021). Future changes in wet and dry season characteristics in CMIP5 and CMIP6 simulations. Journal of Hydrometeorology, 22, 2339–2357. https://doi.org/10.1175/JHM-D-21-0017.1</w:t>
      </w:r>
    </w:p>
    <w:p>
      <w:pPr>
        <w:spacing w:after="80" w:before="0" w:line="276" w:lineRule="auto"/>
        <w:ind w:left="709" w:hanging="709"/>
        <w:jc w:val="both"/>
      </w:pPr>
      <w:r>
        <w:rPr>
          <w:rFonts w:ascii="Times New Roman" w:hAnsi="Times New Roman" w:eastAsia="Times New Roman"/>
          <w:b w:val="0"/>
          <w:i w:val="0"/>
          <w:sz w:val="22"/>
        </w:rPr>
        <w:t>Zhang, X., Alexander, L., Hegerl, G. C., Jones, P., Klein Tank, A., Peterson, T. C., Trewin, B., y Zwiers, F. W. (2011). Indices for monitoring changes in extremes based on daily temperature and precipitation data. Wiley Interdisciplinary Reviews: Climate Change, 2(6), 851–870. https://doi.org/10.1002/wcc.147</w:t>
      </w:r>
    </w:p>
    <w:p>
      <w:pPr>
        <w:spacing w:after="80" w:before="0" w:line="276" w:lineRule="auto"/>
        <w:ind w:left="709" w:hanging="709"/>
        <w:jc w:val="both"/>
      </w:pPr>
      <w:r>
        <w:rPr>
          <w:rFonts w:ascii="Times New Roman" w:hAnsi="Times New Roman" w:eastAsia="Times New Roman"/>
          <w:b w:val="0"/>
          <w:i w:val="0"/>
          <w:sz w:val="22"/>
        </w:rPr>
        <w:t>Zolina, O., Simmer, C., Belyaev, K., Gulev, S. K., y Koltermann, P. (2013). Changes in the duration of European wet and dry spells during the last 60 years. Journal of Climate, 26(6), 2022–2047. https://doi.org/10.1175/JCLI-D-11-00498.1</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